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E18E2">
      <w:pPr>
        <w:jc w:val="center"/>
        <w:rPr>
          <w:rFonts w:hint="eastAsia" w:ascii="华文中宋" w:hAnsi="华文中宋" w:eastAsia="华文中宋" w:cs="华文中宋"/>
          <w:b w:val="0"/>
          <w:bCs/>
          <w:kern w:val="0"/>
          <w:sz w:val="44"/>
          <w:szCs w:val="44"/>
          <w:lang w:val="en-US" w:eastAsia="zh-CN" w:bidi="ar-SA"/>
        </w:rPr>
      </w:pPr>
      <w:r>
        <w:rPr>
          <w:rFonts w:hint="default" w:ascii="华文中宋" w:hAnsi="华文中宋" w:eastAsia="华文中宋" w:cs="华文中宋"/>
          <w:b w:val="0"/>
          <w:bCs/>
          <w:kern w:val="0"/>
          <w:sz w:val="44"/>
          <w:szCs w:val="44"/>
          <w:lang w:val="en-US" w:eastAsia="zh-CN" w:bidi="ar-SA"/>
        </w:rPr>
        <w:t>“</w:t>
      </w:r>
      <w:r>
        <w:rPr>
          <w:rFonts w:hint="eastAsia" w:ascii="华文中宋" w:hAnsi="华文中宋" w:eastAsia="华文中宋" w:cs="华文中宋"/>
          <w:b w:val="0"/>
          <w:bCs/>
          <w:kern w:val="0"/>
          <w:sz w:val="44"/>
          <w:szCs w:val="44"/>
          <w:lang w:val="en-US" w:eastAsia="zh-CN" w:bidi="ar-SA"/>
        </w:rPr>
        <w:t>皖美宝藏小城霍山”短视频大赛主流媒体</w:t>
      </w:r>
    </w:p>
    <w:p w14:paraId="2F3349CD">
      <w:pPr>
        <w:jc w:val="center"/>
        <w:rPr>
          <w:rFonts w:hint="eastAsia" w:ascii="华文中宋" w:hAnsi="华文中宋" w:eastAsia="华文中宋" w:cs="华文中宋"/>
          <w:b w:val="0"/>
          <w:bCs/>
          <w:kern w:val="0"/>
          <w:sz w:val="44"/>
          <w:szCs w:val="44"/>
          <w:lang w:val="en-US" w:eastAsia="zh-CN" w:bidi="ar-SA"/>
        </w:rPr>
      </w:pPr>
      <w:r>
        <w:rPr>
          <w:rFonts w:hint="eastAsia" w:ascii="华文中宋" w:hAnsi="华文中宋" w:eastAsia="华文中宋" w:cs="华文中宋"/>
          <w:b w:val="0"/>
          <w:bCs/>
          <w:kern w:val="0"/>
          <w:sz w:val="44"/>
          <w:szCs w:val="44"/>
          <w:lang w:val="en-US" w:eastAsia="zh-CN" w:bidi="ar-SA"/>
        </w:rPr>
        <w:t>宣传服务项目</w:t>
      </w:r>
    </w:p>
    <w:p w14:paraId="01FA2D36">
      <w:pPr>
        <w:jc w:val="center"/>
        <w:rPr>
          <w:rFonts w:ascii="宋体" w:hAnsi="宋体"/>
          <w:b/>
          <w:sz w:val="32"/>
          <w:szCs w:val="32"/>
        </w:rPr>
      </w:pPr>
    </w:p>
    <w:p w14:paraId="2D777AF6">
      <w:pPr>
        <w:spacing w:line="720" w:lineRule="auto"/>
        <w:jc w:val="center"/>
        <w:rPr>
          <w:rFonts w:ascii="宋体" w:hAnsi="宋体"/>
          <w:b/>
          <w:sz w:val="48"/>
          <w:szCs w:val="48"/>
        </w:rPr>
      </w:pPr>
      <w:r>
        <w:rPr>
          <w:rFonts w:hint="eastAsia" w:ascii="宋体" w:hAnsi="宋体"/>
          <w:b/>
          <w:sz w:val="48"/>
          <w:szCs w:val="48"/>
        </w:rPr>
        <w:t>竞</w:t>
      </w:r>
    </w:p>
    <w:p w14:paraId="5A67E244">
      <w:pPr>
        <w:spacing w:line="720" w:lineRule="auto"/>
        <w:jc w:val="center"/>
        <w:rPr>
          <w:rFonts w:ascii="宋体" w:hAnsi="宋体"/>
          <w:b/>
          <w:sz w:val="48"/>
          <w:szCs w:val="48"/>
        </w:rPr>
      </w:pPr>
      <w:r>
        <w:rPr>
          <w:rFonts w:hint="eastAsia" w:ascii="宋体" w:hAnsi="宋体"/>
          <w:b/>
          <w:sz w:val="48"/>
          <w:szCs w:val="48"/>
        </w:rPr>
        <w:t>争</w:t>
      </w:r>
    </w:p>
    <w:p w14:paraId="73D1F6DA">
      <w:pPr>
        <w:spacing w:line="720" w:lineRule="auto"/>
        <w:jc w:val="center"/>
        <w:rPr>
          <w:rFonts w:ascii="宋体" w:hAnsi="宋体"/>
          <w:b/>
          <w:sz w:val="48"/>
          <w:szCs w:val="48"/>
        </w:rPr>
      </w:pPr>
      <w:r>
        <w:rPr>
          <w:rFonts w:hint="eastAsia" w:ascii="宋体" w:hAnsi="宋体"/>
          <w:b/>
          <w:sz w:val="48"/>
          <w:szCs w:val="48"/>
        </w:rPr>
        <w:t>性</w:t>
      </w:r>
    </w:p>
    <w:p w14:paraId="0ABD259A">
      <w:pPr>
        <w:spacing w:line="720" w:lineRule="auto"/>
        <w:jc w:val="center"/>
        <w:rPr>
          <w:rFonts w:ascii="宋体" w:hAnsi="宋体"/>
          <w:b/>
          <w:sz w:val="48"/>
          <w:szCs w:val="48"/>
        </w:rPr>
      </w:pPr>
      <w:r>
        <w:rPr>
          <w:rFonts w:hint="eastAsia" w:ascii="宋体" w:hAnsi="宋体"/>
          <w:b/>
          <w:sz w:val="48"/>
          <w:szCs w:val="48"/>
        </w:rPr>
        <w:t>谈</w:t>
      </w:r>
    </w:p>
    <w:p w14:paraId="244171C8">
      <w:pPr>
        <w:spacing w:line="720" w:lineRule="auto"/>
        <w:jc w:val="center"/>
        <w:rPr>
          <w:sz w:val="20"/>
          <w:szCs w:val="18"/>
        </w:rPr>
      </w:pPr>
      <w:r>
        <w:rPr>
          <w:rFonts w:hint="eastAsia" w:ascii="宋体" w:hAnsi="宋体"/>
          <w:b/>
          <w:sz w:val="48"/>
          <w:szCs w:val="48"/>
        </w:rPr>
        <w:t>判</w:t>
      </w:r>
    </w:p>
    <w:p w14:paraId="31222647">
      <w:pPr>
        <w:spacing w:line="720" w:lineRule="auto"/>
        <w:jc w:val="center"/>
        <w:rPr>
          <w:rFonts w:ascii="宋体" w:hAnsi="宋体"/>
          <w:b/>
          <w:sz w:val="48"/>
          <w:szCs w:val="48"/>
        </w:rPr>
      </w:pPr>
      <w:r>
        <w:rPr>
          <w:rFonts w:hint="eastAsia" w:ascii="宋体" w:hAnsi="宋体"/>
          <w:b/>
          <w:sz w:val="48"/>
          <w:szCs w:val="48"/>
        </w:rPr>
        <w:t>文</w:t>
      </w:r>
    </w:p>
    <w:p w14:paraId="2D41F3D3">
      <w:pPr>
        <w:spacing w:line="720" w:lineRule="auto"/>
        <w:jc w:val="center"/>
        <w:rPr>
          <w:rFonts w:ascii="宋体" w:hAnsi="宋体"/>
          <w:b/>
          <w:sz w:val="52"/>
          <w:szCs w:val="52"/>
        </w:rPr>
      </w:pPr>
      <w:r>
        <w:rPr>
          <w:rFonts w:hint="eastAsia" w:ascii="宋体" w:hAnsi="宋体"/>
          <w:b/>
          <w:sz w:val="48"/>
          <w:szCs w:val="48"/>
        </w:rPr>
        <w:t>件</w:t>
      </w:r>
    </w:p>
    <w:p w14:paraId="7F5B6E4D">
      <w:pPr>
        <w:pStyle w:val="33"/>
        <w:ind w:left="0" w:leftChars="0" w:firstLine="0" w:firstLineChars="0"/>
      </w:pPr>
    </w:p>
    <w:p w14:paraId="3829BB6D">
      <w:pPr>
        <w:tabs>
          <w:tab w:val="left" w:pos="2410"/>
        </w:tabs>
        <w:autoSpaceDE w:val="0"/>
        <w:autoSpaceDN w:val="0"/>
        <w:adjustRightInd w:val="0"/>
        <w:snapToGrid w:val="0"/>
        <w:spacing w:line="600" w:lineRule="exact"/>
        <w:ind w:left="1050" w:leftChars="500" w:firstLine="606" w:firstLineChars="200"/>
        <w:jc w:val="left"/>
        <w:rPr>
          <w:rFonts w:ascii="宋体" w:hAnsi="DotumChe" w:cs="宋体"/>
          <w:b/>
          <w:spacing w:val="11"/>
          <w:kern w:val="0"/>
          <w:sz w:val="28"/>
          <w:szCs w:val="28"/>
        </w:rPr>
      </w:pPr>
    </w:p>
    <w:p w14:paraId="4AB90B9C">
      <w:pPr>
        <w:tabs>
          <w:tab w:val="left" w:pos="2410"/>
        </w:tabs>
        <w:autoSpaceDE w:val="0"/>
        <w:autoSpaceDN w:val="0"/>
        <w:adjustRightInd w:val="0"/>
        <w:snapToGrid w:val="0"/>
        <w:spacing w:line="600" w:lineRule="exact"/>
        <w:ind w:left="1050" w:leftChars="500" w:firstLine="1030" w:firstLineChars="300"/>
        <w:jc w:val="left"/>
        <w:rPr>
          <w:rFonts w:hint="eastAsia" w:ascii="宋体" w:hAnsi="宋体" w:eastAsia="宋体" w:cs="宋体"/>
          <w:b/>
          <w:color w:val="000000"/>
          <w:spacing w:val="23"/>
          <w:sz w:val="32"/>
          <w:szCs w:val="32"/>
          <w:lang w:eastAsia="zh-CN"/>
        </w:rPr>
      </w:pPr>
      <w:r>
        <w:rPr>
          <w:rFonts w:hint="eastAsia" w:ascii="宋体" w:hAnsi="DotumChe" w:cs="宋体"/>
          <w:b/>
          <w:spacing w:val="11"/>
          <w:kern w:val="0"/>
          <w:sz w:val="32"/>
          <w:szCs w:val="32"/>
        </w:rPr>
        <w:t>项目编号：</w:t>
      </w:r>
      <w:r>
        <w:rPr>
          <w:rFonts w:hint="eastAsia" w:ascii="宋体" w:hAnsi="宋体" w:cs="宋体"/>
          <w:b/>
          <w:color w:val="000000"/>
          <w:spacing w:val="23"/>
          <w:sz w:val="32"/>
          <w:szCs w:val="32"/>
          <w:lang w:eastAsia="zh-CN"/>
        </w:rPr>
        <w:t>HYZX-2026-0401</w:t>
      </w:r>
    </w:p>
    <w:p w14:paraId="1519A626">
      <w:pPr>
        <w:tabs>
          <w:tab w:val="left" w:pos="2410"/>
        </w:tabs>
        <w:autoSpaceDE w:val="0"/>
        <w:autoSpaceDN w:val="0"/>
        <w:adjustRightInd w:val="0"/>
        <w:snapToGrid w:val="0"/>
        <w:spacing w:line="600" w:lineRule="exact"/>
        <w:ind w:left="1050" w:leftChars="500" w:firstLine="1030" w:firstLineChars="300"/>
        <w:jc w:val="left"/>
        <w:rPr>
          <w:rFonts w:ascii="宋体" w:hAnsi="DotumChe" w:cs="宋体"/>
          <w:b/>
          <w:spacing w:val="11"/>
          <w:kern w:val="0"/>
          <w:sz w:val="32"/>
          <w:szCs w:val="32"/>
        </w:rPr>
      </w:pPr>
      <w:r>
        <w:rPr>
          <w:rFonts w:hint="eastAsia" w:ascii="宋体" w:hAnsi="DotumChe" w:cs="宋体"/>
          <w:b/>
          <w:spacing w:val="11"/>
          <w:kern w:val="0"/>
          <w:sz w:val="32"/>
          <w:szCs w:val="32"/>
        </w:rPr>
        <w:t>采 购 人：</w:t>
      </w:r>
      <w:r>
        <w:rPr>
          <w:rFonts w:hint="eastAsia" w:ascii="宋体" w:hAnsi="DotumChe" w:cs="宋体"/>
          <w:b/>
          <w:spacing w:val="11"/>
          <w:kern w:val="0"/>
          <w:sz w:val="32"/>
          <w:szCs w:val="32"/>
          <w:lang w:val="en-US" w:eastAsia="zh-CN"/>
        </w:rPr>
        <w:t>霍山县文化旅游体育局</w:t>
      </w:r>
    </w:p>
    <w:p w14:paraId="6C84C85C">
      <w:pPr>
        <w:tabs>
          <w:tab w:val="left" w:pos="2410"/>
        </w:tabs>
        <w:autoSpaceDE w:val="0"/>
        <w:autoSpaceDN w:val="0"/>
        <w:adjustRightInd w:val="0"/>
        <w:snapToGrid w:val="0"/>
        <w:spacing w:line="600" w:lineRule="exact"/>
        <w:ind w:left="1050" w:leftChars="500" w:firstLine="1030" w:firstLineChars="300"/>
        <w:jc w:val="left"/>
        <w:rPr>
          <w:rFonts w:ascii="宋体" w:hAnsi="宋体" w:cs="宋体"/>
          <w:b/>
          <w:color w:val="000000"/>
          <w:sz w:val="32"/>
          <w:szCs w:val="32"/>
        </w:rPr>
      </w:pPr>
      <w:r>
        <w:rPr>
          <w:rFonts w:hint="eastAsia" w:ascii="宋体" w:hAnsi="DotumChe" w:cs="宋体"/>
          <w:b/>
          <w:spacing w:val="11"/>
          <w:kern w:val="0"/>
          <w:sz w:val="32"/>
          <w:szCs w:val="32"/>
        </w:rPr>
        <w:t>采购代理机构：</w:t>
      </w:r>
      <w:r>
        <w:rPr>
          <w:rFonts w:hint="eastAsia" w:ascii="宋体" w:hAnsi="宋体" w:cs="宋体"/>
          <w:b/>
          <w:color w:val="000000"/>
          <w:sz w:val="32"/>
          <w:szCs w:val="32"/>
        </w:rPr>
        <w:t>安徽衡宇工程咨询有限公司</w:t>
      </w:r>
    </w:p>
    <w:p w14:paraId="431D8654">
      <w:pPr>
        <w:tabs>
          <w:tab w:val="left" w:pos="2410"/>
        </w:tabs>
        <w:autoSpaceDE w:val="0"/>
        <w:autoSpaceDN w:val="0"/>
        <w:adjustRightInd w:val="0"/>
        <w:snapToGrid w:val="0"/>
        <w:spacing w:line="600" w:lineRule="exact"/>
        <w:ind w:left="1050" w:leftChars="500" w:firstLine="1030" w:firstLineChars="300"/>
        <w:jc w:val="left"/>
        <w:rPr>
          <w:rFonts w:ascii="仿宋" w:hAnsi="仿宋" w:eastAsia="仿宋" w:cs="仿宋"/>
          <w:sz w:val="36"/>
          <w:szCs w:val="36"/>
        </w:rPr>
      </w:pPr>
      <w:r>
        <w:rPr>
          <w:rFonts w:hint="eastAsia" w:ascii="宋体" w:hAnsi="DotumChe" w:cs="宋体"/>
          <w:b/>
          <w:spacing w:val="11"/>
          <w:kern w:val="0"/>
          <w:sz w:val="32"/>
          <w:szCs w:val="32"/>
        </w:rPr>
        <w:t>采购时间：</w:t>
      </w:r>
      <w:r>
        <w:rPr>
          <w:rFonts w:hint="eastAsia" w:ascii="宋体" w:hAnsi="宋体" w:cs="宋体"/>
          <w:b/>
          <w:color w:val="000000"/>
          <w:sz w:val="32"/>
          <w:szCs w:val="32"/>
        </w:rPr>
        <w:t>202</w:t>
      </w:r>
      <w:r>
        <w:rPr>
          <w:rFonts w:hint="eastAsia" w:ascii="宋体" w:hAnsi="宋体" w:cs="宋体"/>
          <w:b/>
          <w:color w:val="000000"/>
          <w:sz w:val="32"/>
          <w:szCs w:val="32"/>
          <w:lang w:val="en-US" w:eastAsia="zh-CN"/>
        </w:rPr>
        <w:t>6</w:t>
      </w:r>
      <w:r>
        <w:rPr>
          <w:rFonts w:hint="eastAsia" w:ascii="宋体" w:hAnsi="宋体" w:cs="宋体"/>
          <w:b/>
          <w:color w:val="000000"/>
          <w:sz w:val="32"/>
          <w:szCs w:val="32"/>
        </w:rPr>
        <w:t>年</w:t>
      </w:r>
      <w:r>
        <w:rPr>
          <w:rFonts w:hint="eastAsia" w:ascii="宋体" w:hAnsi="宋体" w:cs="宋体"/>
          <w:b/>
          <w:color w:val="000000"/>
          <w:sz w:val="32"/>
          <w:szCs w:val="32"/>
          <w:lang w:val="en-US" w:eastAsia="zh-CN"/>
        </w:rPr>
        <w:t>04</w:t>
      </w:r>
      <w:r>
        <w:rPr>
          <w:rFonts w:hint="eastAsia" w:ascii="宋体" w:hAnsi="宋体" w:cs="宋体"/>
          <w:b/>
          <w:color w:val="000000"/>
          <w:sz w:val="32"/>
          <w:szCs w:val="32"/>
        </w:rPr>
        <w:t>月</w:t>
      </w:r>
    </w:p>
    <w:p w14:paraId="5114CD0B">
      <w:pPr>
        <w:pStyle w:val="33"/>
      </w:pPr>
    </w:p>
    <w:p w14:paraId="21F7DB63">
      <w:pPr>
        <w:pStyle w:val="3"/>
        <w:spacing w:before="156" w:beforeLines="50" w:after="156" w:afterLines="50" w:line="520" w:lineRule="exact"/>
        <w:jc w:val="center"/>
        <w:rPr>
          <w:rFonts w:ascii="华文中宋" w:hAnsi="华文中宋" w:eastAsia="华文中宋" w:cs="华文中宋"/>
          <w:b w:val="0"/>
          <w:bCs/>
          <w:sz w:val="28"/>
          <w:szCs w:val="28"/>
        </w:rPr>
        <w:sectPr>
          <w:headerReference r:id="rId3" w:type="first"/>
          <w:footerReference r:id="rId5" w:type="first"/>
          <w:footerReference r:id="rId4" w:type="default"/>
          <w:pgSz w:w="11906" w:h="16838"/>
          <w:pgMar w:top="1440" w:right="1080" w:bottom="1440" w:left="1080" w:header="851" w:footer="992" w:gutter="0"/>
          <w:pgNumType w:fmt="decimal" w:start="1"/>
          <w:cols w:space="720" w:num="1"/>
          <w:titlePg/>
          <w:docGrid w:type="lines" w:linePitch="312" w:charSpace="0"/>
        </w:sectPr>
      </w:pPr>
    </w:p>
    <w:p w14:paraId="5DBC4EFD">
      <w:pPr>
        <w:pStyle w:val="3"/>
        <w:spacing w:before="120" w:beforeLines="50" w:after="120" w:afterLines="50" w:line="520" w:lineRule="exact"/>
        <w:jc w:val="center"/>
        <w:rPr>
          <w:rFonts w:ascii="华文中宋" w:hAnsi="华文中宋" w:eastAsia="华文中宋" w:cs="华文中宋"/>
          <w:b w:val="0"/>
          <w:bCs/>
          <w:sz w:val="40"/>
          <w:szCs w:val="40"/>
        </w:rPr>
      </w:pPr>
      <w:bookmarkStart w:id="0" w:name="_Toc30186"/>
      <w:bookmarkStart w:id="1" w:name="_Toc13779"/>
      <w:bookmarkStart w:id="2" w:name="_Toc216158623"/>
      <w:bookmarkStart w:id="3" w:name="_Toc363199264"/>
      <w:r>
        <w:rPr>
          <w:rFonts w:hint="default" w:ascii="华文中宋" w:hAnsi="华文中宋" w:eastAsia="华文中宋" w:cs="华文中宋"/>
          <w:b w:val="0"/>
          <w:bCs/>
          <w:sz w:val="40"/>
          <w:szCs w:val="40"/>
          <w:lang w:val="en-US" w:eastAsia="zh-CN"/>
        </w:rPr>
        <w:t>“</w:t>
      </w:r>
      <w:r>
        <w:rPr>
          <w:rFonts w:hint="eastAsia" w:ascii="华文中宋" w:hAnsi="华文中宋" w:eastAsia="华文中宋" w:cs="华文中宋"/>
          <w:b w:val="0"/>
          <w:bCs/>
          <w:sz w:val="40"/>
          <w:szCs w:val="40"/>
          <w:lang w:val="en-US" w:eastAsia="zh-CN"/>
        </w:rPr>
        <w:t>皖美宝藏小城霍山”短视频大赛主流媒体宣传服务项目</w:t>
      </w:r>
      <w:r>
        <w:rPr>
          <w:rFonts w:hint="eastAsia" w:ascii="华文中宋" w:hAnsi="华文中宋" w:eastAsia="华文中宋" w:cs="华文中宋"/>
          <w:b w:val="0"/>
          <w:bCs/>
          <w:sz w:val="40"/>
          <w:szCs w:val="40"/>
        </w:rPr>
        <w:t>竞争性谈判公告</w:t>
      </w:r>
      <w:bookmarkEnd w:id="0"/>
      <w:bookmarkEnd w:id="1"/>
    </w:p>
    <w:p w14:paraId="578F5FA3">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项目概况：</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皖美宝藏小城霍山”短视频大赛主流媒体宣传服务项目</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项目编号：</w:t>
      </w:r>
      <w:r>
        <w:rPr>
          <w:rFonts w:hint="eastAsia" w:ascii="宋体" w:hAnsi="宋体" w:cs="宋体"/>
          <w:sz w:val="24"/>
          <w:szCs w:val="24"/>
          <w:u w:val="single"/>
          <w:lang w:eastAsia="zh-CN"/>
        </w:rPr>
        <w:t>HYZX-2026-0401</w:t>
      </w:r>
      <w:r>
        <w:rPr>
          <w:rFonts w:hint="eastAsia" w:ascii="宋体" w:hAnsi="宋体" w:eastAsia="宋体" w:cs="宋体"/>
          <w:sz w:val="24"/>
          <w:szCs w:val="24"/>
          <w:u w:val="single"/>
        </w:rPr>
        <w:t>）</w:t>
      </w:r>
      <w:r>
        <w:rPr>
          <w:rFonts w:hint="eastAsia" w:ascii="宋体" w:hAnsi="宋体" w:cs="宋体"/>
          <w:sz w:val="24"/>
          <w:szCs w:val="24"/>
          <w:u w:val="none"/>
          <w:lang w:val="en-US" w:eastAsia="zh-CN"/>
        </w:rPr>
        <w:t>的</w:t>
      </w:r>
      <w:r>
        <w:rPr>
          <w:rFonts w:hint="eastAsia" w:ascii="宋体" w:hAnsi="宋体" w:cs="宋体"/>
          <w:sz w:val="24"/>
          <w:szCs w:val="24"/>
          <w:lang w:val="en-US" w:eastAsia="zh-CN"/>
        </w:rPr>
        <w:t>潜在</w:t>
      </w:r>
      <w:r>
        <w:rPr>
          <w:rFonts w:hint="eastAsia" w:ascii="宋体" w:hAnsi="宋体" w:eastAsia="宋体" w:cs="宋体"/>
          <w:sz w:val="24"/>
          <w:szCs w:val="24"/>
        </w:rPr>
        <w:t>供应商应在安徽衡宇工程咨询有限公司网</w:t>
      </w:r>
      <w:r>
        <w:rPr>
          <w:rFonts w:hint="eastAsia" w:ascii="宋体" w:hAnsi="宋体" w:cs="宋体"/>
          <w:sz w:val="24"/>
          <w:szCs w:val="24"/>
          <w:lang w:val="en-US" w:eastAsia="zh-CN"/>
        </w:rPr>
        <w:t>站</w:t>
      </w:r>
      <w:r>
        <w:rPr>
          <w:rFonts w:hint="eastAsia" w:ascii="宋体" w:hAnsi="宋体" w:eastAsia="宋体" w:cs="宋体"/>
          <w:sz w:val="24"/>
          <w:szCs w:val="24"/>
        </w:rPr>
        <w:t>（http://www.ahhygczx.com）</w:t>
      </w:r>
      <w:r>
        <w:rPr>
          <w:rFonts w:hint="eastAsia" w:ascii="宋体" w:hAnsi="宋体" w:eastAsia="宋体" w:cs="宋体"/>
          <w:color w:val="auto"/>
          <w:sz w:val="24"/>
          <w:szCs w:val="24"/>
          <w:u w:val="none"/>
        </w:rPr>
        <w:t>获取采购文件，并于</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u w:val="single"/>
          <w:lang w:val="en-US" w:eastAsia="zh-CN"/>
        </w:rPr>
        <w:t>04</w:t>
      </w:r>
      <w:r>
        <w:rPr>
          <w:rFonts w:hint="eastAsia" w:ascii="宋体" w:hAnsi="宋体" w:eastAsia="宋体" w:cs="宋体"/>
          <w:sz w:val="24"/>
          <w:szCs w:val="24"/>
        </w:rPr>
        <w:t>月</w:t>
      </w:r>
      <w:r>
        <w:rPr>
          <w:rFonts w:hint="eastAsia" w:ascii="宋体" w:hAnsi="宋体" w:cs="宋体"/>
          <w:sz w:val="24"/>
          <w:szCs w:val="24"/>
          <w:u w:val="single"/>
          <w:lang w:val="en-US" w:eastAsia="zh-CN"/>
        </w:rPr>
        <w:t>08</w:t>
      </w:r>
      <w:r>
        <w:rPr>
          <w:rFonts w:hint="eastAsia" w:ascii="宋体" w:hAnsi="宋体" w:eastAsia="宋体" w:cs="宋体"/>
          <w:sz w:val="24"/>
          <w:szCs w:val="24"/>
          <w:highlight w:val="none"/>
        </w:rPr>
        <w:t>日</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rPr>
        <w:t>点</w:t>
      </w:r>
      <w:r>
        <w:rPr>
          <w:rFonts w:hint="eastAsia" w:ascii="宋体" w:hAnsi="宋体" w:cs="宋体"/>
          <w:sz w:val="24"/>
          <w:szCs w:val="24"/>
          <w:highlight w:val="none"/>
          <w:u w:val="single"/>
          <w:lang w:val="en-US" w:eastAsia="zh-CN"/>
        </w:rPr>
        <w:t>00</w:t>
      </w:r>
      <w:r>
        <w:rPr>
          <w:rFonts w:hint="eastAsia" w:ascii="宋体" w:hAnsi="宋体" w:eastAsia="宋体" w:cs="宋体"/>
          <w:sz w:val="24"/>
          <w:szCs w:val="24"/>
          <w:highlight w:val="none"/>
        </w:rPr>
        <w:t>分（北</w:t>
      </w:r>
      <w:r>
        <w:rPr>
          <w:rFonts w:hint="eastAsia" w:ascii="宋体" w:hAnsi="宋体" w:eastAsia="宋体" w:cs="宋体"/>
          <w:sz w:val="24"/>
          <w:szCs w:val="24"/>
        </w:rPr>
        <w:t>京时间）前提交响应文件。</w:t>
      </w:r>
    </w:p>
    <w:p w14:paraId="6C9F569C">
      <w:pPr>
        <w:pStyle w:val="3"/>
        <w:pageBreakBefore w:val="0"/>
        <w:kinsoku/>
        <w:wordWrap/>
        <w:overflowPunct/>
        <w:topLinePunct w:val="0"/>
        <w:autoSpaceDE/>
        <w:autoSpaceDN/>
        <w:bidi w:val="0"/>
        <w:adjustRightInd/>
        <w:snapToGrid/>
        <w:spacing w:before="0" w:after="0" w:line="500" w:lineRule="exact"/>
        <w:ind w:left="0" w:leftChars="0"/>
        <w:jc w:val="both"/>
        <w:textAlignment w:val="auto"/>
        <w:rPr>
          <w:rFonts w:hint="eastAsia" w:ascii="宋体" w:hAnsi="宋体" w:eastAsia="宋体" w:cs="宋体"/>
          <w:b/>
          <w:bCs w:val="0"/>
          <w:sz w:val="24"/>
          <w:szCs w:val="24"/>
        </w:rPr>
      </w:pPr>
      <w:bookmarkStart w:id="4" w:name="_Toc28359089"/>
      <w:bookmarkStart w:id="5" w:name="_Toc28359012"/>
      <w:bookmarkStart w:id="6" w:name="_Toc35393798"/>
      <w:bookmarkStart w:id="7" w:name="_Toc25634"/>
      <w:bookmarkStart w:id="8" w:name="_Toc32104"/>
      <w:bookmarkStart w:id="9" w:name="_Toc35393629"/>
      <w:r>
        <w:rPr>
          <w:rFonts w:hint="eastAsia" w:ascii="宋体" w:hAnsi="宋体" w:eastAsia="宋体" w:cs="宋体"/>
          <w:b/>
          <w:bCs w:val="0"/>
          <w:sz w:val="24"/>
          <w:szCs w:val="24"/>
        </w:rPr>
        <w:t>一、项目基本情况</w:t>
      </w:r>
      <w:bookmarkEnd w:id="4"/>
      <w:bookmarkEnd w:id="5"/>
      <w:bookmarkEnd w:id="6"/>
      <w:bookmarkEnd w:id="7"/>
      <w:bookmarkEnd w:id="8"/>
      <w:bookmarkEnd w:id="9"/>
    </w:p>
    <w:p w14:paraId="34BF9CF1">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cs="宋体"/>
          <w:sz w:val="24"/>
          <w:szCs w:val="24"/>
          <w:lang w:eastAsia="zh-CN"/>
        </w:rPr>
        <w:t>HYZX-2026-0401</w:t>
      </w:r>
      <w:r>
        <w:rPr>
          <w:rFonts w:hint="eastAsia" w:ascii="宋体" w:hAnsi="宋体" w:eastAsia="宋体" w:cs="宋体"/>
          <w:sz w:val="24"/>
          <w:szCs w:val="24"/>
        </w:rPr>
        <w:t xml:space="preserve"> </w:t>
      </w:r>
    </w:p>
    <w:p w14:paraId="6A101D17">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cs="宋体"/>
          <w:sz w:val="24"/>
          <w:szCs w:val="24"/>
          <w:lang w:eastAsia="zh-CN"/>
        </w:rPr>
        <w:t>“</w:t>
      </w:r>
      <w:r>
        <w:rPr>
          <w:rFonts w:hint="eastAsia" w:ascii="宋体" w:hAnsi="宋体" w:cs="宋体"/>
          <w:sz w:val="24"/>
          <w:szCs w:val="24"/>
          <w:lang w:val="en-US" w:eastAsia="zh-CN"/>
        </w:rPr>
        <w:t>皖美宝藏小城霍山”短视频大赛主流媒体宣传服务项目</w:t>
      </w:r>
    </w:p>
    <w:p w14:paraId="7601C3E9">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3、项目类型：服务类</w:t>
      </w:r>
    </w:p>
    <w:p w14:paraId="01EA16D9">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4、采购方式：竞争性谈判</w:t>
      </w:r>
    </w:p>
    <w:p w14:paraId="3F7692D7">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FF0000"/>
          <w:sz w:val="24"/>
          <w:szCs w:val="24"/>
        </w:rPr>
      </w:pPr>
      <w:r>
        <w:rPr>
          <w:rFonts w:hint="eastAsia" w:ascii="宋体" w:hAnsi="宋体" w:eastAsia="宋体" w:cs="宋体"/>
          <w:sz w:val="24"/>
          <w:szCs w:val="24"/>
        </w:rPr>
        <w:t>5、预算金</w:t>
      </w:r>
      <w:r>
        <w:rPr>
          <w:rFonts w:hint="eastAsia" w:ascii="宋体" w:hAnsi="宋体" w:eastAsia="宋体" w:cs="宋体"/>
          <w:color w:val="auto"/>
          <w:sz w:val="24"/>
          <w:szCs w:val="24"/>
        </w:rPr>
        <w:t>额：</w:t>
      </w:r>
      <w:r>
        <w:rPr>
          <w:rFonts w:hint="eastAsia" w:ascii="宋体" w:hAnsi="宋体" w:cs="宋体"/>
          <w:color w:val="auto"/>
          <w:sz w:val="24"/>
          <w:szCs w:val="24"/>
          <w:u w:val="single"/>
          <w:lang w:val="en-US" w:eastAsia="zh-CN"/>
        </w:rPr>
        <w:t>17</w:t>
      </w:r>
      <w:r>
        <w:rPr>
          <w:rFonts w:hint="eastAsia" w:ascii="宋体" w:hAnsi="宋体" w:eastAsia="宋体" w:cs="宋体"/>
          <w:color w:val="auto"/>
          <w:sz w:val="24"/>
          <w:szCs w:val="24"/>
        </w:rPr>
        <w:t>万元</w:t>
      </w:r>
    </w:p>
    <w:p w14:paraId="6B6943BD">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6、最高限价：</w:t>
      </w:r>
      <w:r>
        <w:rPr>
          <w:rFonts w:hint="eastAsia" w:ascii="宋体" w:hAnsi="宋体" w:cs="宋体"/>
          <w:sz w:val="24"/>
          <w:szCs w:val="24"/>
          <w:u w:val="single"/>
          <w:lang w:val="en-US" w:eastAsia="zh-CN"/>
        </w:rPr>
        <w:t>17</w:t>
      </w:r>
      <w:r>
        <w:rPr>
          <w:rFonts w:hint="eastAsia" w:ascii="宋体" w:hAnsi="宋体" w:eastAsia="宋体" w:cs="宋体"/>
          <w:sz w:val="24"/>
          <w:szCs w:val="24"/>
        </w:rPr>
        <w:t>万元</w:t>
      </w:r>
    </w:p>
    <w:p w14:paraId="074DE8E1">
      <w:pPr>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7、采购需求：</w:t>
      </w:r>
      <w:r>
        <w:rPr>
          <w:rFonts w:hint="eastAsia" w:ascii="宋体" w:hAnsi="宋体" w:cs="宋体"/>
          <w:sz w:val="24"/>
          <w:szCs w:val="24"/>
          <w:lang w:val="en-US" w:eastAsia="zh-CN"/>
        </w:rPr>
        <w:t>“皖美宝藏小城霍山”短视频大赛是霍山县推动文旅融合、拓宽传播渠道的重要举措。通过全民参与的镜头语言，全方位展现霍山作为安徽省首批“皖美宝藏小城”的自然资源、红色文化和康养特色，进一步擦亮“千里大别山主峰在霍山”文旅品牌，推动线上流量与线下消费双向赋能。进一步扩大大赛活动成果，充分发挥主流媒体宣传效果。</w:t>
      </w:r>
    </w:p>
    <w:p w14:paraId="0E8EFEFD">
      <w:pPr>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8、合同履行期限：</w:t>
      </w:r>
      <w:r>
        <w:rPr>
          <w:rFonts w:hint="eastAsia" w:ascii="宋体" w:hAnsi="宋体" w:cs="宋体"/>
          <w:sz w:val="24"/>
          <w:szCs w:val="24"/>
          <w:highlight w:val="none"/>
          <w:lang w:val="en-US" w:eastAsia="zh-CN"/>
        </w:rPr>
        <w:t>自</w:t>
      </w:r>
      <w:r>
        <w:rPr>
          <w:rFonts w:hint="eastAsia" w:ascii="宋体" w:hAnsi="宋体" w:eastAsia="宋体" w:cs="宋体"/>
          <w:sz w:val="24"/>
          <w:szCs w:val="24"/>
          <w:highlight w:val="none"/>
          <w:lang w:val="en-US" w:eastAsia="zh-CN"/>
        </w:rPr>
        <w:t>合同签订后</w:t>
      </w:r>
      <w:r>
        <w:rPr>
          <w:rFonts w:hint="eastAsia" w:ascii="宋体" w:hAnsi="宋体" w:cs="宋体"/>
          <w:sz w:val="24"/>
          <w:szCs w:val="24"/>
          <w:highlight w:val="none"/>
          <w:lang w:val="en-US" w:eastAsia="zh-CN"/>
        </w:rPr>
        <w:t>至</w:t>
      </w:r>
      <w:r>
        <w:rPr>
          <w:rFonts w:hint="eastAsia" w:ascii="宋体" w:hAnsi="宋体" w:eastAsia="宋体" w:cs="宋体"/>
          <w:sz w:val="24"/>
          <w:szCs w:val="24"/>
          <w:highlight w:val="none"/>
          <w:lang w:val="en-US" w:eastAsia="zh-CN"/>
        </w:rPr>
        <w:t>2026年12月31日</w:t>
      </w:r>
      <w:r>
        <w:rPr>
          <w:rFonts w:hint="eastAsia" w:ascii="宋体" w:hAnsi="宋体" w:cs="宋体"/>
          <w:sz w:val="24"/>
          <w:szCs w:val="24"/>
          <w:highlight w:val="none"/>
          <w:lang w:val="en-US" w:eastAsia="zh-CN"/>
        </w:rPr>
        <w:t>止</w:t>
      </w:r>
    </w:p>
    <w:p w14:paraId="565915D4">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9、是否接受联合体：本项目不接受联合体。</w:t>
      </w:r>
    </w:p>
    <w:p w14:paraId="2154F386">
      <w:pPr>
        <w:pStyle w:val="3"/>
        <w:pageBreakBefore w:val="0"/>
        <w:kinsoku/>
        <w:wordWrap/>
        <w:overflowPunct/>
        <w:topLinePunct w:val="0"/>
        <w:autoSpaceDE/>
        <w:autoSpaceDN/>
        <w:bidi w:val="0"/>
        <w:adjustRightInd/>
        <w:snapToGrid/>
        <w:spacing w:before="0" w:after="0" w:line="500" w:lineRule="exact"/>
        <w:ind w:left="0" w:leftChars="0"/>
        <w:jc w:val="both"/>
        <w:textAlignment w:val="auto"/>
        <w:rPr>
          <w:rFonts w:hint="eastAsia" w:ascii="宋体" w:hAnsi="宋体" w:eastAsia="宋体" w:cs="宋体"/>
          <w:b/>
          <w:bCs w:val="0"/>
          <w:sz w:val="24"/>
          <w:szCs w:val="24"/>
        </w:rPr>
      </w:pPr>
      <w:bookmarkStart w:id="10" w:name="_Toc35393630"/>
      <w:bookmarkStart w:id="11" w:name="_Toc8072"/>
      <w:bookmarkStart w:id="12" w:name="_Toc28359013"/>
      <w:bookmarkStart w:id="13" w:name="_Toc35393799"/>
      <w:bookmarkStart w:id="14" w:name="_Toc28359090"/>
      <w:bookmarkStart w:id="15" w:name="_Toc5548"/>
      <w:r>
        <w:rPr>
          <w:rFonts w:hint="eastAsia" w:ascii="宋体" w:hAnsi="宋体" w:eastAsia="宋体" w:cs="宋体"/>
          <w:b/>
          <w:bCs w:val="0"/>
          <w:sz w:val="24"/>
          <w:szCs w:val="24"/>
        </w:rPr>
        <w:t>二、申请人的资格要求</w:t>
      </w:r>
      <w:bookmarkEnd w:id="10"/>
      <w:bookmarkEnd w:id="11"/>
      <w:bookmarkEnd w:id="12"/>
      <w:bookmarkEnd w:id="13"/>
      <w:bookmarkEnd w:id="14"/>
      <w:bookmarkEnd w:id="15"/>
    </w:p>
    <w:p w14:paraId="728BF290">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bookmarkStart w:id="16" w:name="_Toc28359014"/>
      <w:bookmarkStart w:id="17" w:name="_Toc28359091"/>
      <w:r>
        <w:rPr>
          <w:rFonts w:hint="eastAsia" w:ascii="宋体" w:hAnsi="宋体" w:eastAsia="宋体" w:cs="宋体"/>
          <w:sz w:val="24"/>
          <w:szCs w:val="24"/>
        </w:rPr>
        <w:t>1、满足《中华人民共和国政府采购法》第二十二条规定；</w:t>
      </w:r>
    </w:p>
    <w:p w14:paraId="1F745AA7">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落实政府采购政策需满足的资格要求：本项目为专门面向中小企业采购项目，供应商须为中小微企业，同时落实监狱企业、残疾人福利性单位扶持政策。</w:t>
      </w:r>
    </w:p>
    <w:p w14:paraId="43FE3802">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rPr>
        <w:t>本项目的特定资格要求：</w:t>
      </w:r>
      <w:r>
        <w:rPr>
          <w:rFonts w:hint="eastAsia" w:ascii="宋体" w:hAnsi="宋体" w:eastAsia="宋体" w:cs="宋体"/>
          <w:sz w:val="24"/>
          <w:szCs w:val="24"/>
          <w:lang w:eastAsia="zh-CN"/>
        </w:rPr>
        <w:t>无。</w:t>
      </w:r>
    </w:p>
    <w:bookmarkEnd w:id="16"/>
    <w:bookmarkEnd w:id="17"/>
    <w:p w14:paraId="6E2F93DD">
      <w:pPr>
        <w:pStyle w:val="3"/>
        <w:pageBreakBefore w:val="0"/>
        <w:kinsoku/>
        <w:wordWrap/>
        <w:overflowPunct/>
        <w:topLinePunct w:val="0"/>
        <w:autoSpaceDE/>
        <w:autoSpaceDN/>
        <w:bidi w:val="0"/>
        <w:adjustRightInd/>
        <w:snapToGrid/>
        <w:spacing w:before="0" w:after="0" w:line="500" w:lineRule="exact"/>
        <w:ind w:left="0" w:leftChars="0"/>
        <w:jc w:val="both"/>
        <w:textAlignment w:val="auto"/>
        <w:rPr>
          <w:rFonts w:hint="eastAsia" w:ascii="宋体" w:hAnsi="宋体" w:eastAsia="宋体" w:cs="宋体"/>
          <w:b/>
          <w:bCs w:val="0"/>
          <w:sz w:val="24"/>
          <w:szCs w:val="24"/>
        </w:rPr>
      </w:pPr>
      <w:bookmarkStart w:id="18" w:name="_Toc35393800"/>
      <w:bookmarkStart w:id="19" w:name="_Toc15371"/>
      <w:bookmarkStart w:id="20" w:name="_Toc35393631"/>
      <w:bookmarkStart w:id="21" w:name="_Toc15899"/>
      <w:r>
        <w:rPr>
          <w:rFonts w:hint="eastAsia" w:ascii="宋体" w:hAnsi="宋体" w:eastAsia="宋体" w:cs="宋体"/>
          <w:b/>
          <w:bCs w:val="0"/>
          <w:sz w:val="24"/>
          <w:szCs w:val="24"/>
        </w:rPr>
        <w:t>三、获取采购文件</w:t>
      </w:r>
      <w:bookmarkEnd w:id="18"/>
      <w:bookmarkEnd w:id="19"/>
      <w:bookmarkEnd w:id="20"/>
      <w:bookmarkEnd w:id="21"/>
    </w:p>
    <w:p w14:paraId="726DFE15">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bCs/>
          <w:sz w:val="24"/>
          <w:szCs w:val="24"/>
          <w:highlight w:val="none"/>
          <w:u w:val="single"/>
          <w:lang w:val="en-US" w:eastAsia="zh-CN"/>
        </w:rPr>
        <w:t>202</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rPr>
        <w:t>年</w:t>
      </w:r>
      <w:r>
        <w:rPr>
          <w:rFonts w:hint="eastAsia" w:ascii="宋体" w:hAnsi="宋体" w:cs="宋体"/>
          <w:bCs/>
          <w:sz w:val="24"/>
          <w:szCs w:val="24"/>
          <w:highlight w:val="none"/>
          <w:u w:val="single"/>
          <w:lang w:val="en-US" w:eastAsia="zh-CN"/>
        </w:rPr>
        <w:t>04</w:t>
      </w:r>
      <w:r>
        <w:rPr>
          <w:rFonts w:hint="eastAsia" w:ascii="宋体" w:hAnsi="宋体" w:eastAsia="宋体" w:cs="宋体"/>
          <w:bCs/>
          <w:sz w:val="24"/>
          <w:szCs w:val="24"/>
          <w:highlight w:val="none"/>
        </w:rPr>
        <w:t>月</w:t>
      </w:r>
      <w:r>
        <w:rPr>
          <w:rFonts w:hint="eastAsia" w:ascii="宋体" w:hAnsi="宋体" w:cs="宋体"/>
          <w:bCs/>
          <w:sz w:val="24"/>
          <w:szCs w:val="24"/>
          <w:highlight w:val="none"/>
          <w:u w:val="single"/>
          <w:lang w:val="en-US" w:eastAsia="zh-CN"/>
        </w:rPr>
        <w:t>02</w:t>
      </w:r>
      <w:r>
        <w:rPr>
          <w:rFonts w:hint="eastAsia" w:ascii="宋体" w:hAnsi="宋体" w:eastAsia="宋体" w:cs="宋体"/>
          <w:bCs/>
          <w:sz w:val="24"/>
          <w:szCs w:val="24"/>
          <w:highlight w:val="none"/>
        </w:rPr>
        <w:t>日至</w:t>
      </w:r>
      <w:r>
        <w:rPr>
          <w:rFonts w:hint="eastAsia" w:ascii="宋体" w:hAnsi="宋体" w:eastAsia="宋体" w:cs="宋体"/>
          <w:bCs/>
          <w:sz w:val="24"/>
          <w:szCs w:val="24"/>
          <w:highlight w:val="none"/>
          <w:u w:val="single"/>
          <w:lang w:val="en-US" w:eastAsia="zh-CN"/>
        </w:rPr>
        <w:t>202</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rPr>
        <w:t>年</w:t>
      </w:r>
      <w:r>
        <w:rPr>
          <w:rFonts w:hint="eastAsia" w:ascii="宋体" w:hAnsi="宋体" w:cs="宋体"/>
          <w:bCs/>
          <w:sz w:val="24"/>
          <w:szCs w:val="24"/>
          <w:highlight w:val="none"/>
          <w:u w:val="single"/>
          <w:lang w:val="en-US" w:eastAsia="zh-CN"/>
        </w:rPr>
        <w:t>04</w:t>
      </w:r>
      <w:r>
        <w:rPr>
          <w:rFonts w:hint="eastAsia" w:ascii="宋体" w:hAnsi="宋体" w:eastAsia="宋体" w:cs="宋体"/>
          <w:bCs/>
          <w:sz w:val="24"/>
          <w:szCs w:val="24"/>
          <w:highlight w:val="none"/>
        </w:rPr>
        <w:t>月</w:t>
      </w:r>
      <w:r>
        <w:rPr>
          <w:rFonts w:hint="eastAsia" w:ascii="宋体" w:hAnsi="宋体" w:cs="宋体"/>
          <w:bCs/>
          <w:sz w:val="24"/>
          <w:szCs w:val="24"/>
          <w:highlight w:val="none"/>
          <w:u w:val="single"/>
          <w:lang w:val="en-US" w:eastAsia="zh-CN"/>
        </w:rPr>
        <w:t>08</w:t>
      </w:r>
      <w:r>
        <w:rPr>
          <w:rFonts w:hint="eastAsia" w:ascii="宋体" w:hAnsi="宋体" w:eastAsia="宋体" w:cs="宋体"/>
          <w:bCs/>
          <w:sz w:val="24"/>
          <w:szCs w:val="24"/>
          <w:highlight w:val="none"/>
        </w:rPr>
        <w:t>日</w:t>
      </w:r>
      <w:r>
        <w:rPr>
          <w:rFonts w:hint="eastAsia" w:ascii="宋体" w:hAnsi="宋体" w:cs="宋体"/>
          <w:bCs/>
          <w:sz w:val="24"/>
          <w:szCs w:val="24"/>
          <w:highlight w:val="none"/>
          <w:u w:val="single"/>
          <w:lang w:val="en-US" w:eastAsia="zh-CN"/>
        </w:rPr>
        <w:t>15</w:t>
      </w:r>
      <w:r>
        <w:rPr>
          <w:rFonts w:hint="eastAsia" w:ascii="宋体" w:hAnsi="宋体" w:eastAsia="宋体" w:cs="宋体"/>
          <w:sz w:val="24"/>
          <w:szCs w:val="24"/>
          <w:highlight w:val="none"/>
        </w:rPr>
        <w:t>点</w:t>
      </w:r>
      <w:r>
        <w:rPr>
          <w:rFonts w:hint="eastAsia" w:ascii="宋体" w:hAnsi="宋体" w:cs="宋体"/>
          <w:sz w:val="24"/>
          <w:szCs w:val="24"/>
          <w:highlight w:val="none"/>
          <w:u w:val="single"/>
          <w:lang w:val="en-US" w:eastAsia="zh-CN"/>
        </w:rPr>
        <w:t>00</w:t>
      </w:r>
      <w:r>
        <w:rPr>
          <w:rFonts w:hint="eastAsia" w:ascii="宋体" w:hAnsi="宋体" w:eastAsia="宋体" w:cs="宋体"/>
          <w:sz w:val="24"/>
          <w:szCs w:val="24"/>
          <w:highlight w:val="none"/>
        </w:rPr>
        <w:t xml:space="preserve">分（北京时间） </w:t>
      </w:r>
    </w:p>
    <w:p w14:paraId="6DCB7BE7">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w:t>
      </w:r>
      <w:r>
        <w:rPr>
          <w:rFonts w:hint="eastAsia" w:ascii="宋体" w:hAnsi="宋体" w:eastAsia="宋体" w:cs="宋体"/>
          <w:sz w:val="24"/>
          <w:szCs w:val="24"/>
          <w:highlight w:val="none"/>
          <w:lang w:val="en-US" w:eastAsia="zh-CN"/>
        </w:rPr>
        <w:t>安徽衡宇工程咨询有限公司网</w:t>
      </w:r>
      <w:r>
        <w:rPr>
          <w:rFonts w:hint="eastAsia" w:ascii="宋体" w:hAnsi="宋体" w:cs="宋体"/>
          <w:sz w:val="24"/>
          <w:szCs w:val="24"/>
          <w:highlight w:val="none"/>
          <w:lang w:val="en-US" w:eastAsia="zh-CN"/>
        </w:rPr>
        <w:t>站</w:t>
      </w:r>
      <w:r>
        <w:rPr>
          <w:rFonts w:hint="eastAsia" w:ascii="宋体" w:hAnsi="宋体" w:eastAsia="宋体" w:cs="宋体"/>
          <w:sz w:val="24"/>
          <w:szCs w:val="24"/>
          <w:highlight w:val="none"/>
          <w:lang w:val="en-US" w:eastAsia="zh-CN"/>
        </w:rPr>
        <w:t>（http://www.ahhygczx.com）。</w:t>
      </w:r>
    </w:p>
    <w:p w14:paraId="16C34E89">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3、获取方式：</w:t>
      </w:r>
      <w:r>
        <w:rPr>
          <w:rFonts w:hint="eastAsia" w:ascii="宋体" w:hAnsi="宋体" w:eastAsia="宋体" w:cs="宋体"/>
          <w:sz w:val="24"/>
          <w:szCs w:val="24"/>
          <w:highlight w:val="none"/>
          <w:lang w:val="en-US" w:eastAsia="zh-CN"/>
        </w:rPr>
        <w:t>本项目</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文件（答疑澄清等相关文件资料）均由供应商从公告发布网站自行下载。</w:t>
      </w:r>
    </w:p>
    <w:p w14:paraId="5EB90F15">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4、售</w:t>
      </w:r>
      <w:r>
        <w:rPr>
          <w:rFonts w:hint="eastAsia" w:ascii="宋体" w:hAnsi="宋体" w:eastAsia="宋体" w:cs="宋体"/>
          <w:sz w:val="24"/>
          <w:szCs w:val="24"/>
          <w:highlight w:val="none"/>
        </w:rPr>
        <w:t>价：零元</w:t>
      </w:r>
    </w:p>
    <w:p w14:paraId="61534AC1">
      <w:pPr>
        <w:pStyle w:val="3"/>
        <w:pageBreakBefore w:val="0"/>
        <w:kinsoku/>
        <w:wordWrap/>
        <w:overflowPunct/>
        <w:topLinePunct w:val="0"/>
        <w:autoSpaceDE/>
        <w:autoSpaceDN/>
        <w:bidi w:val="0"/>
        <w:adjustRightInd/>
        <w:snapToGrid/>
        <w:spacing w:before="0" w:after="0" w:line="500" w:lineRule="exact"/>
        <w:ind w:left="0" w:leftChars="0"/>
        <w:jc w:val="both"/>
        <w:textAlignment w:val="auto"/>
        <w:rPr>
          <w:rFonts w:hint="eastAsia" w:ascii="宋体" w:hAnsi="宋体" w:eastAsia="宋体" w:cs="宋体"/>
          <w:b/>
          <w:bCs w:val="0"/>
          <w:sz w:val="24"/>
          <w:szCs w:val="24"/>
          <w:highlight w:val="none"/>
        </w:rPr>
      </w:pPr>
      <w:bookmarkStart w:id="22" w:name="_Toc28359092"/>
      <w:bookmarkStart w:id="23" w:name="_Toc35393632"/>
      <w:bookmarkStart w:id="24" w:name="_Toc35393801"/>
      <w:bookmarkStart w:id="25" w:name="_Toc28359015"/>
      <w:bookmarkStart w:id="26" w:name="_Toc13207"/>
      <w:bookmarkStart w:id="27" w:name="_Toc1753"/>
      <w:r>
        <w:rPr>
          <w:rFonts w:hint="eastAsia" w:ascii="宋体" w:hAnsi="宋体" w:eastAsia="宋体" w:cs="宋体"/>
          <w:b/>
          <w:bCs w:val="0"/>
          <w:sz w:val="24"/>
          <w:szCs w:val="24"/>
          <w:highlight w:val="none"/>
        </w:rPr>
        <w:t>四、响应文件</w:t>
      </w:r>
      <w:bookmarkEnd w:id="22"/>
      <w:bookmarkEnd w:id="23"/>
      <w:bookmarkEnd w:id="24"/>
      <w:bookmarkEnd w:id="25"/>
      <w:r>
        <w:rPr>
          <w:rFonts w:hint="eastAsia" w:ascii="宋体" w:hAnsi="宋体" w:eastAsia="宋体" w:cs="宋体"/>
          <w:b/>
          <w:bCs w:val="0"/>
          <w:sz w:val="24"/>
          <w:szCs w:val="24"/>
          <w:highlight w:val="none"/>
        </w:rPr>
        <w:t>提交</w:t>
      </w:r>
      <w:bookmarkEnd w:id="26"/>
      <w:bookmarkEnd w:id="27"/>
    </w:p>
    <w:p w14:paraId="74538F7D">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1、截止时间：</w:t>
      </w:r>
      <w:r>
        <w:rPr>
          <w:rFonts w:hint="eastAsia" w:ascii="宋体" w:hAnsi="宋体" w:eastAsia="宋体" w:cs="宋体"/>
          <w:bCs/>
          <w:sz w:val="24"/>
          <w:szCs w:val="24"/>
          <w:highlight w:val="none"/>
          <w:u w:val="single"/>
          <w:lang w:val="en-US" w:eastAsia="zh-CN"/>
        </w:rPr>
        <w:t>202</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rPr>
        <w:t>年</w:t>
      </w:r>
      <w:r>
        <w:rPr>
          <w:rFonts w:hint="eastAsia" w:ascii="宋体" w:hAnsi="宋体" w:cs="宋体"/>
          <w:bCs/>
          <w:sz w:val="24"/>
          <w:szCs w:val="24"/>
          <w:highlight w:val="none"/>
          <w:u w:val="single"/>
          <w:lang w:val="en-US" w:eastAsia="zh-CN"/>
        </w:rPr>
        <w:t>04</w:t>
      </w:r>
      <w:r>
        <w:rPr>
          <w:rFonts w:hint="eastAsia" w:ascii="宋体" w:hAnsi="宋体" w:eastAsia="宋体" w:cs="宋体"/>
          <w:bCs/>
          <w:sz w:val="24"/>
          <w:szCs w:val="24"/>
          <w:highlight w:val="none"/>
        </w:rPr>
        <w:t>月</w:t>
      </w:r>
      <w:r>
        <w:rPr>
          <w:rFonts w:hint="eastAsia" w:ascii="宋体" w:hAnsi="宋体" w:cs="宋体"/>
          <w:bCs/>
          <w:sz w:val="24"/>
          <w:szCs w:val="24"/>
          <w:highlight w:val="none"/>
          <w:u w:val="single"/>
          <w:lang w:val="en-US" w:eastAsia="zh-CN"/>
        </w:rPr>
        <w:t>08</w:t>
      </w:r>
      <w:r>
        <w:rPr>
          <w:rFonts w:hint="eastAsia" w:ascii="宋体" w:hAnsi="宋体" w:eastAsia="宋体" w:cs="宋体"/>
          <w:bCs/>
          <w:sz w:val="24"/>
          <w:szCs w:val="24"/>
          <w:highlight w:val="none"/>
        </w:rPr>
        <w:t>日</w:t>
      </w:r>
      <w:r>
        <w:rPr>
          <w:rFonts w:hint="eastAsia" w:ascii="宋体" w:hAnsi="宋体" w:cs="宋体"/>
          <w:bCs/>
          <w:sz w:val="24"/>
          <w:szCs w:val="24"/>
          <w:highlight w:val="none"/>
          <w:u w:val="single"/>
          <w:lang w:val="en-US" w:eastAsia="zh-CN"/>
        </w:rPr>
        <w:t>15</w:t>
      </w:r>
      <w:r>
        <w:rPr>
          <w:rFonts w:hint="eastAsia" w:ascii="宋体" w:hAnsi="宋体" w:eastAsia="宋体" w:cs="宋体"/>
          <w:sz w:val="24"/>
          <w:szCs w:val="24"/>
          <w:highlight w:val="none"/>
        </w:rPr>
        <w:t>点</w:t>
      </w:r>
      <w:r>
        <w:rPr>
          <w:rFonts w:hint="eastAsia" w:ascii="宋体" w:hAnsi="宋体" w:cs="宋体"/>
          <w:sz w:val="24"/>
          <w:szCs w:val="24"/>
          <w:highlight w:val="none"/>
          <w:u w:val="single"/>
          <w:lang w:val="en-US" w:eastAsia="zh-CN"/>
        </w:rPr>
        <w:t>00</w:t>
      </w:r>
      <w:r>
        <w:rPr>
          <w:rFonts w:hint="eastAsia" w:ascii="宋体" w:hAnsi="宋体" w:eastAsia="宋体" w:cs="宋体"/>
          <w:sz w:val="24"/>
          <w:szCs w:val="24"/>
          <w:highlight w:val="none"/>
        </w:rPr>
        <w:t>分</w:t>
      </w:r>
      <w:r>
        <w:rPr>
          <w:rFonts w:hint="eastAsia" w:ascii="宋体" w:hAnsi="宋体" w:eastAsia="宋体" w:cs="宋体"/>
          <w:bCs/>
          <w:sz w:val="24"/>
          <w:szCs w:val="24"/>
          <w:highlight w:val="none"/>
        </w:rPr>
        <w:t>（北京时间）</w:t>
      </w:r>
    </w:p>
    <w:p w14:paraId="1EE9541C">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2、提交方式：</w:t>
      </w:r>
      <w:r>
        <w:rPr>
          <w:rFonts w:hint="eastAsia" w:ascii="宋体" w:hAnsi="宋体" w:eastAsia="宋体" w:cs="宋体"/>
          <w:sz w:val="24"/>
          <w:szCs w:val="24"/>
          <w:highlight w:val="none"/>
          <w:lang w:val="en-US" w:eastAsia="zh-CN"/>
        </w:rPr>
        <w:t>现场递交</w:t>
      </w:r>
    </w:p>
    <w:p w14:paraId="5978FED4">
      <w:pPr>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3、递交地点：安徽衡宇工程咨询有限公司二楼开标厅</w:t>
      </w:r>
      <w:r>
        <w:rPr>
          <w:rFonts w:hint="eastAsia" w:ascii="宋体" w:hAnsi="宋体" w:eastAsia="宋体" w:cs="宋体"/>
          <w:sz w:val="24"/>
          <w:szCs w:val="24"/>
          <w:highlight w:val="none"/>
          <w:lang w:eastAsia="zh-CN"/>
        </w:rPr>
        <w:t>（霍山县衡山镇中兴南路16号（老建设局大院</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楼））</w:t>
      </w:r>
    </w:p>
    <w:p w14:paraId="787B36A0">
      <w:pPr>
        <w:pStyle w:val="3"/>
        <w:pageBreakBefore w:val="0"/>
        <w:kinsoku/>
        <w:wordWrap/>
        <w:overflowPunct/>
        <w:topLinePunct w:val="0"/>
        <w:autoSpaceDE/>
        <w:autoSpaceDN/>
        <w:bidi w:val="0"/>
        <w:adjustRightInd/>
        <w:snapToGrid/>
        <w:spacing w:before="0" w:after="0" w:line="500" w:lineRule="exact"/>
        <w:ind w:left="0" w:leftChars="0"/>
        <w:jc w:val="both"/>
        <w:textAlignment w:val="auto"/>
        <w:rPr>
          <w:rFonts w:hint="eastAsia" w:ascii="宋体" w:hAnsi="宋体" w:eastAsia="宋体" w:cs="宋体"/>
          <w:b/>
          <w:bCs w:val="0"/>
          <w:sz w:val="24"/>
          <w:szCs w:val="24"/>
          <w:highlight w:val="none"/>
        </w:rPr>
      </w:pPr>
      <w:bookmarkStart w:id="28" w:name="_Toc28359093"/>
      <w:bookmarkStart w:id="29" w:name="_Toc28359016"/>
      <w:bookmarkStart w:id="30" w:name="_Toc35393633"/>
      <w:bookmarkStart w:id="31" w:name="_Toc2653"/>
      <w:bookmarkStart w:id="32" w:name="_Toc31128"/>
      <w:bookmarkStart w:id="33" w:name="_Toc35393802"/>
      <w:r>
        <w:rPr>
          <w:rFonts w:hint="eastAsia" w:ascii="宋体" w:hAnsi="宋体" w:eastAsia="宋体" w:cs="宋体"/>
          <w:b/>
          <w:bCs w:val="0"/>
          <w:sz w:val="24"/>
          <w:szCs w:val="24"/>
          <w:highlight w:val="none"/>
        </w:rPr>
        <w:t>五、响应文件开启</w:t>
      </w:r>
      <w:bookmarkEnd w:id="28"/>
      <w:bookmarkEnd w:id="29"/>
      <w:bookmarkEnd w:id="30"/>
      <w:bookmarkEnd w:id="31"/>
      <w:bookmarkEnd w:id="32"/>
      <w:bookmarkEnd w:id="33"/>
    </w:p>
    <w:p w14:paraId="35D61A8C">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1、时间：</w:t>
      </w:r>
      <w:r>
        <w:rPr>
          <w:rFonts w:hint="eastAsia" w:ascii="宋体" w:hAnsi="宋体" w:eastAsia="宋体" w:cs="宋体"/>
          <w:bCs/>
          <w:sz w:val="24"/>
          <w:szCs w:val="24"/>
          <w:highlight w:val="none"/>
          <w:u w:val="single"/>
          <w:lang w:val="en-US" w:eastAsia="zh-CN"/>
        </w:rPr>
        <w:t>202</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rPr>
        <w:t>年</w:t>
      </w:r>
      <w:r>
        <w:rPr>
          <w:rFonts w:hint="eastAsia" w:ascii="宋体" w:hAnsi="宋体" w:cs="宋体"/>
          <w:bCs/>
          <w:sz w:val="24"/>
          <w:szCs w:val="24"/>
          <w:highlight w:val="none"/>
          <w:u w:val="single"/>
          <w:lang w:val="en-US" w:eastAsia="zh-CN"/>
        </w:rPr>
        <w:t>04</w:t>
      </w:r>
      <w:r>
        <w:rPr>
          <w:rFonts w:hint="eastAsia" w:ascii="宋体" w:hAnsi="宋体" w:eastAsia="宋体" w:cs="宋体"/>
          <w:bCs/>
          <w:sz w:val="24"/>
          <w:szCs w:val="24"/>
          <w:highlight w:val="none"/>
        </w:rPr>
        <w:t>月</w:t>
      </w:r>
      <w:r>
        <w:rPr>
          <w:rFonts w:hint="eastAsia" w:ascii="宋体" w:hAnsi="宋体" w:cs="宋体"/>
          <w:bCs/>
          <w:sz w:val="24"/>
          <w:szCs w:val="24"/>
          <w:highlight w:val="none"/>
          <w:u w:val="single"/>
          <w:lang w:val="en-US" w:eastAsia="zh-CN"/>
        </w:rPr>
        <w:t>08</w:t>
      </w:r>
      <w:r>
        <w:rPr>
          <w:rFonts w:hint="eastAsia" w:ascii="宋体" w:hAnsi="宋体" w:eastAsia="宋体" w:cs="宋体"/>
          <w:bCs/>
          <w:sz w:val="24"/>
          <w:szCs w:val="24"/>
          <w:highlight w:val="none"/>
        </w:rPr>
        <w:t>日</w:t>
      </w:r>
      <w:r>
        <w:rPr>
          <w:rFonts w:hint="eastAsia" w:ascii="宋体" w:hAnsi="宋体" w:cs="宋体"/>
          <w:bCs/>
          <w:sz w:val="24"/>
          <w:szCs w:val="24"/>
          <w:highlight w:val="none"/>
          <w:u w:val="single"/>
          <w:lang w:val="en-US" w:eastAsia="zh-CN"/>
        </w:rPr>
        <w:t>15</w:t>
      </w:r>
      <w:r>
        <w:rPr>
          <w:rFonts w:hint="eastAsia" w:ascii="宋体" w:hAnsi="宋体" w:eastAsia="宋体" w:cs="宋体"/>
          <w:sz w:val="24"/>
          <w:szCs w:val="24"/>
          <w:highlight w:val="none"/>
        </w:rPr>
        <w:t>点</w:t>
      </w:r>
      <w:r>
        <w:rPr>
          <w:rFonts w:hint="eastAsia" w:ascii="宋体" w:hAnsi="宋体" w:cs="宋体"/>
          <w:sz w:val="24"/>
          <w:szCs w:val="24"/>
          <w:highlight w:val="none"/>
          <w:u w:val="single"/>
          <w:lang w:val="en-US" w:eastAsia="zh-CN"/>
        </w:rPr>
        <w:t>00</w:t>
      </w:r>
      <w:r>
        <w:rPr>
          <w:rFonts w:hint="eastAsia" w:ascii="宋体" w:hAnsi="宋体" w:eastAsia="宋体" w:cs="宋体"/>
          <w:sz w:val="24"/>
          <w:szCs w:val="24"/>
          <w:highlight w:val="none"/>
        </w:rPr>
        <w:t>分（北京时间）</w:t>
      </w:r>
    </w:p>
    <w:p w14:paraId="2C7DA599">
      <w:pPr>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2、地点：</w:t>
      </w:r>
      <w:r>
        <w:rPr>
          <w:rFonts w:hint="eastAsia" w:ascii="宋体" w:hAnsi="宋体" w:eastAsia="宋体" w:cs="宋体"/>
          <w:sz w:val="24"/>
          <w:szCs w:val="24"/>
          <w:highlight w:val="none"/>
          <w:lang w:val="en-US" w:eastAsia="zh-CN"/>
        </w:rPr>
        <w:t>安徽衡宇工程咨询有限公司二楼开标厅</w:t>
      </w:r>
      <w:r>
        <w:rPr>
          <w:rFonts w:hint="eastAsia" w:ascii="宋体" w:hAnsi="宋体" w:eastAsia="宋体" w:cs="宋体"/>
          <w:sz w:val="24"/>
          <w:szCs w:val="24"/>
          <w:highlight w:val="none"/>
          <w:lang w:eastAsia="zh-CN"/>
        </w:rPr>
        <w:t>（霍山县衡山镇中兴南路16号</w:t>
      </w:r>
      <w:r>
        <w:rPr>
          <w:rFonts w:hint="eastAsia" w:ascii="宋体" w:hAnsi="宋体" w:eastAsia="宋体" w:cs="宋体"/>
          <w:sz w:val="24"/>
          <w:szCs w:val="24"/>
          <w:lang w:eastAsia="zh-CN"/>
        </w:rPr>
        <w:t>（老建设局大院</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楼））</w:t>
      </w:r>
    </w:p>
    <w:p w14:paraId="39B3EB57">
      <w:pPr>
        <w:pStyle w:val="3"/>
        <w:pageBreakBefore w:val="0"/>
        <w:kinsoku/>
        <w:wordWrap/>
        <w:overflowPunct/>
        <w:topLinePunct w:val="0"/>
        <w:autoSpaceDE/>
        <w:autoSpaceDN/>
        <w:bidi w:val="0"/>
        <w:adjustRightInd/>
        <w:snapToGrid/>
        <w:spacing w:before="0" w:after="0" w:line="500" w:lineRule="exact"/>
        <w:ind w:left="0" w:leftChars="0"/>
        <w:jc w:val="both"/>
        <w:textAlignment w:val="auto"/>
        <w:rPr>
          <w:rFonts w:hint="eastAsia" w:ascii="宋体" w:hAnsi="宋体" w:eastAsia="宋体" w:cs="宋体"/>
          <w:b/>
          <w:bCs w:val="0"/>
          <w:sz w:val="24"/>
          <w:szCs w:val="24"/>
        </w:rPr>
      </w:pPr>
      <w:bookmarkStart w:id="34" w:name="_Toc35393803"/>
      <w:bookmarkStart w:id="35" w:name="_Toc15099"/>
      <w:bookmarkStart w:id="36" w:name="_Toc25132"/>
      <w:bookmarkStart w:id="37" w:name="_Toc28359017"/>
      <w:bookmarkStart w:id="38" w:name="_Toc28359094"/>
      <w:bookmarkStart w:id="39" w:name="_Toc35393634"/>
      <w:r>
        <w:rPr>
          <w:rFonts w:hint="eastAsia" w:ascii="宋体" w:hAnsi="宋体" w:eastAsia="宋体" w:cs="宋体"/>
          <w:b/>
          <w:bCs w:val="0"/>
          <w:sz w:val="24"/>
          <w:szCs w:val="24"/>
        </w:rPr>
        <w:t>六、公告期限</w:t>
      </w:r>
      <w:bookmarkEnd w:id="34"/>
      <w:bookmarkEnd w:id="35"/>
      <w:bookmarkEnd w:id="36"/>
      <w:bookmarkEnd w:id="37"/>
      <w:bookmarkEnd w:id="38"/>
      <w:bookmarkEnd w:id="39"/>
    </w:p>
    <w:p w14:paraId="3DA722C2">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14:paraId="21EAD721">
      <w:pPr>
        <w:pageBreakBefore w:val="0"/>
        <w:kinsoku/>
        <w:wordWrap/>
        <w:overflowPunct/>
        <w:topLinePunct w:val="0"/>
        <w:autoSpaceDE/>
        <w:autoSpaceDN/>
        <w:bidi w:val="0"/>
        <w:adjustRightInd/>
        <w:snapToGrid/>
        <w:spacing w:line="500" w:lineRule="exact"/>
        <w:ind w:left="0" w:left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七、</w:t>
      </w:r>
      <w:bookmarkStart w:id="40" w:name="_Toc35393804"/>
      <w:bookmarkStart w:id="41" w:name="_Toc35393635"/>
      <w:r>
        <w:rPr>
          <w:rFonts w:hint="eastAsia" w:ascii="宋体" w:hAnsi="宋体" w:eastAsia="宋体" w:cs="宋体"/>
          <w:b/>
          <w:bCs/>
          <w:sz w:val="24"/>
          <w:szCs w:val="24"/>
        </w:rPr>
        <w:t>其他事宜</w:t>
      </w:r>
      <w:bookmarkEnd w:id="40"/>
      <w:bookmarkEnd w:id="41"/>
      <w:bookmarkStart w:id="42" w:name="_Toc28359095"/>
      <w:bookmarkStart w:id="43" w:name="_Toc28359018"/>
      <w:bookmarkStart w:id="44" w:name="_Toc35393805"/>
      <w:bookmarkStart w:id="45" w:name="_Toc35393636"/>
    </w:p>
    <w:p w14:paraId="50B0C4C4">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1、按照财政部、工业和信息化部制定的《政府采购促进中小企业发展管理办法》，本项目为专门面向中小企业采购项目。响应文件中须提供《中小企业声明函》，企业划型标准按照《关于印发中小企业划型标准规定的通知》（工信部联企业〔2011〕300 号）规定执行。 </w:t>
      </w:r>
    </w:p>
    <w:p w14:paraId="6D5FA3F8">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本项目采购标的所属行业：其他未列明行业。</w:t>
      </w:r>
    </w:p>
    <w:p w14:paraId="5D082CAE">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供应商应当按照本项目采购文件规定的时间和地点参与谈判，供应商仅确定一名人员参加：法定代表人持本人二代居民身份证原件和法定代表人身份证明（或授权委托代理人持本人二代居民身份证原件和法人授权委托书原件）</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凡不能出示上述有效证件或到场人员与证件载明的人员不一致或未出席谈判会议者，响应文件不予接受，谈判资格无效</w:t>
      </w:r>
      <w:r>
        <w:rPr>
          <w:rFonts w:hint="eastAsia" w:ascii="宋体" w:hAnsi="宋体" w:eastAsia="宋体" w:cs="宋体"/>
          <w:sz w:val="24"/>
          <w:szCs w:val="24"/>
          <w:lang w:val="en-US" w:eastAsia="zh-CN"/>
        </w:rPr>
        <w:t>。</w:t>
      </w:r>
    </w:p>
    <w:p w14:paraId="740BF2F2">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、答疑：供应商如果对本项目内容有相关疑问，可以以邮件形式提出，对采购文件进行的澄清、更正或更改，将在安徽衡宇工程咨询有限公司网</w:t>
      </w:r>
      <w:r>
        <w:rPr>
          <w:rFonts w:hint="eastAsia" w:ascii="宋体" w:hAnsi="宋体" w:cs="宋体"/>
          <w:sz w:val="24"/>
          <w:szCs w:val="24"/>
          <w:lang w:val="en-US" w:eastAsia="zh-CN"/>
        </w:rPr>
        <w:t>站</w:t>
      </w:r>
      <w:r>
        <w:rPr>
          <w:rFonts w:hint="eastAsia" w:ascii="宋体" w:hAnsi="宋体" w:eastAsia="宋体" w:cs="宋体"/>
          <w:sz w:val="24"/>
          <w:szCs w:val="24"/>
          <w:lang w:val="en-US" w:eastAsia="zh-CN"/>
        </w:rPr>
        <w:t>（http://www.ahhygczx.com）及时发布，该公告内容为采购文件的组成部分，对供应商具有同样约束力效力。供应商应主动上网查询，供应商须自行承担因未及时关注相关信息而引发的相关责任。</w:t>
      </w:r>
    </w:p>
    <w:p w14:paraId="1BEA2259">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、本项目相关公告在安徽衡宇工程咨询有限公司网</w:t>
      </w:r>
      <w:r>
        <w:rPr>
          <w:rFonts w:hint="eastAsia" w:ascii="宋体" w:hAnsi="宋体" w:cs="宋体"/>
          <w:sz w:val="24"/>
          <w:szCs w:val="24"/>
          <w:lang w:val="en-US" w:eastAsia="zh-CN"/>
        </w:rPr>
        <w:t>站</w:t>
      </w:r>
      <w:r>
        <w:rPr>
          <w:rFonts w:hint="eastAsia" w:ascii="宋体" w:hAnsi="宋体" w:eastAsia="宋体" w:cs="宋体"/>
          <w:sz w:val="24"/>
          <w:szCs w:val="24"/>
          <w:lang w:val="en-US" w:eastAsia="zh-CN"/>
        </w:rPr>
        <w:t>（http://www.ahhygczx.com）发布，请各位供应商注意查看有关竞争性谈判公告、答疑澄清等相关文件资料，如不及时查看造成后果由供应商自负。</w:t>
      </w:r>
    </w:p>
    <w:p w14:paraId="3F40FDB2">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、严禁恶意低价或恶意高价竞标，对恶意低价或恶意高价竞标的，采购人有权进行调查处理，经查证属实的，其响应资格无效，同时给予限制投标资格等处理。 </w:t>
      </w:r>
    </w:p>
    <w:p w14:paraId="6D44419A">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kern w:val="0"/>
          <w:sz w:val="24"/>
          <w:szCs w:val="24"/>
        </w:rPr>
      </w:pPr>
      <w:r>
        <w:rPr>
          <w:rFonts w:hint="eastAsia" w:ascii="宋体" w:hAnsi="宋体" w:cs="宋体"/>
          <w:bCs/>
          <w:kern w:val="0"/>
          <w:sz w:val="24"/>
          <w:szCs w:val="24"/>
          <w:lang w:val="en-US" w:eastAsia="zh-CN"/>
        </w:rPr>
        <w:t>6</w:t>
      </w:r>
      <w:r>
        <w:rPr>
          <w:rFonts w:hint="eastAsia" w:ascii="宋体" w:hAnsi="宋体" w:eastAsia="宋体" w:cs="宋体"/>
          <w:bCs/>
          <w:kern w:val="0"/>
          <w:sz w:val="24"/>
          <w:szCs w:val="24"/>
          <w:lang w:val="en-US" w:eastAsia="zh-CN"/>
        </w:rPr>
        <w:t>、</w:t>
      </w:r>
      <w:r>
        <w:rPr>
          <w:rFonts w:hint="eastAsia" w:ascii="宋体" w:hAnsi="宋体" w:eastAsia="宋体" w:cs="宋体"/>
          <w:bCs/>
          <w:kern w:val="0"/>
          <w:sz w:val="24"/>
          <w:szCs w:val="24"/>
        </w:rPr>
        <w:t>响应保证金：本项目无需提供。</w:t>
      </w:r>
    </w:p>
    <w:p w14:paraId="37CE7D61">
      <w:pPr>
        <w:pStyle w:val="3"/>
        <w:pageBreakBefore w:val="0"/>
        <w:kinsoku/>
        <w:wordWrap/>
        <w:overflowPunct/>
        <w:topLinePunct w:val="0"/>
        <w:autoSpaceDE/>
        <w:autoSpaceDN/>
        <w:bidi w:val="0"/>
        <w:adjustRightInd/>
        <w:snapToGrid/>
        <w:spacing w:before="0" w:after="0" w:line="500" w:lineRule="exact"/>
        <w:ind w:left="0" w:leftChars="0"/>
        <w:jc w:val="both"/>
        <w:textAlignment w:val="auto"/>
        <w:rPr>
          <w:rFonts w:hint="eastAsia" w:ascii="宋体" w:hAnsi="宋体" w:eastAsia="宋体" w:cs="宋体"/>
          <w:b w:val="0"/>
          <w:bCs/>
          <w:sz w:val="24"/>
          <w:szCs w:val="24"/>
        </w:rPr>
      </w:pPr>
      <w:bookmarkStart w:id="46" w:name="_Toc726"/>
      <w:bookmarkStart w:id="47" w:name="_Toc21256"/>
      <w:r>
        <w:rPr>
          <w:rFonts w:hint="eastAsia" w:ascii="宋体" w:hAnsi="宋体" w:eastAsia="宋体" w:cs="宋体"/>
          <w:b w:val="0"/>
          <w:bCs/>
          <w:sz w:val="24"/>
          <w:szCs w:val="24"/>
        </w:rPr>
        <w:t>八、凡对本次采购提出询问，请按以下方式联系。</w:t>
      </w:r>
      <w:bookmarkEnd w:id="42"/>
      <w:bookmarkEnd w:id="43"/>
      <w:bookmarkEnd w:id="44"/>
      <w:bookmarkEnd w:id="45"/>
      <w:bookmarkEnd w:id="46"/>
      <w:bookmarkEnd w:id="47"/>
    </w:p>
    <w:p w14:paraId="763E4583">
      <w:pPr>
        <w:pStyle w:val="3"/>
        <w:pageBreakBefore w:val="0"/>
        <w:kinsoku/>
        <w:wordWrap/>
        <w:overflowPunct/>
        <w:topLinePunct w:val="0"/>
        <w:autoSpaceDE/>
        <w:autoSpaceDN/>
        <w:bidi w:val="0"/>
        <w:adjustRightInd/>
        <w:snapToGrid/>
        <w:spacing w:before="0" w:after="0" w:line="500" w:lineRule="exact"/>
        <w:ind w:left="0" w:leftChars="0" w:firstLine="480" w:firstLineChars="200"/>
        <w:jc w:val="both"/>
        <w:textAlignment w:val="auto"/>
        <w:rPr>
          <w:rFonts w:hint="eastAsia" w:ascii="宋体" w:hAnsi="宋体" w:eastAsia="宋体" w:cs="宋体"/>
          <w:b w:val="0"/>
          <w:bCs/>
          <w:sz w:val="24"/>
          <w:szCs w:val="24"/>
        </w:rPr>
      </w:pPr>
      <w:bookmarkStart w:id="48" w:name="_Toc15509"/>
      <w:bookmarkStart w:id="49" w:name="_Toc28359096"/>
      <w:bookmarkStart w:id="50" w:name="_Toc28359019"/>
      <w:bookmarkStart w:id="51" w:name="_Toc12167"/>
      <w:bookmarkStart w:id="52" w:name="_Toc35393637"/>
      <w:bookmarkStart w:id="53" w:name="_Toc35393806"/>
      <w:r>
        <w:rPr>
          <w:rFonts w:hint="eastAsia" w:ascii="宋体" w:hAnsi="宋体" w:eastAsia="宋体" w:cs="宋体"/>
          <w:b w:val="0"/>
          <w:bCs/>
          <w:sz w:val="24"/>
          <w:szCs w:val="24"/>
        </w:rPr>
        <w:t>1、采购人信息</w:t>
      </w:r>
      <w:bookmarkEnd w:id="48"/>
      <w:bookmarkEnd w:id="49"/>
      <w:bookmarkEnd w:id="50"/>
      <w:bookmarkEnd w:id="51"/>
      <w:bookmarkEnd w:id="52"/>
      <w:bookmarkEnd w:id="53"/>
    </w:p>
    <w:p w14:paraId="77A6A407">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名    称：</w:t>
      </w:r>
      <w:r>
        <w:rPr>
          <w:rFonts w:hint="eastAsia" w:ascii="宋体" w:hAnsi="宋体" w:eastAsia="宋体" w:cs="宋体"/>
          <w:bCs/>
          <w:sz w:val="24"/>
          <w:szCs w:val="24"/>
          <w:lang w:val="en-US" w:eastAsia="zh-CN"/>
        </w:rPr>
        <w:t>霍山县文化旅游体育局</w:t>
      </w:r>
    </w:p>
    <w:p w14:paraId="5919E82C">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地    址：霍山县行政中心主楼二楼</w:t>
      </w:r>
    </w:p>
    <w:p w14:paraId="35DD613B">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联系方式：</w:t>
      </w:r>
      <w:bookmarkStart w:id="54" w:name="_Toc35393807"/>
      <w:bookmarkStart w:id="55" w:name="_Toc28359097"/>
      <w:bookmarkStart w:id="56" w:name="_Toc28359020"/>
      <w:bookmarkStart w:id="57" w:name="_Toc35393638"/>
      <w:r>
        <w:rPr>
          <w:rFonts w:hint="eastAsia" w:ascii="宋体" w:hAnsi="宋体" w:eastAsia="宋体" w:cs="宋体"/>
          <w:bCs/>
          <w:sz w:val="24"/>
          <w:szCs w:val="24"/>
          <w:highlight w:val="none"/>
        </w:rPr>
        <w:t>0564-5020802</w:t>
      </w:r>
    </w:p>
    <w:p w14:paraId="74DEB93B">
      <w:pPr>
        <w:pageBreakBefore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采购代理机构信息</w:t>
      </w:r>
      <w:bookmarkEnd w:id="54"/>
      <w:bookmarkEnd w:id="55"/>
      <w:bookmarkEnd w:id="56"/>
      <w:bookmarkEnd w:id="57"/>
      <w:bookmarkStart w:id="58" w:name="_Toc28359021"/>
      <w:bookmarkStart w:id="59" w:name="_Toc35393808"/>
      <w:bookmarkStart w:id="60" w:name="_Toc35393639"/>
      <w:bookmarkStart w:id="61" w:name="_Toc28359098"/>
    </w:p>
    <w:p w14:paraId="557D341E">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名 称：</w:t>
      </w:r>
      <w:r>
        <w:rPr>
          <w:rFonts w:hint="eastAsia" w:ascii="宋体" w:hAnsi="宋体" w:eastAsia="宋体" w:cs="宋体"/>
          <w:bCs/>
          <w:sz w:val="24"/>
          <w:szCs w:val="24"/>
          <w:lang w:eastAsia="zh-CN"/>
        </w:rPr>
        <w:t>安徽衡宇工程咨询有限公司</w:t>
      </w:r>
      <w:r>
        <w:rPr>
          <w:rFonts w:hint="eastAsia" w:ascii="宋体" w:hAnsi="宋体" w:eastAsia="宋体" w:cs="宋体"/>
          <w:bCs/>
          <w:sz w:val="24"/>
          <w:szCs w:val="24"/>
        </w:rPr>
        <w:t xml:space="preserve"> </w:t>
      </w:r>
    </w:p>
    <w:p w14:paraId="0486829D">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地　址：</w:t>
      </w:r>
      <w:r>
        <w:rPr>
          <w:rFonts w:hint="eastAsia" w:ascii="宋体" w:hAnsi="宋体" w:eastAsia="宋体" w:cs="宋体"/>
          <w:bCs/>
          <w:sz w:val="24"/>
          <w:szCs w:val="24"/>
          <w:lang w:eastAsia="zh-CN"/>
        </w:rPr>
        <w:t>霍山县衡山镇中兴南路</w:t>
      </w:r>
      <w:r>
        <w:rPr>
          <w:rFonts w:hint="eastAsia" w:ascii="宋体" w:hAnsi="宋体" w:eastAsia="宋体" w:cs="宋体"/>
          <w:bCs/>
          <w:sz w:val="24"/>
          <w:szCs w:val="24"/>
          <w:lang w:val="en-US" w:eastAsia="zh-CN"/>
        </w:rPr>
        <w:t>16号（老建设局大院三楼）</w:t>
      </w:r>
      <w:r>
        <w:rPr>
          <w:rFonts w:hint="eastAsia" w:ascii="宋体" w:hAnsi="宋体" w:eastAsia="宋体" w:cs="宋体"/>
          <w:bCs/>
          <w:sz w:val="24"/>
          <w:szCs w:val="24"/>
        </w:rPr>
        <w:t xml:space="preserve"> </w:t>
      </w:r>
    </w:p>
    <w:p w14:paraId="5BDEC103">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联系方式：0564-5029965</w:t>
      </w:r>
    </w:p>
    <w:p w14:paraId="25E4BF70">
      <w:pPr>
        <w:pageBreakBefore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3、项目联系方式</w:t>
      </w:r>
      <w:bookmarkEnd w:id="58"/>
      <w:bookmarkEnd w:id="59"/>
      <w:bookmarkEnd w:id="60"/>
      <w:bookmarkEnd w:id="61"/>
    </w:p>
    <w:p w14:paraId="14929836">
      <w:pPr>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项目</w:t>
      </w:r>
      <w:r>
        <w:rPr>
          <w:rFonts w:hint="eastAsia" w:ascii="宋体" w:hAnsi="宋体" w:cs="宋体"/>
          <w:bCs/>
          <w:sz w:val="24"/>
          <w:szCs w:val="24"/>
          <w:lang w:val="en-US" w:eastAsia="zh-CN"/>
        </w:rPr>
        <w:t>负责人</w:t>
      </w:r>
      <w:r>
        <w:rPr>
          <w:rFonts w:hint="eastAsia" w:ascii="宋体" w:hAnsi="宋体" w:eastAsia="宋体" w:cs="宋体"/>
          <w:bCs/>
          <w:sz w:val="24"/>
          <w:szCs w:val="24"/>
        </w:rPr>
        <w:t>：</w:t>
      </w:r>
      <w:r>
        <w:rPr>
          <w:rFonts w:hint="eastAsia" w:ascii="宋体" w:hAnsi="宋体" w:eastAsia="宋体" w:cs="宋体"/>
          <w:bCs/>
          <w:sz w:val="24"/>
          <w:szCs w:val="24"/>
          <w:lang w:eastAsia="zh-CN"/>
        </w:rPr>
        <w:t>朱</w:t>
      </w:r>
      <w:r>
        <w:rPr>
          <w:rFonts w:hint="eastAsia" w:ascii="宋体" w:hAnsi="宋体" w:cs="宋体"/>
          <w:bCs/>
          <w:sz w:val="24"/>
          <w:szCs w:val="24"/>
          <w:lang w:val="en-US" w:eastAsia="zh-CN"/>
        </w:rPr>
        <w:t>蓉蓉</w:t>
      </w:r>
    </w:p>
    <w:p w14:paraId="0FAD6F61">
      <w:pPr>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电　   话：0564-5029965</w:t>
      </w:r>
    </w:p>
    <w:p w14:paraId="06BE5CBE">
      <w:pPr>
        <w:pStyle w:val="33"/>
        <w:pageBreakBefore w:val="0"/>
        <w:kinsoku/>
        <w:wordWrap/>
        <w:overflowPunct/>
        <w:topLinePunct w:val="0"/>
        <w:autoSpaceDE/>
        <w:autoSpaceDN/>
        <w:bidi w:val="0"/>
        <w:adjustRightInd/>
        <w:snapToGrid/>
        <w:spacing w:after="0" w:line="500" w:lineRule="exact"/>
        <w:ind w:left="0" w:leftChars="0" w:firstLine="0"/>
        <w:jc w:val="both"/>
        <w:textAlignment w:val="auto"/>
        <w:rPr>
          <w:rFonts w:hint="eastAsia" w:ascii="宋体" w:hAnsi="宋体" w:eastAsia="宋体" w:cs="宋体"/>
          <w:bCs/>
          <w:sz w:val="24"/>
          <w:szCs w:val="24"/>
        </w:rPr>
      </w:pPr>
    </w:p>
    <w:p w14:paraId="76D7B2B7">
      <w:pPr>
        <w:pStyle w:val="33"/>
        <w:pageBreakBefore w:val="0"/>
        <w:kinsoku/>
        <w:wordWrap/>
        <w:overflowPunct/>
        <w:topLinePunct w:val="0"/>
        <w:autoSpaceDE/>
        <w:autoSpaceDN/>
        <w:bidi w:val="0"/>
        <w:adjustRightInd/>
        <w:snapToGrid/>
        <w:spacing w:line="240" w:lineRule="auto"/>
        <w:ind w:firstLine="0"/>
        <w:jc w:val="righ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霍山县文化旅游体育局</w:t>
      </w:r>
    </w:p>
    <w:p w14:paraId="7742EA19">
      <w:pPr>
        <w:pStyle w:val="33"/>
        <w:pageBreakBefore w:val="0"/>
        <w:kinsoku/>
        <w:wordWrap/>
        <w:overflowPunct/>
        <w:topLinePunct w:val="0"/>
        <w:autoSpaceDE/>
        <w:autoSpaceDN/>
        <w:bidi w:val="0"/>
        <w:adjustRightInd/>
        <w:snapToGrid/>
        <w:spacing w:line="240" w:lineRule="auto"/>
        <w:ind w:firstLine="0"/>
        <w:jc w:val="righ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安徽衡宇工程咨询有限公司</w:t>
      </w:r>
      <w:r>
        <w:rPr>
          <w:rFonts w:hint="eastAsia" w:ascii="宋体" w:hAnsi="宋体" w:eastAsia="宋体" w:cs="宋体"/>
          <w:bCs/>
          <w:sz w:val="24"/>
          <w:szCs w:val="24"/>
        </w:rPr>
        <w:t xml:space="preserve"> </w:t>
      </w:r>
    </w:p>
    <w:p w14:paraId="15F95492">
      <w:pPr>
        <w:pageBreakBefore w:val="0"/>
        <w:kinsoku/>
        <w:wordWrap/>
        <w:overflowPunct/>
        <w:topLinePunct w:val="0"/>
        <w:autoSpaceDE/>
        <w:autoSpaceDN/>
        <w:bidi w:val="0"/>
        <w:adjustRightInd/>
        <w:snapToGrid/>
        <w:spacing w:line="24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年</w:t>
      </w:r>
      <w:r>
        <w:rPr>
          <w:rFonts w:hint="eastAsia" w:ascii="宋体" w:hAnsi="宋体" w:cs="宋体"/>
          <w:bCs/>
          <w:sz w:val="24"/>
          <w:szCs w:val="24"/>
          <w:highlight w:val="none"/>
          <w:lang w:val="en-US" w:eastAsia="zh-CN"/>
        </w:rPr>
        <w:t>04</w:t>
      </w:r>
      <w:r>
        <w:rPr>
          <w:rFonts w:hint="eastAsia" w:ascii="宋体" w:hAnsi="宋体" w:eastAsia="宋体" w:cs="宋体"/>
          <w:bCs/>
          <w:sz w:val="24"/>
          <w:szCs w:val="24"/>
          <w:highlight w:val="none"/>
        </w:rPr>
        <w:t>月</w:t>
      </w:r>
      <w:r>
        <w:rPr>
          <w:rFonts w:hint="eastAsia" w:ascii="宋体" w:hAnsi="宋体" w:cs="宋体"/>
          <w:bCs/>
          <w:sz w:val="24"/>
          <w:szCs w:val="24"/>
          <w:highlight w:val="none"/>
          <w:lang w:val="en-US" w:eastAsia="zh-CN"/>
        </w:rPr>
        <w:t>0</w:t>
      </w:r>
      <w:bookmarkStart w:id="147" w:name="_GoBack"/>
      <w:r>
        <w:rPr>
          <w:rFonts w:hint="eastAsia" w:ascii="宋体" w:hAnsi="宋体" w:cs="宋体"/>
          <w:bCs/>
          <w:sz w:val="24"/>
          <w:szCs w:val="24"/>
          <w:highlight w:val="none"/>
          <w:lang w:val="en-US" w:eastAsia="zh-CN"/>
        </w:rPr>
        <w:t>2</w:t>
      </w:r>
      <w:bookmarkEnd w:id="147"/>
      <w:r>
        <w:rPr>
          <w:rFonts w:hint="eastAsia" w:ascii="宋体" w:hAnsi="宋体" w:eastAsia="宋体" w:cs="宋体"/>
          <w:bCs/>
          <w:sz w:val="24"/>
          <w:szCs w:val="24"/>
          <w:highlight w:val="none"/>
        </w:rPr>
        <w:t>日</w:t>
      </w:r>
    </w:p>
    <w:p w14:paraId="461ABEEF">
      <w:pPr>
        <w:rPr>
          <w:rFonts w:ascii="宋体" w:hAnsi="宋体" w:cs="宋体"/>
          <w:sz w:val="28"/>
          <w:szCs w:val="28"/>
        </w:rPr>
      </w:pPr>
      <w:r>
        <w:rPr>
          <w:rFonts w:hint="eastAsia" w:ascii="宋体" w:hAnsi="宋体" w:cs="宋体"/>
          <w:sz w:val="28"/>
          <w:szCs w:val="28"/>
        </w:rPr>
        <w:br w:type="page"/>
      </w:r>
    </w:p>
    <w:p w14:paraId="61B96D7F">
      <w:pPr>
        <w:pStyle w:val="3"/>
        <w:spacing w:before="120" w:beforeLines="50" w:after="120" w:afterLines="50" w:line="560" w:lineRule="exact"/>
        <w:jc w:val="center"/>
        <w:rPr>
          <w:rFonts w:ascii="宋体" w:hAnsi="宋体" w:eastAsia="宋体" w:cs="宋体"/>
          <w:sz w:val="28"/>
          <w:szCs w:val="28"/>
        </w:rPr>
      </w:pPr>
      <w:bookmarkStart w:id="62" w:name="_Toc16403"/>
      <w:r>
        <w:rPr>
          <w:rFonts w:hint="eastAsia" w:ascii="宋体" w:hAnsi="宋体" w:eastAsia="宋体" w:cs="宋体"/>
          <w:sz w:val="28"/>
          <w:szCs w:val="28"/>
        </w:rPr>
        <w:t>一、供应商须知</w:t>
      </w:r>
      <w:bookmarkEnd w:id="2"/>
      <w:bookmarkEnd w:id="3"/>
      <w:bookmarkEnd w:id="62"/>
    </w:p>
    <w:p w14:paraId="5C3DA27F">
      <w:pPr>
        <w:pStyle w:val="3"/>
        <w:pageBreakBefore w:val="0"/>
        <w:kinsoku/>
        <w:wordWrap/>
        <w:overflowPunct/>
        <w:topLinePunct w:val="0"/>
        <w:autoSpaceDE/>
        <w:autoSpaceDN/>
        <w:bidi w:val="0"/>
        <w:spacing w:before="0" w:after="0" w:line="500" w:lineRule="exact"/>
        <w:jc w:val="center"/>
        <w:rPr>
          <w:rFonts w:hint="eastAsia" w:ascii="宋体" w:hAnsi="宋体" w:eastAsia="宋体" w:cs="宋体"/>
          <w:sz w:val="24"/>
          <w:szCs w:val="24"/>
        </w:rPr>
      </w:pPr>
      <w:bookmarkStart w:id="63" w:name="_Toc13653"/>
      <w:r>
        <w:rPr>
          <w:rFonts w:hint="eastAsia" w:ascii="宋体" w:hAnsi="宋体" w:eastAsia="宋体" w:cs="宋体"/>
          <w:sz w:val="24"/>
          <w:szCs w:val="24"/>
        </w:rPr>
        <w:t>（一）须知前附表</w:t>
      </w:r>
      <w:bookmarkEnd w:id="63"/>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680"/>
        <w:gridCol w:w="7130"/>
      </w:tblGrid>
      <w:tr w14:paraId="754D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2FC95EC">
            <w:pPr>
              <w:pageBreakBefore w:val="0"/>
              <w:kinsoku/>
              <w:wordWrap/>
              <w:overflowPunct/>
              <w:topLinePunct w:val="0"/>
              <w:autoSpaceDE/>
              <w:autoSpaceDN/>
              <w:bidi w:val="0"/>
              <w:spacing w:line="500" w:lineRule="exact"/>
              <w:jc w:val="center"/>
              <w:rPr>
                <w:rFonts w:hint="eastAsia" w:ascii="宋体" w:hAnsi="宋体" w:eastAsia="宋体" w:cs="宋体"/>
                <w:b/>
                <w:sz w:val="24"/>
                <w:szCs w:val="24"/>
              </w:rPr>
            </w:pPr>
            <w:bookmarkStart w:id="64" w:name="_Toc438107743"/>
            <w:bookmarkStart w:id="65" w:name="_Toc363199267"/>
            <w:bookmarkStart w:id="66" w:name="_Toc216158627"/>
            <w:r>
              <w:rPr>
                <w:rFonts w:hint="eastAsia" w:ascii="宋体" w:hAnsi="宋体" w:eastAsia="宋体" w:cs="宋体"/>
                <w:b/>
                <w:sz w:val="24"/>
                <w:szCs w:val="24"/>
              </w:rPr>
              <w:t>序号</w:t>
            </w:r>
          </w:p>
        </w:tc>
        <w:tc>
          <w:tcPr>
            <w:tcW w:w="1680" w:type="dxa"/>
            <w:vAlign w:val="center"/>
          </w:tcPr>
          <w:p w14:paraId="18D7E7DA">
            <w:pPr>
              <w:pageBreakBefore w:val="0"/>
              <w:kinsoku/>
              <w:wordWrap/>
              <w:overflowPunct/>
              <w:topLinePunct w:val="0"/>
              <w:autoSpaceDE/>
              <w:autoSpaceDN/>
              <w:bidi w:val="0"/>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内容</w:t>
            </w:r>
          </w:p>
        </w:tc>
        <w:tc>
          <w:tcPr>
            <w:tcW w:w="7130" w:type="dxa"/>
            <w:vAlign w:val="center"/>
          </w:tcPr>
          <w:p w14:paraId="698A3105">
            <w:pPr>
              <w:pStyle w:val="98"/>
              <w:pageBreakBefore w:val="0"/>
              <w:widowControl w:val="0"/>
              <w:kinsoku/>
              <w:wordWrap/>
              <w:overflowPunct/>
              <w:topLinePunct w:val="0"/>
              <w:autoSpaceDE/>
              <w:autoSpaceDN/>
              <w:bidi w:val="0"/>
              <w:spacing w:before="0" w:beforeAutospacing="0" w:after="0" w:afterAutospacing="0" w:line="500" w:lineRule="exact"/>
              <w:rPr>
                <w:rFonts w:hint="eastAsia" w:ascii="宋体" w:hAnsi="宋体" w:eastAsia="宋体" w:cs="宋体"/>
                <w:bCs w:val="0"/>
                <w:kern w:val="2"/>
                <w:sz w:val="24"/>
                <w:szCs w:val="24"/>
              </w:rPr>
            </w:pPr>
            <w:r>
              <w:rPr>
                <w:rFonts w:hint="eastAsia" w:ascii="宋体" w:hAnsi="宋体" w:eastAsia="宋体" w:cs="宋体"/>
                <w:bCs w:val="0"/>
                <w:kern w:val="2"/>
                <w:sz w:val="24"/>
                <w:szCs w:val="24"/>
              </w:rPr>
              <w:t>说明与要求</w:t>
            </w:r>
          </w:p>
        </w:tc>
      </w:tr>
      <w:tr w14:paraId="305C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0A9EC91C">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1</w:t>
            </w:r>
          </w:p>
        </w:tc>
        <w:tc>
          <w:tcPr>
            <w:tcW w:w="1680" w:type="dxa"/>
            <w:vAlign w:val="center"/>
          </w:tcPr>
          <w:p w14:paraId="6A6253D9">
            <w:pPr>
              <w:pageBreakBefore w:val="0"/>
              <w:kinsoku/>
              <w:wordWrap/>
              <w:overflowPunct/>
              <w:topLinePunct w:val="0"/>
              <w:autoSpaceDE/>
              <w:autoSpaceDN/>
              <w:bidi w:val="0"/>
              <w:spacing w:line="500" w:lineRule="exact"/>
              <w:jc w:val="center"/>
              <w:rPr>
                <w:rFonts w:hint="eastAsia" w:ascii="宋体" w:hAnsi="宋体" w:eastAsia="宋体" w:cs="宋体"/>
                <w:sz w:val="24"/>
                <w:szCs w:val="24"/>
              </w:rPr>
            </w:pPr>
            <w:r>
              <w:rPr>
                <w:rFonts w:hint="eastAsia" w:ascii="宋体" w:hAnsi="宋体" w:eastAsia="宋体" w:cs="宋体"/>
                <w:bCs/>
                <w:sz w:val="24"/>
                <w:szCs w:val="24"/>
              </w:rPr>
              <w:t>采购人</w:t>
            </w:r>
          </w:p>
        </w:tc>
        <w:tc>
          <w:tcPr>
            <w:tcW w:w="7130" w:type="dxa"/>
            <w:vAlign w:val="center"/>
          </w:tcPr>
          <w:p w14:paraId="4DE141E3">
            <w:pPr>
              <w:pageBreakBefore w:val="0"/>
              <w:kinsoku/>
              <w:wordWrap/>
              <w:overflowPunct/>
              <w:topLinePunct w:val="0"/>
              <w:autoSpaceDE/>
              <w:autoSpaceDN/>
              <w:bidi w:val="0"/>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霍山县文化旅游体育局</w:t>
            </w:r>
          </w:p>
        </w:tc>
      </w:tr>
      <w:tr w14:paraId="3294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3EC8D1D1">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2</w:t>
            </w:r>
          </w:p>
        </w:tc>
        <w:tc>
          <w:tcPr>
            <w:tcW w:w="1680" w:type="dxa"/>
            <w:vAlign w:val="center"/>
          </w:tcPr>
          <w:p w14:paraId="4942FF9F">
            <w:pPr>
              <w:pageBreakBefore w:val="0"/>
              <w:kinsoku/>
              <w:wordWrap/>
              <w:overflowPunct/>
              <w:topLinePunct w:val="0"/>
              <w:autoSpaceDE/>
              <w:autoSpaceDN/>
              <w:bidi w:val="0"/>
              <w:spacing w:line="500" w:lineRule="exact"/>
              <w:jc w:val="center"/>
              <w:rPr>
                <w:rFonts w:hint="eastAsia" w:ascii="宋体" w:hAnsi="宋体" w:eastAsia="宋体" w:cs="宋体"/>
                <w:bCs/>
                <w:sz w:val="24"/>
                <w:szCs w:val="24"/>
              </w:rPr>
            </w:pPr>
            <w:r>
              <w:rPr>
                <w:rFonts w:hint="eastAsia" w:ascii="宋体" w:hAnsi="宋体" w:eastAsia="宋体" w:cs="宋体"/>
                <w:sz w:val="24"/>
                <w:szCs w:val="24"/>
              </w:rPr>
              <w:t>采购代理机构</w:t>
            </w:r>
          </w:p>
        </w:tc>
        <w:tc>
          <w:tcPr>
            <w:tcW w:w="7130" w:type="dxa"/>
            <w:vAlign w:val="center"/>
          </w:tcPr>
          <w:p w14:paraId="4B5CAB52">
            <w:pPr>
              <w:pageBreakBefore w:val="0"/>
              <w:kinsoku/>
              <w:wordWrap/>
              <w:overflowPunct/>
              <w:topLinePunct w:val="0"/>
              <w:autoSpaceDE/>
              <w:autoSpaceDN/>
              <w:bidi w:val="0"/>
              <w:spacing w:line="500" w:lineRule="exact"/>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bCs/>
                <w:sz w:val="24"/>
                <w:szCs w:val="24"/>
                <w:lang w:eastAsia="zh-CN"/>
              </w:rPr>
              <w:t>安徽衡宇工程咨询有限公司</w:t>
            </w:r>
            <w:r>
              <w:rPr>
                <w:rFonts w:hint="eastAsia" w:ascii="宋体" w:hAnsi="宋体" w:eastAsia="宋体" w:cs="宋体"/>
                <w:sz w:val="24"/>
                <w:szCs w:val="24"/>
              </w:rPr>
              <w:t xml:space="preserve"> </w:t>
            </w:r>
          </w:p>
          <w:p w14:paraId="5BAEF393">
            <w:pPr>
              <w:pageBreakBefore w:val="0"/>
              <w:kinsoku/>
              <w:wordWrap/>
              <w:overflowPunct/>
              <w:topLinePunct w:val="0"/>
              <w:autoSpaceDE/>
              <w:autoSpaceDN/>
              <w:bidi w:val="0"/>
              <w:spacing w:line="500" w:lineRule="exact"/>
              <w:jc w:val="left"/>
              <w:rPr>
                <w:rFonts w:hint="eastAsia" w:ascii="宋体" w:hAnsi="宋体" w:eastAsia="宋体" w:cs="宋体"/>
                <w:b/>
                <w:bCs/>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霍山县衡山镇中兴南路</w:t>
            </w:r>
            <w:r>
              <w:rPr>
                <w:rFonts w:hint="eastAsia" w:ascii="宋体" w:hAnsi="宋体" w:eastAsia="宋体" w:cs="宋体"/>
                <w:sz w:val="24"/>
                <w:szCs w:val="24"/>
                <w:lang w:val="en-US" w:eastAsia="zh-CN"/>
              </w:rPr>
              <w:t>16号（老建设局大院三楼）</w:t>
            </w:r>
            <w:r>
              <w:rPr>
                <w:rFonts w:hint="eastAsia" w:ascii="宋体" w:hAnsi="宋体" w:eastAsia="宋体" w:cs="宋体"/>
                <w:b/>
                <w:bCs/>
                <w:sz w:val="24"/>
                <w:szCs w:val="24"/>
              </w:rPr>
              <w:t xml:space="preserve"> </w:t>
            </w:r>
          </w:p>
        </w:tc>
      </w:tr>
      <w:tr w14:paraId="7D81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4B66EFE">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3</w:t>
            </w:r>
          </w:p>
        </w:tc>
        <w:tc>
          <w:tcPr>
            <w:tcW w:w="1680" w:type="dxa"/>
            <w:vAlign w:val="center"/>
          </w:tcPr>
          <w:p w14:paraId="47245A61">
            <w:pPr>
              <w:pageBreakBefore w:val="0"/>
              <w:kinsoku/>
              <w:wordWrap/>
              <w:overflowPunct/>
              <w:topLinePunct w:val="0"/>
              <w:autoSpaceDE/>
              <w:autoSpaceDN/>
              <w:bidi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谈判有效期</w:t>
            </w:r>
          </w:p>
        </w:tc>
        <w:tc>
          <w:tcPr>
            <w:tcW w:w="7130" w:type="dxa"/>
            <w:vAlign w:val="center"/>
          </w:tcPr>
          <w:p w14:paraId="41D7007E">
            <w:pPr>
              <w:pStyle w:val="98"/>
              <w:pageBreakBefore w:val="0"/>
              <w:widowControl w:val="0"/>
              <w:kinsoku/>
              <w:wordWrap/>
              <w:overflowPunct/>
              <w:topLinePunct w:val="0"/>
              <w:autoSpaceDE/>
              <w:autoSpaceDN/>
              <w:bidi w:val="0"/>
              <w:spacing w:before="0" w:beforeAutospacing="0" w:after="0" w:afterAutospacing="0" w:line="500" w:lineRule="exact"/>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响应文件提交截止日后30天</w:t>
            </w:r>
          </w:p>
        </w:tc>
      </w:tr>
      <w:tr w14:paraId="01F4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75C6DFC">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4</w:t>
            </w:r>
          </w:p>
        </w:tc>
        <w:tc>
          <w:tcPr>
            <w:tcW w:w="1680" w:type="dxa"/>
            <w:vAlign w:val="center"/>
          </w:tcPr>
          <w:p w14:paraId="62453DEE">
            <w:pPr>
              <w:pageBreakBefore w:val="0"/>
              <w:kinsoku/>
              <w:wordWrap/>
              <w:overflowPunct/>
              <w:topLinePunct w:val="0"/>
              <w:autoSpaceDE/>
              <w:autoSpaceDN/>
              <w:bidi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项目类型</w:t>
            </w:r>
          </w:p>
        </w:tc>
        <w:tc>
          <w:tcPr>
            <w:tcW w:w="7130" w:type="dxa"/>
            <w:vAlign w:val="center"/>
          </w:tcPr>
          <w:p w14:paraId="3A346660">
            <w:pPr>
              <w:pStyle w:val="98"/>
              <w:pageBreakBefore w:val="0"/>
              <w:widowControl w:val="0"/>
              <w:kinsoku/>
              <w:wordWrap/>
              <w:overflowPunct/>
              <w:topLinePunct w:val="0"/>
              <w:autoSpaceDE/>
              <w:autoSpaceDN/>
              <w:bidi w:val="0"/>
              <w:spacing w:before="0" w:beforeAutospacing="0" w:after="0" w:afterAutospacing="0" w:line="500" w:lineRule="exact"/>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服务类</w:t>
            </w:r>
          </w:p>
        </w:tc>
      </w:tr>
      <w:tr w14:paraId="20B1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241E128">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5</w:t>
            </w:r>
          </w:p>
        </w:tc>
        <w:tc>
          <w:tcPr>
            <w:tcW w:w="1680" w:type="dxa"/>
            <w:vAlign w:val="center"/>
          </w:tcPr>
          <w:p w14:paraId="59351A53">
            <w:pPr>
              <w:pageBreakBefore w:val="0"/>
              <w:kinsoku/>
              <w:wordWrap/>
              <w:overflowPunct/>
              <w:topLinePunct w:val="0"/>
              <w:autoSpaceDE/>
              <w:autoSpaceDN/>
              <w:bidi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130" w:type="dxa"/>
            <w:vAlign w:val="center"/>
          </w:tcPr>
          <w:p w14:paraId="54E842C6">
            <w:pPr>
              <w:pStyle w:val="98"/>
              <w:pageBreakBefore w:val="0"/>
              <w:widowControl w:val="0"/>
              <w:kinsoku/>
              <w:wordWrap/>
              <w:overflowPunct/>
              <w:topLinePunct w:val="0"/>
              <w:autoSpaceDE/>
              <w:autoSpaceDN/>
              <w:bidi w:val="0"/>
              <w:spacing w:before="0" w:beforeAutospacing="0" w:after="0" w:afterAutospacing="0" w:line="500" w:lineRule="exact"/>
              <w:jc w:val="both"/>
              <w:rPr>
                <w:rFonts w:hint="eastAsia" w:ascii="宋体" w:hAnsi="宋体" w:eastAsia="宋体" w:cs="宋体"/>
                <w:b w:val="0"/>
                <w:bCs w:val="0"/>
                <w:sz w:val="24"/>
                <w:szCs w:val="24"/>
              </w:rPr>
            </w:pPr>
            <w:r>
              <w:rPr>
                <w:rFonts w:hint="eastAsia" w:cs="宋体"/>
                <w:b w:val="0"/>
                <w:bCs w:val="0"/>
                <w:sz w:val="24"/>
                <w:szCs w:val="24"/>
                <w:lang w:val="en-US" w:eastAsia="zh-CN"/>
              </w:rPr>
              <w:t>“皖美宝藏小城霍山”短视频大赛主流媒体宣传服务项目</w:t>
            </w:r>
          </w:p>
        </w:tc>
      </w:tr>
      <w:tr w14:paraId="6066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02F9F787">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6</w:t>
            </w:r>
          </w:p>
        </w:tc>
        <w:tc>
          <w:tcPr>
            <w:tcW w:w="1680" w:type="dxa"/>
            <w:vAlign w:val="center"/>
          </w:tcPr>
          <w:p w14:paraId="528366E1">
            <w:pPr>
              <w:pageBreakBefore w:val="0"/>
              <w:kinsoku/>
              <w:wordWrap/>
              <w:overflowPunct/>
              <w:topLinePunct w:val="0"/>
              <w:autoSpaceDE/>
              <w:autoSpaceDN/>
              <w:bidi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130" w:type="dxa"/>
            <w:vAlign w:val="center"/>
          </w:tcPr>
          <w:p w14:paraId="4D2C9707">
            <w:pPr>
              <w:pStyle w:val="98"/>
              <w:pageBreakBefore w:val="0"/>
              <w:widowControl w:val="0"/>
              <w:kinsoku/>
              <w:wordWrap/>
              <w:overflowPunct/>
              <w:topLinePunct w:val="0"/>
              <w:autoSpaceDE/>
              <w:autoSpaceDN/>
              <w:bidi w:val="0"/>
              <w:spacing w:before="0" w:beforeAutospacing="0" w:after="0" w:afterAutospacing="0" w:line="500" w:lineRule="exact"/>
              <w:jc w:val="both"/>
              <w:rPr>
                <w:rFonts w:hint="eastAsia" w:ascii="宋体" w:hAnsi="宋体" w:eastAsia="宋体" w:cs="宋体"/>
                <w:b w:val="0"/>
                <w:bCs w:val="0"/>
                <w:sz w:val="24"/>
                <w:szCs w:val="24"/>
                <w:lang w:eastAsia="zh-CN"/>
              </w:rPr>
            </w:pPr>
            <w:r>
              <w:rPr>
                <w:rFonts w:hint="eastAsia" w:cs="宋体"/>
                <w:b w:val="0"/>
                <w:bCs w:val="0"/>
                <w:sz w:val="24"/>
                <w:szCs w:val="24"/>
                <w:lang w:eastAsia="zh-CN"/>
              </w:rPr>
              <w:t>HYZX-2026-0401</w:t>
            </w:r>
          </w:p>
        </w:tc>
      </w:tr>
      <w:tr w14:paraId="5EA1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31" w:hRule="atLeast"/>
          <w:jc w:val="center"/>
        </w:trPr>
        <w:tc>
          <w:tcPr>
            <w:tcW w:w="804" w:type="dxa"/>
            <w:vAlign w:val="center"/>
          </w:tcPr>
          <w:p w14:paraId="6174F801">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7</w:t>
            </w:r>
          </w:p>
        </w:tc>
        <w:tc>
          <w:tcPr>
            <w:tcW w:w="1680" w:type="dxa"/>
            <w:vAlign w:val="center"/>
          </w:tcPr>
          <w:p w14:paraId="426D1647">
            <w:pPr>
              <w:pageBreakBefore w:val="0"/>
              <w:kinsoku/>
              <w:wordWrap/>
              <w:overflowPunct/>
              <w:topLinePunct w:val="0"/>
              <w:autoSpaceDE/>
              <w:autoSpaceDN/>
              <w:bidi w:val="0"/>
              <w:spacing w:line="50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none"/>
              </w:rPr>
              <w:t>付款方式</w:t>
            </w:r>
          </w:p>
        </w:tc>
        <w:tc>
          <w:tcPr>
            <w:tcW w:w="7130" w:type="dxa"/>
            <w:vAlign w:val="center"/>
          </w:tcPr>
          <w:p w14:paraId="69981563">
            <w:pPr>
              <w:spacing w:before="234" w:line="400" w:lineRule="auto"/>
              <w:jc w:val="both"/>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SA"/>
              </w:rPr>
              <w:t>合同签订后完成任务50%，支付合同价50%。所有宣传内容完成后，经验收合格支付余款。</w:t>
            </w:r>
          </w:p>
        </w:tc>
      </w:tr>
      <w:tr w14:paraId="1910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C9637D6">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8</w:t>
            </w:r>
          </w:p>
        </w:tc>
        <w:tc>
          <w:tcPr>
            <w:tcW w:w="1680" w:type="dxa"/>
            <w:vAlign w:val="center"/>
          </w:tcPr>
          <w:p w14:paraId="06308402">
            <w:pPr>
              <w:pageBreakBefore w:val="0"/>
              <w:kinsoku/>
              <w:wordWrap/>
              <w:overflowPunct/>
              <w:topLinePunct w:val="0"/>
              <w:autoSpaceDE/>
              <w:autoSpaceDN/>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服务期</w:t>
            </w:r>
          </w:p>
        </w:tc>
        <w:tc>
          <w:tcPr>
            <w:tcW w:w="7130" w:type="dxa"/>
            <w:vAlign w:val="center"/>
          </w:tcPr>
          <w:p w14:paraId="225C7B0E">
            <w:pPr>
              <w:pStyle w:val="98"/>
              <w:pageBreakBefore w:val="0"/>
              <w:widowControl w:val="0"/>
              <w:kinsoku/>
              <w:wordWrap/>
              <w:overflowPunct/>
              <w:topLinePunct w:val="0"/>
              <w:autoSpaceDE/>
              <w:autoSpaceDN/>
              <w:bidi w:val="0"/>
              <w:spacing w:before="0" w:beforeAutospacing="0" w:after="0" w:afterAutospacing="0" w:line="500" w:lineRule="exact"/>
              <w:jc w:val="both"/>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自合同签订后至2026年12月31日止</w:t>
            </w:r>
          </w:p>
        </w:tc>
      </w:tr>
      <w:tr w14:paraId="205F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EB9D602">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9</w:t>
            </w:r>
          </w:p>
        </w:tc>
        <w:tc>
          <w:tcPr>
            <w:tcW w:w="1680" w:type="dxa"/>
            <w:vAlign w:val="center"/>
          </w:tcPr>
          <w:p w14:paraId="1C12AC7E">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bCs/>
                <w:kern w:val="2"/>
                <w:sz w:val="24"/>
                <w:szCs w:val="24"/>
              </w:rPr>
              <w:t>中标服务费</w:t>
            </w:r>
          </w:p>
        </w:tc>
        <w:tc>
          <w:tcPr>
            <w:tcW w:w="7130" w:type="dxa"/>
            <w:vAlign w:val="center"/>
          </w:tcPr>
          <w:p w14:paraId="15970FB4">
            <w:pPr>
              <w:pStyle w:val="96"/>
              <w:numPr>
                <w:ilvl w:val="0"/>
                <w:numId w:val="0"/>
              </w:numPr>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spacing w:val="-5"/>
                <w:sz w:val="24"/>
                <w:szCs w:val="24"/>
                <w:lang w:val="en-US" w:eastAsia="zh-CN"/>
              </w:rPr>
            </w:pPr>
            <w:r>
              <w:rPr>
                <w:rFonts w:hint="eastAsia" w:ascii="宋体" w:hAnsi="宋体" w:cs="宋体"/>
                <w:color w:val="auto"/>
                <w:szCs w:val="24"/>
                <w:highlight w:val="none"/>
              </w:rPr>
              <w:t>在领取成交通知书时，成交供应商须向采购代理机构交纳</w:t>
            </w:r>
            <w:r>
              <w:rPr>
                <w:rFonts w:hint="eastAsia" w:ascii="宋体" w:hAnsi="宋体" w:cs="宋体"/>
                <w:color w:val="auto"/>
                <w:szCs w:val="24"/>
                <w:highlight w:val="none"/>
                <w:lang w:eastAsia="zh-CN"/>
              </w:rPr>
              <w:t>招标</w:t>
            </w:r>
            <w:r>
              <w:rPr>
                <w:rFonts w:hint="eastAsia" w:ascii="宋体" w:hAnsi="宋体" w:cs="宋体"/>
                <w:color w:val="auto"/>
                <w:szCs w:val="24"/>
                <w:highlight w:val="none"/>
              </w:rPr>
              <w:t>代理服务费、专家评审费</w:t>
            </w:r>
            <w:r>
              <w:rPr>
                <w:rFonts w:hint="eastAsia" w:ascii="宋体" w:hAnsi="宋体" w:cs="宋体"/>
                <w:color w:val="auto"/>
                <w:szCs w:val="24"/>
                <w:highlight w:val="none"/>
                <w:lang w:eastAsia="zh-CN"/>
              </w:rPr>
              <w:t>。招标</w:t>
            </w:r>
            <w:r>
              <w:rPr>
                <w:rFonts w:hint="eastAsia" w:ascii="宋体" w:hAnsi="宋体" w:cs="宋体"/>
                <w:color w:val="auto"/>
                <w:szCs w:val="24"/>
                <w:highlight w:val="none"/>
              </w:rPr>
              <w:t>代理服务费计算基数为</w:t>
            </w:r>
            <w:r>
              <w:rPr>
                <w:rFonts w:hint="eastAsia" w:ascii="宋体" w:hAnsi="宋体" w:cs="宋体"/>
                <w:color w:val="auto"/>
                <w:szCs w:val="24"/>
                <w:highlight w:val="none"/>
                <w:lang w:val="en-US" w:eastAsia="zh-CN"/>
              </w:rPr>
              <w:t>成交</w:t>
            </w:r>
            <w:r>
              <w:rPr>
                <w:rFonts w:hint="eastAsia" w:ascii="宋体" w:hAnsi="宋体" w:cs="宋体"/>
                <w:color w:val="auto"/>
                <w:szCs w:val="24"/>
                <w:highlight w:val="none"/>
              </w:rPr>
              <w:t>价</w:t>
            </w:r>
            <w:r>
              <w:rPr>
                <w:rFonts w:hint="eastAsia" w:ascii="宋体" w:hAnsi="宋体" w:cs="宋体"/>
                <w:color w:val="auto"/>
                <w:szCs w:val="24"/>
                <w:highlight w:val="none"/>
                <w:lang w:eastAsia="zh-CN"/>
              </w:rPr>
              <w:t>，</w:t>
            </w:r>
            <w:r>
              <w:rPr>
                <w:rFonts w:hint="eastAsia" w:ascii="宋体" w:hAnsi="宋体" w:cs="宋体"/>
                <w:color w:val="auto"/>
                <w:szCs w:val="24"/>
                <w:highlight w:val="none"/>
              </w:rPr>
              <w:t>按</w:t>
            </w:r>
            <w:r>
              <w:rPr>
                <w:rFonts w:hint="eastAsia" w:ascii="宋体" w:hAnsi="宋体" w:eastAsia="宋体" w:cs="宋体"/>
                <w:spacing w:val="-5"/>
                <w:sz w:val="24"/>
                <w:szCs w:val="24"/>
                <w:lang w:val="en-US" w:eastAsia="zh-CN"/>
              </w:rPr>
              <w:t>按下列标准的100%收取：代理服务费的收取采用差额定率累进计费方式，具体收费标准为下表：</w:t>
            </w:r>
          </w:p>
          <w:tbl>
            <w:tblPr>
              <w:tblStyle w:val="36"/>
              <w:tblW w:w="7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773"/>
              <w:gridCol w:w="1773"/>
              <w:gridCol w:w="1773"/>
            </w:tblGrid>
            <w:tr w14:paraId="60D5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194906AD">
                  <w:pPr>
                    <w:pStyle w:val="96"/>
                    <w:numPr>
                      <w:ilvl w:val="0"/>
                      <w:numId w:val="0"/>
                    </w:numPr>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spacing w:val="-5"/>
                      <w:sz w:val="24"/>
                      <w:szCs w:val="24"/>
                      <w:vertAlign w:val="baseline"/>
                      <w:lang w:val="en-US" w:eastAsia="zh-CN"/>
                    </w:rPr>
                  </w:pPr>
                  <w:r>
                    <w:rPr>
                      <w:rFonts w:ascii="宋体" w:hAnsi="宋体" w:eastAsia="宋体" w:cs="宋体"/>
                      <w:spacing w:val="-4"/>
                      <w:sz w:val="24"/>
                      <w:szCs w:val="24"/>
                    </w:rPr>
                    <w:t>中标（成交）金额</w:t>
                  </w:r>
                  <w:r>
                    <w:rPr>
                      <w:rFonts w:ascii="宋体" w:hAnsi="宋体" w:eastAsia="宋体" w:cs="宋体"/>
                      <w:sz w:val="24"/>
                      <w:szCs w:val="24"/>
                    </w:rPr>
                    <w:t xml:space="preserve"> </w:t>
                  </w:r>
                  <w:r>
                    <w:rPr>
                      <w:rFonts w:ascii="宋体" w:hAnsi="宋体" w:eastAsia="宋体" w:cs="宋体"/>
                      <w:spacing w:val="-6"/>
                      <w:sz w:val="24"/>
                      <w:szCs w:val="24"/>
                    </w:rPr>
                    <w:t>（万元）</w:t>
                  </w:r>
                </w:p>
              </w:tc>
              <w:tc>
                <w:tcPr>
                  <w:tcW w:w="1773" w:type="dxa"/>
                  <w:shd w:val="clear" w:color="auto" w:fill="auto"/>
                  <w:vAlign w:val="center"/>
                </w:tcPr>
                <w:p w14:paraId="6BDE3E9D">
                  <w:pPr>
                    <w:pStyle w:val="96"/>
                    <w:numPr>
                      <w:ilvl w:val="0"/>
                      <w:numId w:val="0"/>
                    </w:numPr>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spacing w:val="-6"/>
                      <w:sz w:val="24"/>
                      <w:szCs w:val="24"/>
                      <w:lang w:val="en-US" w:eastAsia="zh-CN"/>
                    </w:rPr>
                  </w:pPr>
                  <w:r>
                    <w:rPr>
                      <w:rFonts w:ascii="宋体" w:hAnsi="宋体" w:eastAsia="宋体" w:cs="宋体"/>
                      <w:spacing w:val="-6"/>
                      <w:sz w:val="24"/>
                      <w:szCs w:val="24"/>
                    </w:rPr>
                    <w:t>货物类项目</w:t>
                  </w:r>
                </w:p>
              </w:tc>
              <w:tc>
                <w:tcPr>
                  <w:tcW w:w="1773" w:type="dxa"/>
                  <w:shd w:val="clear" w:color="auto" w:fill="auto"/>
                  <w:vAlign w:val="center"/>
                </w:tcPr>
                <w:p w14:paraId="221142EA">
                  <w:pPr>
                    <w:pStyle w:val="96"/>
                    <w:numPr>
                      <w:ilvl w:val="0"/>
                      <w:numId w:val="0"/>
                    </w:numPr>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spacing w:val="-6"/>
                      <w:sz w:val="24"/>
                      <w:szCs w:val="24"/>
                      <w:lang w:val="en-US" w:eastAsia="zh-CN"/>
                    </w:rPr>
                  </w:pPr>
                  <w:r>
                    <w:rPr>
                      <w:rFonts w:ascii="宋体" w:hAnsi="宋体" w:eastAsia="宋体" w:cs="宋体"/>
                      <w:spacing w:val="-6"/>
                      <w:sz w:val="24"/>
                      <w:szCs w:val="24"/>
                    </w:rPr>
                    <w:t>服务类项目</w:t>
                  </w:r>
                </w:p>
              </w:tc>
              <w:tc>
                <w:tcPr>
                  <w:tcW w:w="1773" w:type="dxa"/>
                  <w:shd w:val="clear" w:color="auto" w:fill="auto"/>
                  <w:vAlign w:val="center"/>
                </w:tcPr>
                <w:p w14:paraId="755E79BA">
                  <w:pPr>
                    <w:pStyle w:val="96"/>
                    <w:numPr>
                      <w:ilvl w:val="0"/>
                      <w:numId w:val="0"/>
                    </w:numPr>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spacing w:val="-6"/>
                      <w:sz w:val="24"/>
                      <w:szCs w:val="24"/>
                      <w:lang w:val="en-US" w:eastAsia="zh-CN"/>
                    </w:rPr>
                  </w:pPr>
                  <w:r>
                    <w:rPr>
                      <w:rFonts w:ascii="宋体" w:hAnsi="宋体" w:eastAsia="宋体" w:cs="宋体"/>
                      <w:spacing w:val="-6"/>
                      <w:sz w:val="24"/>
                      <w:szCs w:val="24"/>
                    </w:rPr>
                    <w:t>工程类项目</w:t>
                  </w:r>
                </w:p>
              </w:tc>
            </w:tr>
            <w:tr w14:paraId="11BE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5B2535F2">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100以下</w:t>
                  </w:r>
                </w:p>
              </w:tc>
              <w:tc>
                <w:tcPr>
                  <w:tcW w:w="1773" w:type="dxa"/>
                  <w:vAlign w:val="center"/>
                </w:tcPr>
                <w:p w14:paraId="5A4A64DD">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1.5%</w:t>
                  </w:r>
                </w:p>
              </w:tc>
              <w:tc>
                <w:tcPr>
                  <w:tcW w:w="1773" w:type="dxa"/>
                  <w:vAlign w:val="center"/>
                </w:tcPr>
                <w:p w14:paraId="2CD86FF3">
                  <w:pPr>
                    <w:pStyle w:val="96"/>
                    <w:numPr>
                      <w:ilvl w:val="0"/>
                      <w:numId w:val="0"/>
                    </w:numPr>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1.5%</w:t>
                  </w:r>
                </w:p>
              </w:tc>
              <w:tc>
                <w:tcPr>
                  <w:tcW w:w="1773" w:type="dxa"/>
                  <w:vAlign w:val="center"/>
                </w:tcPr>
                <w:p w14:paraId="5AB7962A">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1.0%</w:t>
                  </w:r>
                </w:p>
              </w:tc>
            </w:tr>
            <w:tr w14:paraId="055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3C4A4D3E">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100-500</w:t>
                  </w:r>
                </w:p>
              </w:tc>
              <w:tc>
                <w:tcPr>
                  <w:tcW w:w="1773" w:type="dxa"/>
                  <w:vAlign w:val="center"/>
                </w:tcPr>
                <w:p w14:paraId="64EDF0EB">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1.1%</w:t>
                  </w:r>
                </w:p>
              </w:tc>
              <w:tc>
                <w:tcPr>
                  <w:tcW w:w="1773" w:type="dxa"/>
                  <w:vAlign w:val="center"/>
                </w:tcPr>
                <w:p w14:paraId="6A82D127">
                  <w:pPr>
                    <w:pStyle w:val="96"/>
                    <w:numPr>
                      <w:ilvl w:val="0"/>
                      <w:numId w:val="0"/>
                    </w:numPr>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0.8%</w:t>
                  </w:r>
                </w:p>
              </w:tc>
              <w:tc>
                <w:tcPr>
                  <w:tcW w:w="1773" w:type="dxa"/>
                  <w:vAlign w:val="center"/>
                </w:tcPr>
                <w:p w14:paraId="361D8E62">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0.7%</w:t>
                  </w:r>
                </w:p>
              </w:tc>
            </w:tr>
            <w:tr w14:paraId="5FB2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7FA60D2">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500-1000</w:t>
                  </w:r>
                </w:p>
              </w:tc>
              <w:tc>
                <w:tcPr>
                  <w:tcW w:w="1773" w:type="dxa"/>
                  <w:vAlign w:val="center"/>
                </w:tcPr>
                <w:p w14:paraId="6DFA3257">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0.8%</w:t>
                  </w:r>
                </w:p>
              </w:tc>
              <w:tc>
                <w:tcPr>
                  <w:tcW w:w="1773" w:type="dxa"/>
                  <w:vAlign w:val="center"/>
                </w:tcPr>
                <w:p w14:paraId="7D217C18">
                  <w:pPr>
                    <w:pStyle w:val="96"/>
                    <w:numPr>
                      <w:ilvl w:val="0"/>
                      <w:numId w:val="0"/>
                    </w:numPr>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w:t>
                  </w:r>
                  <w:r>
                    <w:rPr>
                      <w:rFonts w:hint="eastAsia" w:ascii="宋体" w:hAnsi="宋体" w:cs="宋体"/>
                      <w:spacing w:val="-5"/>
                      <w:sz w:val="24"/>
                      <w:szCs w:val="24"/>
                      <w:vertAlign w:val="baseline"/>
                      <w:lang w:val="en-US" w:eastAsia="zh-CN"/>
                    </w:rPr>
                    <w:t>4</w:t>
                  </w:r>
                  <w:r>
                    <w:rPr>
                      <w:rFonts w:hint="eastAsia" w:ascii="宋体" w:hAnsi="宋体" w:eastAsia="宋体" w:cs="宋体"/>
                      <w:spacing w:val="-5"/>
                      <w:sz w:val="24"/>
                      <w:szCs w:val="24"/>
                      <w:vertAlign w:val="baseline"/>
                      <w:lang w:val="en-US" w:eastAsia="zh-CN"/>
                    </w:rPr>
                    <w:t>5%</w:t>
                  </w:r>
                </w:p>
              </w:tc>
              <w:tc>
                <w:tcPr>
                  <w:tcW w:w="1773" w:type="dxa"/>
                  <w:vAlign w:val="center"/>
                </w:tcPr>
                <w:p w14:paraId="0CF5544D">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0.55%</w:t>
                  </w:r>
                </w:p>
              </w:tc>
            </w:tr>
            <w:tr w14:paraId="287A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5ED6AB8">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1000-5000</w:t>
                  </w:r>
                </w:p>
              </w:tc>
              <w:tc>
                <w:tcPr>
                  <w:tcW w:w="1773" w:type="dxa"/>
                  <w:vAlign w:val="center"/>
                </w:tcPr>
                <w:p w14:paraId="0C825A65">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0.5%</w:t>
                  </w:r>
                </w:p>
              </w:tc>
              <w:tc>
                <w:tcPr>
                  <w:tcW w:w="1773" w:type="dxa"/>
                  <w:vAlign w:val="center"/>
                </w:tcPr>
                <w:p w14:paraId="41D7B48A">
                  <w:pPr>
                    <w:pStyle w:val="96"/>
                    <w:numPr>
                      <w:ilvl w:val="0"/>
                      <w:numId w:val="0"/>
                    </w:numPr>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0.25%</w:t>
                  </w:r>
                </w:p>
              </w:tc>
              <w:tc>
                <w:tcPr>
                  <w:tcW w:w="1773" w:type="dxa"/>
                  <w:vAlign w:val="center"/>
                </w:tcPr>
                <w:p w14:paraId="42313CE5">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0.35%</w:t>
                  </w:r>
                </w:p>
              </w:tc>
            </w:tr>
            <w:tr w14:paraId="181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351F3E3">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5000-10000</w:t>
                  </w:r>
                </w:p>
              </w:tc>
              <w:tc>
                <w:tcPr>
                  <w:tcW w:w="1773" w:type="dxa"/>
                  <w:vAlign w:val="center"/>
                </w:tcPr>
                <w:p w14:paraId="2A54CD54">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0.25%</w:t>
                  </w:r>
                </w:p>
              </w:tc>
              <w:tc>
                <w:tcPr>
                  <w:tcW w:w="1773" w:type="dxa"/>
                  <w:vAlign w:val="center"/>
                </w:tcPr>
                <w:p w14:paraId="446672AE">
                  <w:pPr>
                    <w:pStyle w:val="96"/>
                    <w:numPr>
                      <w:ilvl w:val="0"/>
                      <w:numId w:val="0"/>
                    </w:numPr>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0.1%</w:t>
                  </w:r>
                </w:p>
              </w:tc>
              <w:tc>
                <w:tcPr>
                  <w:tcW w:w="1773" w:type="dxa"/>
                  <w:vAlign w:val="center"/>
                </w:tcPr>
                <w:p w14:paraId="06AF5471">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0.2%</w:t>
                  </w:r>
                </w:p>
              </w:tc>
            </w:tr>
            <w:tr w14:paraId="59B5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720BE5CE">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10000-100000</w:t>
                  </w:r>
                </w:p>
              </w:tc>
              <w:tc>
                <w:tcPr>
                  <w:tcW w:w="1773" w:type="dxa"/>
                  <w:vAlign w:val="center"/>
                </w:tcPr>
                <w:p w14:paraId="2EE27929">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0.05%</w:t>
                  </w:r>
                </w:p>
              </w:tc>
              <w:tc>
                <w:tcPr>
                  <w:tcW w:w="1773" w:type="dxa"/>
                  <w:vAlign w:val="center"/>
                </w:tcPr>
                <w:p w14:paraId="094A778E">
                  <w:pPr>
                    <w:pStyle w:val="96"/>
                    <w:numPr>
                      <w:ilvl w:val="0"/>
                      <w:numId w:val="0"/>
                    </w:numPr>
                    <w:pBdr>
                      <w:bottom w:val="none" w:color="auto" w:sz="0" w:space="0"/>
                    </w:pBdr>
                    <w:tabs>
                      <w:tab w:val="clear" w:pos="4153"/>
                      <w:tab w:val="clear" w:pos="8306"/>
                    </w:tabs>
                    <w:adjustRightInd/>
                    <w:spacing w:line="440" w:lineRule="exact"/>
                    <w:ind w:left="0" w:leftChars="0" w:firstLine="0" w:firstLineChars="0"/>
                    <w:jc w:val="center"/>
                    <w:textAlignment w:val="auto"/>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0.05%</w:t>
                  </w:r>
                </w:p>
              </w:tc>
              <w:tc>
                <w:tcPr>
                  <w:tcW w:w="1773" w:type="dxa"/>
                  <w:vAlign w:val="center"/>
                </w:tcPr>
                <w:p w14:paraId="64171FFB">
                  <w:pPr>
                    <w:pStyle w:val="96"/>
                    <w:numPr>
                      <w:ilvl w:val="0"/>
                      <w:numId w:val="0"/>
                    </w:numPr>
                    <w:pBdr>
                      <w:bottom w:val="none" w:color="auto" w:sz="0" w:space="0"/>
                    </w:pBdr>
                    <w:tabs>
                      <w:tab w:val="clear" w:pos="4153"/>
                      <w:tab w:val="clear" w:pos="8306"/>
                    </w:tabs>
                    <w:adjustRightInd/>
                    <w:spacing w:line="440" w:lineRule="exact"/>
                    <w:ind w:left="0" w:leftChars="0" w:firstLine="0" w:firstLineChars="0"/>
                    <w:jc w:val="center"/>
                    <w:textAlignment w:val="auto"/>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0.05%</w:t>
                  </w:r>
                </w:p>
              </w:tc>
            </w:tr>
            <w:tr w14:paraId="501A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4BE2AA7">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100000以上</w:t>
                  </w:r>
                </w:p>
              </w:tc>
              <w:tc>
                <w:tcPr>
                  <w:tcW w:w="1773" w:type="dxa"/>
                  <w:vAlign w:val="center"/>
                </w:tcPr>
                <w:p w14:paraId="026422B1">
                  <w:pPr>
                    <w:pStyle w:val="96"/>
                    <w:numPr>
                      <w:ilvl w:val="0"/>
                      <w:numId w:val="0"/>
                    </w:numPr>
                    <w:pBdr>
                      <w:bottom w:val="none" w:color="auto" w:sz="0" w:space="0"/>
                    </w:pBdr>
                    <w:tabs>
                      <w:tab w:val="clear" w:pos="4153"/>
                      <w:tab w:val="clear" w:pos="8306"/>
                    </w:tabs>
                    <w:adjustRightInd/>
                    <w:spacing w:line="440" w:lineRule="exact"/>
                    <w:jc w:val="center"/>
                    <w:textAlignment w:val="auto"/>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0.01%</w:t>
                  </w:r>
                </w:p>
              </w:tc>
              <w:tc>
                <w:tcPr>
                  <w:tcW w:w="1773" w:type="dxa"/>
                  <w:vAlign w:val="center"/>
                </w:tcPr>
                <w:p w14:paraId="384EA32A">
                  <w:pPr>
                    <w:pStyle w:val="96"/>
                    <w:numPr>
                      <w:ilvl w:val="0"/>
                      <w:numId w:val="0"/>
                    </w:numPr>
                    <w:pBdr>
                      <w:bottom w:val="none" w:color="auto" w:sz="0" w:space="0"/>
                    </w:pBdr>
                    <w:tabs>
                      <w:tab w:val="clear" w:pos="4153"/>
                      <w:tab w:val="clear" w:pos="8306"/>
                    </w:tabs>
                    <w:adjustRightInd/>
                    <w:spacing w:line="440" w:lineRule="exact"/>
                    <w:ind w:left="0" w:leftChars="0" w:firstLine="0" w:firstLineChars="0"/>
                    <w:jc w:val="center"/>
                    <w:textAlignment w:val="auto"/>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0.01%</w:t>
                  </w:r>
                </w:p>
              </w:tc>
              <w:tc>
                <w:tcPr>
                  <w:tcW w:w="1773" w:type="dxa"/>
                  <w:vAlign w:val="center"/>
                </w:tcPr>
                <w:p w14:paraId="0D450C96">
                  <w:pPr>
                    <w:pStyle w:val="96"/>
                    <w:numPr>
                      <w:ilvl w:val="0"/>
                      <w:numId w:val="0"/>
                    </w:numPr>
                    <w:pBdr>
                      <w:bottom w:val="none" w:color="auto" w:sz="0" w:space="0"/>
                    </w:pBdr>
                    <w:tabs>
                      <w:tab w:val="clear" w:pos="4153"/>
                      <w:tab w:val="clear" w:pos="8306"/>
                    </w:tabs>
                    <w:adjustRightInd/>
                    <w:spacing w:line="440" w:lineRule="exact"/>
                    <w:ind w:left="0" w:leftChars="0" w:firstLine="0" w:firstLineChars="0"/>
                    <w:jc w:val="center"/>
                    <w:textAlignment w:val="auto"/>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vertAlign w:val="baseline"/>
                      <w:lang w:val="en-US" w:eastAsia="zh-CN"/>
                    </w:rPr>
                    <w:t>0.01%</w:t>
                  </w:r>
                </w:p>
              </w:tc>
            </w:tr>
          </w:tbl>
          <w:p w14:paraId="60CBC4FE">
            <w:pPr>
              <w:pageBreakBefore w:val="0"/>
              <w:kinsoku/>
              <w:wordWrap/>
              <w:overflowPunct/>
              <w:topLinePunct w:val="0"/>
              <w:autoSpaceDE/>
              <w:autoSpaceDN/>
              <w:bidi w:val="0"/>
              <w:spacing w:line="500" w:lineRule="exact"/>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注：代理服务费按差额定率累进法计算（</w:t>
            </w:r>
            <w:r>
              <w:rPr>
                <w:rFonts w:hint="eastAsia" w:ascii="宋体" w:hAnsi="宋体" w:eastAsia="宋体" w:cs="宋体"/>
                <w:bCs/>
                <w:sz w:val="24"/>
                <w:szCs w:val="24"/>
                <w:lang w:val="en-US" w:eastAsia="zh-CN"/>
              </w:rPr>
              <w:t>代理费不足2000元的按2000 元计取</w:t>
            </w:r>
            <w:r>
              <w:rPr>
                <w:rFonts w:hint="eastAsia" w:ascii="宋体" w:hAnsi="宋体" w:eastAsia="宋体" w:cs="宋体"/>
                <w:bCs/>
                <w:sz w:val="24"/>
                <w:szCs w:val="24"/>
                <w:lang w:val="zh-CN" w:eastAsia="zh-CN"/>
              </w:rPr>
              <w:t>）。专家评审费（具体以实际支付金额为准）由成交供应商在领取成交通知书时另行支付。</w:t>
            </w:r>
          </w:p>
          <w:p w14:paraId="6AC3CC82">
            <w:pPr>
              <w:pageBreakBefore w:val="0"/>
              <w:kinsoku/>
              <w:wordWrap/>
              <w:overflowPunct/>
              <w:topLinePunct w:val="0"/>
              <w:autoSpaceDE/>
              <w:autoSpaceDN/>
              <w:bidi w:val="0"/>
              <w:spacing w:line="50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供应商在报价时应充分考虑上述费用，并包含在投标报价的单价、合价与总价中，不单独进行报价。</w:t>
            </w:r>
          </w:p>
        </w:tc>
      </w:tr>
      <w:tr w14:paraId="30B7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B2F3E7B">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10</w:t>
            </w:r>
          </w:p>
        </w:tc>
        <w:tc>
          <w:tcPr>
            <w:tcW w:w="1680" w:type="dxa"/>
            <w:vAlign w:val="center"/>
          </w:tcPr>
          <w:p w14:paraId="162ACC50">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履约保证金</w:t>
            </w:r>
          </w:p>
        </w:tc>
        <w:tc>
          <w:tcPr>
            <w:tcW w:w="7130" w:type="dxa"/>
            <w:vAlign w:val="center"/>
          </w:tcPr>
          <w:p w14:paraId="38872793">
            <w:pPr>
              <w:pageBreakBefore w:val="0"/>
              <w:kinsoku/>
              <w:wordWrap/>
              <w:overflowPunct/>
              <w:topLinePunct w:val="0"/>
              <w:autoSpaceDE/>
              <w:autoSpaceDN/>
              <w:bidi w:val="0"/>
              <w:spacing w:line="500" w:lineRule="exact"/>
              <w:rPr>
                <w:rFonts w:hint="eastAsia" w:ascii="宋体" w:hAnsi="宋体" w:eastAsia="宋体" w:cs="宋体"/>
                <w:bCs/>
                <w:sz w:val="24"/>
                <w:szCs w:val="24"/>
              </w:rPr>
            </w:pPr>
            <w:r>
              <w:rPr>
                <w:rFonts w:hint="eastAsia" w:ascii="宋体" w:hAnsi="宋体" w:eastAsia="宋体" w:cs="宋体"/>
                <w:bCs/>
                <w:sz w:val="24"/>
                <w:szCs w:val="24"/>
              </w:rPr>
              <w:t>1、成交供应商在签订合同时应向采购人提交合同总价</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%的履约保证金（最高缴纳比例不得超过合同金额的2.5%）。</w:t>
            </w:r>
          </w:p>
          <w:p w14:paraId="6D78E101">
            <w:pPr>
              <w:pageBreakBefore w:val="0"/>
              <w:kinsoku/>
              <w:wordWrap/>
              <w:overflowPunct/>
              <w:topLinePunct w:val="0"/>
              <w:autoSpaceDE/>
              <w:autoSpaceDN/>
              <w:bidi w:val="0"/>
              <w:spacing w:line="500" w:lineRule="exact"/>
              <w:rPr>
                <w:rFonts w:hint="eastAsia" w:ascii="宋体" w:hAnsi="宋体" w:eastAsia="宋体" w:cs="宋体"/>
                <w:bCs/>
                <w:sz w:val="24"/>
                <w:szCs w:val="24"/>
              </w:rPr>
            </w:pPr>
            <w:r>
              <w:rPr>
                <w:rFonts w:hint="eastAsia" w:ascii="宋体" w:hAnsi="宋体" w:eastAsia="宋体" w:cs="宋体"/>
                <w:bCs/>
                <w:sz w:val="24"/>
                <w:szCs w:val="24"/>
              </w:rPr>
              <w:t>2、成交供应商可以通过转账、网银支付、汇票、支票、保证保险、担保保函、银行履约保函等方式提交履约保证金。</w:t>
            </w:r>
          </w:p>
          <w:p w14:paraId="050F63DF">
            <w:pPr>
              <w:pStyle w:val="33"/>
              <w:pageBreakBefore w:val="0"/>
              <w:kinsoku/>
              <w:wordWrap/>
              <w:overflowPunct/>
              <w:topLinePunct w:val="0"/>
              <w:autoSpaceDE/>
              <w:autoSpaceDN/>
              <w:bidi w:val="0"/>
              <w:spacing w:line="500" w:lineRule="exact"/>
              <w:ind w:firstLine="0"/>
              <w:rPr>
                <w:rFonts w:hint="eastAsia" w:ascii="宋体" w:hAnsi="宋体" w:eastAsia="宋体" w:cs="宋体"/>
                <w:sz w:val="24"/>
                <w:szCs w:val="24"/>
              </w:rPr>
            </w:pPr>
            <w:r>
              <w:rPr>
                <w:rFonts w:hint="eastAsia" w:ascii="宋体" w:hAnsi="宋体" w:eastAsia="宋体" w:cs="宋体"/>
                <w:sz w:val="24"/>
                <w:szCs w:val="24"/>
              </w:rPr>
              <w:t>3、项目验收结束后应及时退还履约保证金。</w:t>
            </w:r>
          </w:p>
        </w:tc>
      </w:tr>
      <w:tr w14:paraId="6757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403D23B1">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11</w:t>
            </w:r>
          </w:p>
        </w:tc>
        <w:tc>
          <w:tcPr>
            <w:tcW w:w="1680" w:type="dxa"/>
            <w:vAlign w:val="center"/>
          </w:tcPr>
          <w:p w14:paraId="5E66EB2A">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勘察及对接</w:t>
            </w:r>
          </w:p>
        </w:tc>
        <w:tc>
          <w:tcPr>
            <w:tcW w:w="7130" w:type="dxa"/>
            <w:vAlign w:val="center"/>
          </w:tcPr>
          <w:p w14:paraId="5D04740A">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请各供应商自行勘踏。</w:t>
            </w:r>
          </w:p>
        </w:tc>
      </w:tr>
      <w:tr w14:paraId="3364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5B907823">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12</w:t>
            </w:r>
          </w:p>
        </w:tc>
        <w:tc>
          <w:tcPr>
            <w:tcW w:w="1680" w:type="dxa"/>
            <w:vAlign w:val="center"/>
          </w:tcPr>
          <w:p w14:paraId="75F03BC9">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提问与回复</w:t>
            </w:r>
          </w:p>
        </w:tc>
        <w:tc>
          <w:tcPr>
            <w:tcW w:w="7130" w:type="dxa"/>
            <w:vAlign w:val="center"/>
          </w:tcPr>
          <w:p w14:paraId="65A1102C">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jc w:val="left"/>
              <w:textAlignment w:val="auto"/>
              <w:rPr>
                <w:rFonts w:hint="eastAsia" w:ascii="宋体" w:hAnsi="宋体" w:eastAsia="宋体" w:cs="宋体"/>
                <w:bCs/>
                <w:kern w:val="2"/>
                <w:sz w:val="24"/>
                <w:szCs w:val="24"/>
              </w:rPr>
            </w:pPr>
            <w:r>
              <w:rPr>
                <w:rFonts w:hint="eastAsia" w:ascii="宋体" w:hAnsi="宋体" w:cs="宋体"/>
                <w:bCs/>
                <w:kern w:val="2"/>
                <w:szCs w:val="24"/>
              </w:rPr>
              <w:t>供应商若对采购文件有关内容存在理解障碍，或认为采购文件表述有模糊不清之处，可通过</w:t>
            </w:r>
            <w:r>
              <w:rPr>
                <w:rFonts w:hint="eastAsia" w:ascii="宋体" w:hAnsi="宋体" w:cs="宋体"/>
                <w:bCs/>
                <w:kern w:val="2"/>
                <w:szCs w:val="24"/>
                <w:lang w:val="en-US"/>
              </w:rPr>
              <w:t>电子邮箱（</w:t>
            </w:r>
            <w:r>
              <w:rPr>
                <w:rFonts w:hint="eastAsia" w:ascii="宋体" w:hAnsi="宋体" w:cs="宋体"/>
                <w:szCs w:val="24"/>
              </w:rPr>
              <w:t>递交至</w:t>
            </w:r>
            <w:r>
              <w:rPr>
                <w:rFonts w:hint="eastAsia" w:ascii="宋体" w:hAnsi="宋体" w:cs="宋体"/>
                <w:szCs w:val="24"/>
                <w:lang w:val="en-US"/>
              </w:rPr>
              <w:t>943084965</w:t>
            </w:r>
            <w:r>
              <w:rPr>
                <w:rFonts w:hint="eastAsia" w:ascii="宋体" w:hAnsi="宋体" w:cs="宋体"/>
                <w:szCs w:val="24"/>
              </w:rPr>
              <w:t>@qq.com</w:t>
            </w:r>
            <w:r>
              <w:rPr>
                <w:rFonts w:hint="eastAsia" w:ascii="宋体" w:hAnsi="宋体" w:cs="宋体"/>
                <w:bCs/>
                <w:kern w:val="2"/>
                <w:szCs w:val="24"/>
                <w:lang w:val="en-US"/>
              </w:rPr>
              <w:t>）</w:t>
            </w:r>
            <w:r>
              <w:rPr>
                <w:rFonts w:hint="eastAsia" w:ascii="宋体" w:hAnsi="宋体" w:cs="宋体"/>
                <w:bCs/>
                <w:kern w:val="2"/>
                <w:szCs w:val="24"/>
              </w:rPr>
              <w:t>提出，采购人（采购代理机构）收到供应商提问后将及时通过</w:t>
            </w:r>
            <w:r>
              <w:rPr>
                <w:rFonts w:hint="eastAsia" w:ascii="宋体" w:hAnsi="宋体" w:cs="宋体"/>
                <w:bCs/>
                <w:kern w:val="2"/>
                <w:szCs w:val="24"/>
                <w:lang w:val="en-US"/>
              </w:rPr>
              <w:t>邮箱</w:t>
            </w:r>
            <w:r>
              <w:rPr>
                <w:rFonts w:hint="eastAsia" w:ascii="宋体" w:hAnsi="宋体" w:cs="宋体"/>
                <w:bCs/>
                <w:kern w:val="2"/>
                <w:szCs w:val="24"/>
              </w:rPr>
              <w:t>回复。供应商提问（</w:t>
            </w:r>
            <w:r>
              <w:rPr>
                <w:rFonts w:hint="eastAsia" w:ascii="宋体" w:hAnsi="宋体" w:cs="宋体"/>
                <w:bCs/>
                <w:kern w:val="2"/>
                <w:szCs w:val="24"/>
                <w:lang w:val="en-US"/>
              </w:rPr>
              <w:t>非质疑的一般性问题</w:t>
            </w:r>
            <w:r>
              <w:rPr>
                <w:rFonts w:hint="eastAsia" w:ascii="宋体" w:hAnsi="宋体" w:cs="宋体"/>
                <w:bCs/>
                <w:kern w:val="2"/>
                <w:szCs w:val="24"/>
              </w:rPr>
              <w:t>）时应当隐藏自身信息，直接提出针对项目的相关疑问即可。提交成功后请供应商及时通过</w:t>
            </w:r>
            <w:r>
              <w:rPr>
                <w:rFonts w:hint="eastAsia" w:ascii="宋体" w:hAnsi="宋体" w:cs="宋体"/>
                <w:bCs/>
                <w:kern w:val="2"/>
                <w:szCs w:val="24"/>
                <w:lang w:val="en-US"/>
              </w:rPr>
              <w:t>发出质疑的邮箱</w:t>
            </w:r>
            <w:r>
              <w:rPr>
                <w:rFonts w:hint="eastAsia" w:ascii="宋体" w:hAnsi="宋体" w:cs="宋体"/>
                <w:bCs/>
                <w:kern w:val="2"/>
                <w:szCs w:val="24"/>
              </w:rPr>
              <w:t>查看回复内容。</w:t>
            </w:r>
          </w:p>
        </w:tc>
      </w:tr>
      <w:tr w14:paraId="6D1B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65655418">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13</w:t>
            </w:r>
          </w:p>
        </w:tc>
        <w:tc>
          <w:tcPr>
            <w:tcW w:w="1680" w:type="dxa"/>
            <w:vAlign w:val="center"/>
          </w:tcPr>
          <w:p w14:paraId="1B008DAE">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质疑与答疑</w:t>
            </w:r>
          </w:p>
        </w:tc>
        <w:tc>
          <w:tcPr>
            <w:tcW w:w="7130" w:type="dxa"/>
            <w:vAlign w:val="center"/>
          </w:tcPr>
          <w:p w14:paraId="2E3157B5">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1、质疑提出</w:t>
            </w:r>
            <w:r>
              <w:rPr>
                <w:rFonts w:hint="eastAsia" w:ascii="宋体" w:hAnsi="宋体" w:eastAsia="宋体" w:cs="宋体"/>
                <w:bCs/>
                <w:kern w:val="2"/>
                <w:sz w:val="24"/>
                <w:szCs w:val="24"/>
                <w:lang w:val="en-US"/>
              </w:rPr>
              <w:t>具体步骤</w:t>
            </w:r>
            <w:r>
              <w:rPr>
                <w:rFonts w:hint="eastAsia" w:ascii="宋体" w:hAnsi="宋体" w:eastAsia="宋体" w:cs="宋体"/>
                <w:bCs/>
                <w:kern w:val="2"/>
                <w:sz w:val="24"/>
                <w:szCs w:val="24"/>
              </w:rPr>
              <w:t>：供应商若对采购文件有关内容存在质疑，可通过</w:t>
            </w:r>
            <w:r>
              <w:rPr>
                <w:rFonts w:hint="eastAsia" w:ascii="宋体" w:hAnsi="宋体" w:eastAsia="宋体" w:cs="宋体"/>
                <w:bCs/>
                <w:kern w:val="2"/>
                <w:sz w:val="24"/>
                <w:szCs w:val="24"/>
                <w:lang w:val="en-US"/>
              </w:rPr>
              <w:t>电子邮箱（</w:t>
            </w:r>
            <w:r>
              <w:rPr>
                <w:rFonts w:hint="eastAsia" w:ascii="宋体" w:hAnsi="宋体" w:eastAsia="宋体" w:cs="宋体"/>
                <w:bCs/>
                <w:kern w:val="2"/>
                <w:sz w:val="24"/>
                <w:szCs w:val="24"/>
              </w:rPr>
              <w:t>递交至邮箱</w:t>
            </w:r>
            <w:r>
              <w:rPr>
                <w:rFonts w:hint="eastAsia" w:ascii="宋体" w:hAnsi="宋体" w:eastAsia="宋体" w:cs="宋体"/>
                <w:bCs/>
                <w:kern w:val="2"/>
                <w:sz w:val="24"/>
                <w:szCs w:val="24"/>
                <w:lang w:val="en-US"/>
              </w:rPr>
              <w:t>943084965</w:t>
            </w:r>
            <w:r>
              <w:rPr>
                <w:rFonts w:hint="eastAsia" w:ascii="宋体" w:hAnsi="宋体" w:eastAsia="宋体" w:cs="宋体"/>
                <w:bCs/>
                <w:kern w:val="2"/>
                <w:sz w:val="24"/>
                <w:szCs w:val="24"/>
              </w:rPr>
              <w:t>@qq.com</w:t>
            </w:r>
            <w:r>
              <w:rPr>
                <w:rFonts w:hint="eastAsia" w:ascii="宋体" w:hAnsi="宋体" w:eastAsia="宋体" w:cs="宋体"/>
                <w:bCs/>
                <w:kern w:val="2"/>
                <w:sz w:val="24"/>
                <w:szCs w:val="24"/>
                <w:lang w:val="en-US"/>
              </w:rPr>
              <w:t>）</w:t>
            </w:r>
            <w:r>
              <w:rPr>
                <w:rFonts w:hint="eastAsia" w:ascii="宋体" w:hAnsi="宋体" w:eastAsia="宋体" w:cs="宋体"/>
                <w:bCs/>
                <w:kern w:val="2"/>
                <w:sz w:val="24"/>
                <w:szCs w:val="24"/>
              </w:rPr>
              <w:t>向采购人（采购代理机构）提出。质疑文件须按《政府采购质疑和投诉办法》（财政部令第94号）规定的要求制作（《质疑函》范本可通过“六安市公共资源交易中心（http://ggzy.luan.gov.cn）”-“政策法规”栏目下载），质疑文件不可匿名，须以附件形式加盖质疑人</w:t>
            </w:r>
            <w:r>
              <w:rPr>
                <w:rFonts w:hint="eastAsia" w:ascii="宋体" w:hAnsi="宋体" w:eastAsia="宋体" w:cs="宋体"/>
                <w:bCs/>
                <w:kern w:val="2"/>
                <w:sz w:val="24"/>
                <w:szCs w:val="24"/>
                <w:lang w:val="en-US"/>
              </w:rPr>
              <w:t>公章</w:t>
            </w:r>
            <w:r>
              <w:rPr>
                <w:rFonts w:hint="eastAsia" w:ascii="宋体" w:hAnsi="宋体" w:eastAsia="宋体" w:cs="宋体"/>
                <w:bCs/>
                <w:kern w:val="2"/>
                <w:sz w:val="24"/>
                <w:szCs w:val="24"/>
              </w:rPr>
              <w:t>签章后</w:t>
            </w:r>
            <w:r>
              <w:rPr>
                <w:rFonts w:hint="eastAsia" w:ascii="宋体" w:hAnsi="宋体" w:eastAsia="宋体" w:cs="宋体"/>
                <w:bCs/>
                <w:kern w:val="2"/>
                <w:sz w:val="24"/>
                <w:szCs w:val="24"/>
                <w:lang w:val="en-US"/>
              </w:rPr>
              <w:t>扫描</w:t>
            </w:r>
            <w:r>
              <w:rPr>
                <w:rFonts w:hint="eastAsia" w:ascii="宋体" w:hAnsi="宋体" w:eastAsia="宋体" w:cs="宋体"/>
                <w:bCs/>
                <w:kern w:val="2"/>
                <w:sz w:val="24"/>
                <w:szCs w:val="24"/>
              </w:rPr>
              <w:t>提交。</w:t>
            </w:r>
          </w:p>
          <w:p w14:paraId="6794CB7A">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2、质疑答</w:t>
            </w:r>
            <w:r>
              <w:rPr>
                <w:rFonts w:hint="eastAsia" w:ascii="宋体" w:hAnsi="宋体" w:eastAsia="宋体" w:cs="宋体"/>
                <w:bCs/>
                <w:kern w:val="2"/>
                <w:sz w:val="24"/>
                <w:szCs w:val="24"/>
                <w:lang w:val="en-US"/>
              </w:rPr>
              <w:t>复</w:t>
            </w:r>
            <w:r>
              <w:rPr>
                <w:rFonts w:hint="eastAsia" w:ascii="宋体" w:hAnsi="宋体" w:eastAsia="宋体" w:cs="宋体"/>
                <w:bCs/>
                <w:kern w:val="2"/>
                <w:sz w:val="24"/>
                <w:szCs w:val="24"/>
              </w:rPr>
              <w:t>获取具体步骤：采购人（采购代理机构）将通过</w:t>
            </w:r>
            <w:r>
              <w:rPr>
                <w:rFonts w:hint="eastAsia" w:ascii="宋体" w:hAnsi="宋体" w:eastAsia="宋体" w:cs="宋体"/>
                <w:bCs/>
                <w:kern w:val="2"/>
                <w:sz w:val="24"/>
                <w:szCs w:val="24"/>
                <w:lang w:val="en-US"/>
              </w:rPr>
              <w:t>邮箱</w:t>
            </w:r>
            <w:r>
              <w:rPr>
                <w:rFonts w:hint="eastAsia" w:ascii="宋体" w:hAnsi="宋体" w:eastAsia="宋体" w:cs="宋体"/>
                <w:bCs/>
                <w:kern w:val="2"/>
                <w:sz w:val="24"/>
                <w:szCs w:val="24"/>
              </w:rPr>
              <w:t>于收到质疑文件后七个工作日内答复，请质疑人及时</w:t>
            </w:r>
            <w:r>
              <w:rPr>
                <w:rFonts w:hint="eastAsia" w:ascii="宋体" w:hAnsi="宋体" w:eastAsia="宋体" w:cs="宋体"/>
                <w:bCs/>
                <w:kern w:val="2"/>
                <w:sz w:val="24"/>
                <w:szCs w:val="24"/>
                <w:lang w:val="en-US"/>
              </w:rPr>
              <w:t>通过发出质疑的邮箱</w:t>
            </w:r>
            <w:r>
              <w:rPr>
                <w:rFonts w:hint="eastAsia" w:ascii="宋体" w:hAnsi="宋体" w:eastAsia="宋体" w:cs="宋体"/>
                <w:bCs/>
                <w:kern w:val="2"/>
                <w:sz w:val="24"/>
                <w:szCs w:val="24"/>
              </w:rPr>
              <w:t>查收答疑文件。</w:t>
            </w:r>
          </w:p>
          <w:p w14:paraId="10157A7B">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请各潜在供应商在响应截止时间前，务必登录安徽衡宇工程咨询有限公司网（http://www.ahhygczx.com），查看是否发布有关该项目更正公告或澄清。更正公告或或澄清为采购文件的有效组成部分，一经发布即为视同已通知所有潜在供应商，若因未及时关注而造成的一切后果，由供应商自行承担。</w:t>
            </w:r>
          </w:p>
        </w:tc>
      </w:tr>
      <w:tr w14:paraId="2F41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0D5522E">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14</w:t>
            </w:r>
          </w:p>
        </w:tc>
        <w:tc>
          <w:tcPr>
            <w:tcW w:w="1680" w:type="dxa"/>
            <w:vAlign w:val="center"/>
          </w:tcPr>
          <w:p w14:paraId="3C95993B">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响应文件份数及要求</w:t>
            </w:r>
          </w:p>
        </w:tc>
        <w:tc>
          <w:tcPr>
            <w:tcW w:w="7130" w:type="dxa"/>
            <w:vAlign w:val="center"/>
          </w:tcPr>
          <w:p w14:paraId="10FA0D15">
            <w:pPr>
              <w:pStyle w:val="96"/>
              <w:pBdr>
                <w:bottom w:val="none" w:color="auto" w:sz="0" w:space="0"/>
              </w:pBdr>
              <w:tabs>
                <w:tab w:val="clear" w:pos="4153"/>
                <w:tab w:val="clear" w:pos="8306"/>
              </w:tabs>
              <w:adjustRightInd/>
              <w:spacing w:line="500" w:lineRule="exact"/>
              <w:jc w:val="left"/>
              <w:textAlignment w:val="auto"/>
              <w:rPr>
                <w:rFonts w:ascii="宋体" w:hAnsi="宋体"/>
                <w:szCs w:val="24"/>
              </w:rPr>
            </w:pPr>
            <w:r>
              <w:rPr>
                <w:rFonts w:hint="eastAsia" w:ascii="宋体" w:hAnsi="宋体"/>
                <w:szCs w:val="24"/>
              </w:rPr>
              <w:t>正本：1份 ；副本：</w:t>
            </w:r>
            <w:r>
              <w:rPr>
                <w:rFonts w:hint="eastAsia" w:ascii="宋体" w:hAnsi="宋体"/>
                <w:szCs w:val="24"/>
                <w:lang w:val="en-US"/>
              </w:rPr>
              <w:t>2</w:t>
            </w:r>
            <w:r>
              <w:rPr>
                <w:rFonts w:hint="eastAsia" w:ascii="宋体" w:hAnsi="宋体"/>
                <w:szCs w:val="24"/>
              </w:rPr>
              <w:t>份</w:t>
            </w:r>
          </w:p>
          <w:p w14:paraId="576478C6">
            <w:pPr>
              <w:pStyle w:val="96"/>
              <w:pBdr>
                <w:bottom w:val="none" w:color="auto" w:sz="0" w:space="0"/>
              </w:pBdr>
              <w:tabs>
                <w:tab w:val="clear" w:pos="4153"/>
                <w:tab w:val="clear" w:pos="8306"/>
              </w:tabs>
              <w:adjustRightInd/>
              <w:spacing w:line="500" w:lineRule="exact"/>
              <w:jc w:val="left"/>
              <w:textAlignment w:val="auto"/>
              <w:rPr>
                <w:rFonts w:ascii="宋体" w:hAnsi="宋体"/>
                <w:szCs w:val="24"/>
                <w:lang w:val="en-US"/>
              </w:rPr>
            </w:pPr>
            <w:r>
              <w:rPr>
                <w:rFonts w:hint="eastAsia" w:ascii="宋体" w:hAnsi="宋体"/>
                <w:szCs w:val="24"/>
                <w:lang w:val="en-US"/>
              </w:rPr>
              <w:t>要求：</w:t>
            </w:r>
          </w:p>
          <w:p w14:paraId="20721CC2">
            <w:pPr>
              <w:pStyle w:val="96"/>
              <w:pBdr>
                <w:bottom w:val="none" w:color="auto" w:sz="0" w:space="0"/>
              </w:pBdr>
              <w:tabs>
                <w:tab w:val="clear" w:pos="4153"/>
                <w:tab w:val="clear" w:pos="8306"/>
              </w:tabs>
              <w:adjustRightInd/>
              <w:spacing w:line="500" w:lineRule="exact"/>
              <w:jc w:val="left"/>
              <w:textAlignment w:val="auto"/>
              <w:rPr>
                <w:rFonts w:ascii="宋体" w:hAnsi="宋体"/>
                <w:szCs w:val="24"/>
              </w:rPr>
            </w:pPr>
            <w:r>
              <w:rPr>
                <w:rFonts w:hint="eastAsia" w:ascii="宋体" w:hAnsi="宋体"/>
                <w:szCs w:val="24"/>
                <w:lang w:val="en-US"/>
              </w:rPr>
              <w:t>1、</w:t>
            </w:r>
            <w:r>
              <w:rPr>
                <w:rFonts w:hint="eastAsia" w:ascii="宋体" w:hAnsi="宋体"/>
                <w:szCs w:val="24"/>
              </w:rPr>
              <w:t>响应文件正本/副本需要分别装订。</w:t>
            </w:r>
          </w:p>
          <w:p w14:paraId="4EF60509">
            <w:pPr>
              <w:pStyle w:val="96"/>
              <w:numPr>
                <w:ilvl w:val="0"/>
                <w:numId w:val="2"/>
              </w:numPr>
              <w:pBdr>
                <w:bottom w:val="none" w:color="auto" w:sz="0" w:space="0"/>
              </w:pBdr>
              <w:tabs>
                <w:tab w:val="clear" w:pos="4153"/>
                <w:tab w:val="clear" w:pos="8306"/>
              </w:tabs>
              <w:adjustRightInd/>
              <w:spacing w:line="500" w:lineRule="exact"/>
              <w:jc w:val="left"/>
              <w:textAlignment w:val="auto"/>
              <w:rPr>
                <w:rFonts w:ascii="宋体" w:hAnsi="宋体"/>
                <w:szCs w:val="24"/>
              </w:rPr>
            </w:pPr>
            <w:r>
              <w:rPr>
                <w:rFonts w:hint="eastAsia" w:ascii="宋体" w:hAnsi="宋体"/>
                <w:szCs w:val="24"/>
              </w:rPr>
              <w:t>如果响应文件没有按规定</w:t>
            </w:r>
            <w:r>
              <w:rPr>
                <w:rFonts w:hint="eastAsia" w:ascii="宋体" w:hAnsi="宋体"/>
                <w:szCs w:val="24"/>
                <w:lang w:val="en-US"/>
              </w:rPr>
              <w:t>胶装</w:t>
            </w:r>
            <w:r>
              <w:rPr>
                <w:rFonts w:hint="eastAsia" w:ascii="宋体" w:hAnsi="宋体"/>
                <w:szCs w:val="24"/>
              </w:rPr>
              <w:t>装订、分装、标记和密封，采购人和代理机构不承担提前开封的责任。</w:t>
            </w:r>
          </w:p>
          <w:p w14:paraId="741F4B4C">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jc w:val="left"/>
              <w:textAlignment w:val="auto"/>
              <w:rPr>
                <w:rFonts w:hint="eastAsia" w:ascii="宋体" w:hAnsi="宋体" w:eastAsia="宋体" w:cs="宋体"/>
                <w:bCs/>
                <w:kern w:val="2"/>
                <w:sz w:val="24"/>
                <w:szCs w:val="24"/>
              </w:rPr>
            </w:pPr>
            <w:r>
              <w:rPr>
                <w:rFonts w:hint="eastAsia" w:ascii="宋体" w:hAnsi="宋体"/>
                <w:szCs w:val="24"/>
              </w:rPr>
              <w:t>响应文件正本与副本可以包装在一起密封提交，也可以分开包装密封提交。</w:t>
            </w:r>
          </w:p>
        </w:tc>
      </w:tr>
      <w:tr w14:paraId="6F72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608943C">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15</w:t>
            </w:r>
          </w:p>
        </w:tc>
        <w:tc>
          <w:tcPr>
            <w:tcW w:w="1680" w:type="dxa"/>
            <w:vAlign w:val="center"/>
          </w:tcPr>
          <w:p w14:paraId="6DF14461">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递交响应文件注意事项</w:t>
            </w:r>
          </w:p>
        </w:tc>
        <w:tc>
          <w:tcPr>
            <w:tcW w:w="7130" w:type="dxa"/>
            <w:vAlign w:val="center"/>
          </w:tcPr>
          <w:p w14:paraId="41EA6B1C">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响应文件必须在响应截止时间前</w:t>
            </w:r>
            <w:r>
              <w:rPr>
                <w:rFonts w:hint="eastAsia" w:ascii="宋体" w:hAnsi="宋体" w:eastAsia="宋体" w:cs="宋体"/>
                <w:kern w:val="2"/>
                <w:sz w:val="24"/>
                <w:szCs w:val="24"/>
                <w:lang w:eastAsia="zh-CN"/>
              </w:rPr>
              <w:t>现场</w:t>
            </w:r>
            <w:r>
              <w:rPr>
                <w:rFonts w:hint="eastAsia" w:ascii="宋体" w:hAnsi="宋体" w:eastAsia="宋体" w:cs="宋体"/>
                <w:kern w:val="2"/>
                <w:sz w:val="24"/>
                <w:szCs w:val="24"/>
              </w:rPr>
              <w:t>递交</w:t>
            </w:r>
          </w:p>
        </w:tc>
      </w:tr>
      <w:tr w14:paraId="7C5F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vAlign w:val="center"/>
          </w:tcPr>
          <w:p w14:paraId="4799F23C">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16</w:t>
            </w:r>
          </w:p>
        </w:tc>
        <w:tc>
          <w:tcPr>
            <w:tcW w:w="1680" w:type="dxa"/>
            <w:vAlign w:val="center"/>
          </w:tcPr>
          <w:p w14:paraId="5E3B6F17">
            <w:pPr>
              <w:pStyle w:val="96"/>
              <w:pBdr>
                <w:bottom w:val="none" w:color="auto" w:sz="0" w:space="0"/>
              </w:pBdr>
              <w:tabs>
                <w:tab w:val="clear" w:pos="4153"/>
                <w:tab w:val="clear" w:pos="8306"/>
              </w:tabs>
              <w:adjustRightInd/>
              <w:spacing w:line="500" w:lineRule="exact"/>
              <w:textAlignment w:val="auto"/>
              <w:rPr>
                <w:rFonts w:hint="eastAsia" w:ascii="宋体" w:hAnsi="宋体" w:eastAsia="宋体" w:cs="宋体"/>
                <w:bCs/>
                <w:kern w:val="2"/>
                <w:sz w:val="24"/>
                <w:szCs w:val="24"/>
              </w:rPr>
            </w:pPr>
            <w:r>
              <w:rPr>
                <w:rFonts w:hint="eastAsia" w:ascii="宋体" w:hAnsi="宋体"/>
                <w:szCs w:val="24"/>
              </w:rPr>
              <w:t>封套上应载明的信息</w:t>
            </w:r>
          </w:p>
        </w:tc>
        <w:tc>
          <w:tcPr>
            <w:tcW w:w="7130" w:type="dxa"/>
            <w:vAlign w:val="center"/>
          </w:tcPr>
          <w:p w14:paraId="69687AE0">
            <w:pPr>
              <w:spacing w:line="500" w:lineRule="exact"/>
              <w:rPr>
                <w:sz w:val="24"/>
                <w:szCs w:val="24"/>
              </w:rPr>
            </w:pPr>
            <w:r>
              <w:rPr>
                <w:rFonts w:hint="eastAsia" w:ascii="宋体" w:hAnsi="宋体" w:cs="宋体"/>
                <w:sz w:val="24"/>
                <w:szCs w:val="24"/>
                <w:u w:val="single"/>
                <w:shd w:val="clear" w:color="auto" w:fill="FFFFFF"/>
                <w:lang w:bidi="ar"/>
              </w:rPr>
              <w:t xml:space="preserve">                  </w:t>
            </w:r>
            <w:r>
              <w:rPr>
                <w:rFonts w:hint="eastAsia" w:ascii="宋体" w:hAnsi="宋体" w:cs="宋体"/>
                <w:sz w:val="24"/>
                <w:szCs w:val="24"/>
                <w:shd w:val="clear" w:color="auto" w:fill="FFFFFF"/>
                <w:lang w:bidi="ar"/>
              </w:rPr>
              <w:t>项目响应</w:t>
            </w:r>
            <w:r>
              <w:rPr>
                <w:rFonts w:hint="eastAsia" w:ascii="宋体" w:hAnsi="宋体"/>
                <w:sz w:val="24"/>
                <w:szCs w:val="24"/>
              </w:rPr>
              <w:t>文件</w:t>
            </w:r>
            <w:r>
              <w:rPr>
                <w:rFonts w:hint="eastAsia" w:hAnsi="宋体"/>
                <w:sz w:val="24"/>
                <w:szCs w:val="24"/>
                <w:u w:val="single"/>
              </w:rPr>
              <w:t xml:space="preserve">        </w:t>
            </w:r>
            <w:r>
              <w:rPr>
                <w:rFonts w:hint="eastAsia" w:hAnsi="宋体"/>
                <w:sz w:val="24"/>
                <w:szCs w:val="24"/>
              </w:rPr>
              <w:t xml:space="preserve"> </w:t>
            </w:r>
          </w:p>
          <w:p w14:paraId="301F4BDF">
            <w:pPr>
              <w:pStyle w:val="107"/>
              <w:spacing w:line="500" w:lineRule="exact"/>
              <w:ind w:right="1178" w:firstLine="240" w:firstLineChars="100"/>
              <w:rPr>
                <w:rFonts w:cs="Times New Roman"/>
                <w:kern w:val="2"/>
                <w:sz w:val="24"/>
                <w:szCs w:val="24"/>
                <w:u w:val="single"/>
                <w:lang w:eastAsia="zh-CN"/>
              </w:rPr>
            </w:pPr>
            <w:r>
              <w:rPr>
                <w:rFonts w:hint="eastAsia" w:cs="Times New Roman"/>
                <w:kern w:val="2"/>
                <w:sz w:val="24"/>
                <w:szCs w:val="24"/>
                <w:lang w:eastAsia="zh-CN"/>
              </w:rPr>
              <w:t xml:space="preserve">项目编号：               </w:t>
            </w:r>
            <w:r>
              <w:rPr>
                <w:rFonts w:hint="eastAsia" w:cs="Times New Roman"/>
                <w:kern w:val="2"/>
                <w:sz w:val="24"/>
                <w:szCs w:val="24"/>
                <w:u w:val="single"/>
                <w:lang w:eastAsia="zh-CN"/>
              </w:rPr>
              <w:t xml:space="preserve">          </w:t>
            </w:r>
            <w:r>
              <w:rPr>
                <w:rFonts w:hint="eastAsia" w:cs="Times New Roman"/>
                <w:kern w:val="2"/>
                <w:sz w:val="24"/>
                <w:szCs w:val="24"/>
                <w:lang w:eastAsia="zh-CN"/>
              </w:rPr>
              <w:t xml:space="preserve">           </w:t>
            </w:r>
          </w:p>
          <w:p w14:paraId="20189F73">
            <w:pPr>
              <w:spacing w:line="500" w:lineRule="exact"/>
              <w:ind w:firstLine="240" w:firstLineChars="100"/>
              <w:rPr>
                <w:sz w:val="24"/>
                <w:szCs w:val="24"/>
              </w:rPr>
            </w:pPr>
            <w:r>
              <w:rPr>
                <w:rFonts w:hint="eastAsia" w:ascii="宋体" w:hAnsi="宋体"/>
                <w:sz w:val="24"/>
                <w:szCs w:val="24"/>
              </w:rPr>
              <w:t>在</w:t>
            </w:r>
            <w:r>
              <w:rPr>
                <w:rFonts w:ascii="宋体" w:hAnsi="宋体"/>
                <w:sz w:val="24"/>
                <w:szCs w:val="24"/>
              </w:rPr>
              <w:tab/>
            </w:r>
            <w:r>
              <w:rPr>
                <w:rFonts w:hint="eastAsia" w:ascii="宋体" w:hAnsi="宋体"/>
                <w:sz w:val="24"/>
                <w:szCs w:val="24"/>
              </w:rPr>
              <w:t>年</w:t>
            </w:r>
            <w:r>
              <w:rPr>
                <w:rFonts w:ascii="宋体" w:hAnsi="宋体"/>
                <w:sz w:val="24"/>
                <w:szCs w:val="24"/>
              </w:rPr>
              <w:tab/>
            </w:r>
            <w:r>
              <w:rPr>
                <w:rFonts w:hint="eastAsia" w:ascii="宋体" w:hAnsi="宋体"/>
                <w:sz w:val="24"/>
                <w:szCs w:val="24"/>
              </w:rPr>
              <w:t>月</w:t>
            </w:r>
            <w:r>
              <w:rPr>
                <w:rFonts w:ascii="宋体" w:hAnsi="宋体"/>
                <w:sz w:val="24"/>
                <w:szCs w:val="24"/>
              </w:rPr>
              <w:tab/>
            </w:r>
            <w:r>
              <w:rPr>
                <w:rFonts w:hint="eastAsia" w:ascii="宋体" w:hAnsi="宋体"/>
                <w:sz w:val="24"/>
                <w:szCs w:val="24"/>
              </w:rPr>
              <w:t>日</w:t>
            </w:r>
            <w:r>
              <w:rPr>
                <w:rFonts w:ascii="宋体" w:hAnsi="宋体"/>
                <w:sz w:val="24"/>
                <w:szCs w:val="24"/>
              </w:rPr>
              <w:tab/>
            </w:r>
            <w:r>
              <w:rPr>
                <w:rFonts w:hint="eastAsia" w:ascii="宋体" w:hAnsi="宋体"/>
                <w:sz w:val="24"/>
                <w:szCs w:val="24"/>
              </w:rPr>
              <w:t>时前不得开启</w:t>
            </w:r>
          </w:p>
          <w:p w14:paraId="5395D6F6">
            <w:pPr>
              <w:pStyle w:val="107"/>
              <w:spacing w:line="500" w:lineRule="exact"/>
              <w:ind w:right="2858"/>
              <w:rPr>
                <w:rFonts w:cs="Times New Roman"/>
                <w:kern w:val="2"/>
                <w:sz w:val="24"/>
                <w:szCs w:val="24"/>
                <w:u w:val="single"/>
                <w:lang w:eastAsia="zh-CN"/>
              </w:rPr>
            </w:pPr>
            <w:r>
              <w:rPr>
                <w:rFonts w:hint="eastAsia" w:cs="Times New Roman"/>
                <w:kern w:val="2"/>
                <w:sz w:val="24"/>
                <w:szCs w:val="24"/>
                <w:lang w:eastAsia="zh-CN"/>
              </w:rPr>
              <w:t>供应商名称：</w:t>
            </w:r>
            <w:r>
              <w:rPr>
                <w:rFonts w:hint="eastAsia" w:cs="Times New Roman"/>
                <w:kern w:val="2"/>
                <w:sz w:val="24"/>
                <w:szCs w:val="24"/>
                <w:u w:val="single"/>
                <w:lang w:eastAsia="zh-CN"/>
              </w:rPr>
              <w:t xml:space="preserve">      </w:t>
            </w:r>
          </w:p>
          <w:p w14:paraId="10329CDC">
            <w:pPr>
              <w:pStyle w:val="96"/>
              <w:pBdr>
                <w:bottom w:val="none" w:color="auto" w:sz="0" w:space="0"/>
              </w:pBdr>
              <w:tabs>
                <w:tab w:val="clear" w:pos="4153"/>
                <w:tab w:val="clear" w:pos="8306"/>
              </w:tabs>
              <w:adjustRightInd/>
              <w:spacing w:line="500" w:lineRule="exact"/>
              <w:jc w:val="left"/>
              <w:textAlignment w:val="auto"/>
              <w:rPr>
                <w:rFonts w:hint="eastAsia" w:ascii="宋体" w:hAnsi="宋体" w:eastAsia="宋体" w:cs="宋体"/>
                <w:bCs/>
                <w:kern w:val="2"/>
                <w:sz w:val="24"/>
                <w:szCs w:val="24"/>
              </w:rPr>
            </w:pPr>
            <w:r>
              <w:rPr>
                <w:rFonts w:hint="eastAsia"/>
                <w:kern w:val="2"/>
                <w:szCs w:val="24"/>
              </w:rPr>
              <w:t>供应商地址：</w:t>
            </w:r>
          </w:p>
        </w:tc>
      </w:tr>
      <w:tr w14:paraId="0E3E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1028B471">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
                <w:kern w:val="2"/>
                <w:sz w:val="24"/>
                <w:szCs w:val="24"/>
                <w:lang w:val="en-US" w:eastAsia="zh-CN"/>
              </w:rPr>
            </w:pPr>
            <w:r>
              <w:rPr>
                <w:rFonts w:hint="eastAsia" w:ascii="宋体" w:hAnsi="宋体" w:eastAsia="宋体" w:cs="宋体"/>
                <w:b/>
                <w:kern w:val="2"/>
                <w:sz w:val="24"/>
                <w:szCs w:val="24"/>
              </w:rPr>
              <w:t>1</w:t>
            </w:r>
            <w:r>
              <w:rPr>
                <w:rFonts w:hint="eastAsia" w:ascii="宋体" w:hAnsi="宋体" w:eastAsia="宋体" w:cs="宋体"/>
                <w:b/>
                <w:kern w:val="2"/>
                <w:sz w:val="24"/>
                <w:szCs w:val="24"/>
                <w:lang w:val="en-US" w:eastAsia="zh-CN"/>
              </w:rPr>
              <w:t>7</w:t>
            </w:r>
          </w:p>
        </w:tc>
        <w:tc>
          <w:tcPr>
            <w:tcW w:w="1680" w:type="dxa"/>
            <w:vAlign w:val="center"/>
          </w:tcPr>
          <w:p w14:paraId="27668202">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备注</w:t>
            </w:r>
          </w:p>
        </w:tc>
        <w:tc>
          <w:tcPr>
            <w:tcW w:w="7130" w:type="dxa"/>
            <w:vAlign w:val="center"/>
          </w:tcPr>
          <w:p w14:paraId="331B4C8D">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0A58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E2D858E">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default" w:ascii="宋体" w:hAnsi="宋体" w:eastAsia="宋体" w:cs="宋体"/>
                <w:b/>
                <w:kern w:val="2"/>
                <w:sz w:val="24"/>
                <w:szCs w:val="24"/>
                <w:lang w:val="en-US" w:eastAsia="zh-CN"/>
              </w:rPr>
            </w:pPr>
            <w:r>
              <w:rPr>
                <w:rFonts w:hint="eastAsia" w:ascii="宋体" w:hAnsi="宋体" w:cs="宋体"/>
                <w:b/>
                <w:kern w:val="2"/>
                <w:sz w:val="24"/>
                <w:szCs w:val="24"/>
                <w:lang w:val="en-US" w:eastAsia="zh-CN"/>
              </w:rPr>
              <w:t>18</w:t>
            </w:r>
          </w:p>
        </w:tc>
        <w:tc>
          <w:tcPr>
            <w:tcW w:w="1680" w:type="dxa"/>
            <w:vAlign w:val="center"/>
          </w:tcPr>
          <w:p w14:paraId="58480693">
            <w:pPr>
              <w:pStyle w:val="96"/>
              <w:pBdr>
                <w:bottom w:val="none" w:color="auto" w:sz="0" w:space="0"/>
              </w:pBdr>
              <w:tabs>
                <w:tab w:val="clear" w:pos="4153"/>
                <w:tab w:val="clear" w:pos="8306"/>
              </w:tabs>
              <w:adjustRightInd/>
              <w:spacing w:line="500" w:lineRule="exact"/>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对中小型企业产品的价格扣除</w:t>
            </w:r>
          </w:p>
        </w:tc>
        <w:tc>
          <w:tcPr>
            <w:tcW w:w="7130" w:type="dxa"/>
            <w:vAlign w:val="center"/>
          </w:tcPr>
          <w:p w14:paraId="558F767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pPr>
            <w:r>
              <w:rPr>
                <w:rFonts w:hint="eastAsia" w:ascii="宋体" w:hAnsi="宋体" w:eastAsia="宋体" w:cs="宋体"/>
                <w:b/>
                <w:bCs/>
                <w:color w:val="000000"/>
                <w:kern w:val="0"/>
                <w:sz w:val="24"/>
                <w:szCs w:val="24"/>
                <w:lang w:val="en-US" w:eastAsia="zh-CN" w:bidi="ar"/>
              </w:rPr>
              <w:t xml:space="preserve">专门面向中小企业采购的采购项目不享受价格扣除优惠。 </w:t>
            </w:r>
          </w:p>
          <w:p w14:paraId="6B90551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pPr>
            <w:r>
              <w:rPr>
                <w:rFonts w:hint="eastAsia" w:ascii="宋体" w:hAnsi="宋体" w:eastAsia="宋体" w:cs="宋体"/>
                <w:color w:val="000000"/>
                <w:kern w:val="0"/>
                <w:sz w:val="24"/>
                <w:szCs w:val="24"/>
                <w:lang w:val="en-US" w:eastAsia="zh-CN" w:bidi="ar"/>
              </w:rPr>
              <w:t>依据财政部 工业和信息化部《关于印发〈政府采购促进中小企业发展管理办法〉的通知》（财库〔2020〕46 号）和《安徽省财政厅关于进一步优化政府采购营商环境的通知》（皖财购〔2022〕556 号）规定,对小微企业报价给予 10%-20%</w:t>
            </w:r>
            <w:r>
              <w:rPr>
                <w:rFonts w:hint="eastAsia" w:ascii="宋体" w:hAnsi="宋体" w:eastAsia="宋体" w:cs="宋体"/>
                <w:b/>
                <w:bCs/>
                <w:color w:val="000000"/>
                <w:kern w:val="0"/>
                <w:sz w:val="24"/>
                <w:szCs w:val="24"/>
                <w:lang w:val="en-US" w:eastAsia="zh-CN" w:bidi="ar"/>
              </w:rPr>
              <w:t>（本项目采购人确定的比例为/ %）</w:t>
            </w:r>
            <w:r>
              <w:rPr>
                <w:rFonts w:hint="eastAsia" w:ascii="宋体" w:hAnsi="宋体" w:eastAsia="宋体" w:cs="宋体"/>
                <w:color w:val="000000"/>
                <w:kern w:val="0"/>
                <w:sz w:val="24"/>
                <w:szCs w:val="24"/>
                <w:lang w:val="en-US" w:eastAsia="zh-CN" w:bidi="ar"/>
              </w:rPr>
              <w:t>的扣除，用扣除后的价格参加评审；工程项目为 3%-5%（</w:t>
            </w:r>
            <w:r>
              <w:rPr>
                <w:rFonts w:hint="eastAsia" w:ascii="宋体" w:hAnsi="宋体" w:eastAsia="宋体" w:cs="宋体"/>
                <w:b/>
                <w:bCs/>
                <w:color w:val="000000"/>
                <w:kern w:val="0"/>
                <w:sz w:val="24"/>
                <w:szCs w:val="24"/>
                <w:lang w:val="en-US" w:eastAsia="zh-CN" w:bidi="ar"/>
              </w:rPr>
              <w:t>本项目采购人确定的比例为 / %</w:t>
            </w:r>
            <w:r>
              <w:rPr>
                <w:rFonts w:hint="eastAsia" w:ascii="宋体" w:hAnsi="宋体" w:eastAsia="宋体" w:cs="宋体"/>
                <w:color w:val="000000"/>
                <w:kern w:val="0"/>
                <w:sz w:val="24"/>
                <w:szCs w:val="24"/>
                <w:lang w:val="en-US" w:eastAsia="zh-CN" w:bidi="ar"/>
              </w:rPr>
              <w:t xml:space="preserve">）的扣除，用扣除后的价格参加评审。参加本次采购活动的小微企业应当在响应文件中提供有效的《中小企业声明函》，并对其真实性负责。企业划型标准按照《关于印发中小企业划型标准规定的通知》（工信部联企业〔2011〕300 号）规定执行。 </w:t>
            </w:r>
          </w:p>
          <w:p w14:paraId="471573E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pPr>
            <w:r>
              <w:rPr>
                <w:rFonts w:hint="eastAsia" w:ascii="宋体" w:hAnsi="宋体" w:eastAsia="宋体" w:cs="宋体"/>
                <w:color w:val="000000"/>
                <w:kern w:val="0"/>
                <w:sz w:val="24"/>
                <w:szCs w:val="24"/>
                <w:lang w:val="en-US" w:eastAsia="zh-CN" w:bidi="ar"/>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w:t>
            </w:r>
            <w:r>
              <w:rPr>
                <w:rFonts w:hint="eastAsia" w:ascii="宋体" w:hAnsi="宋体" w:eastAsia="宋体" w:cs="宋体"/>
                <w:b/>
                <w:bCs/>
                <w:color w:val="000000"/>
                <w:kern w:val="0"/>
                <w:sz w:val="24"/>
                <w:szCs w:val="24"/>
                <w:lang w:val="en-US" w:eastAsia="zh-CN" w:bidi="ar"/>
              </w:rPr>
              <w:t>（本项目采购人确定的比例为 / %）</w:t>
            </w:r>
            <w:r>
              <w:rPr>
                <w:rFonts w:hint="eastAsia" w:ascii="宋体" w:hAnsi="宋体" w:eastAsia="宋体" w:cs="宋体"/>
                <w:color w:val="000000"/>
                <w:kern w:val="0"/>
                <w:sz w:val="24"/>
                <w:szCs w:val="24"/>
                <w:lang w:val="en-US" w:eastAsia="zh-CN" w:bidi="ar"/>
              </w:rPr>
              <w:t>的扣除，用扣除后的价格参加评审；工程项目为 1%-2%（</w:t>
            </w:r>
            <w:r>
              <w:rPr>
                <w:rFonts w:hint="eastAsia" w:ascii="宋体" w:hAnsi="宋体" w:eastAsia="宋体" w:cs="宋体"/>
                <w:b/>
                <w:bCs/>
                <w:color w:val="000000"/>
                <w:kern w:val="0"/>
                <w:sz w:val="24"/>
                <w:szCs w:val="24"/>
                <w:lang w:val="en-US" w:eastAsia="zh-CN" w:bidi="ar"/>
              </w:rPr>
              <w:t>本项目采购人确定的比例为 / %</w:t>
            </w:r>
            <w:r>
              <w:rPr>
                <w:rFonts w:hint="eastAsia" w:ascii="宋体" w:hAnsi="宋体" w:eastAsia="宋体" w:cs="宋体"/>
                <w:color w:val="000000"/>
                <w:kern w:val="0"/>
                <w:sz w:val="24"/>
                <w:szCs w:val="24"/>
                <w:lang w:val="en-US" w:eastAsia="zh-CN" w:bidi="ar"/>
              </w:rPr>
              <w:t xml:space="preserve">）的扣除，用扣除后的价格参加评审。组成联合体或者接受分包的小微企业与联合体内其他企业、分包企业之间存在直接控股、管理关系的，不享受价格扣除优惠政策。 </w:t>
            </w:r>
          </w:p>
          <w:p w14:paraId="5C54CB2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政府采购促进中小企业发展管理办法》第四条规定“…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14:paraId="0716B8F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宋体" w:hAnsi="宋体" w:eastAsia="宋体" w:cs="宋体"/>
                <w:color w:val="000000"/>
                <w:kern w:val="0"/>
                <w:sz w:val="24"/>
                <w:szCs w:val="24"/>
                <w:lang w:val="en-US" w:eastAsia="zh-CN" w:bidi="ar"/>
              </w:rPr>
              <w:t xml:space="preserve">根据财政部 司法部《关于政府采购支持监狱企业发展有关问题的通知》(财库〔2014〕68 号)，监狱企业视同小型、微型企业。监 </w:t>
            </w:r>
          </w:p>
          <w:p w14:paraId="05B3135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宋体" w:hAnsi="宋体" w:eastAsia="宋体" w:cs="宋体"/>
                <w:color w:val="000000"/>
                <w:kern w:val="0"/>
                <w:sz w:val="24"/>
                <w:szCs w:val="24"/>
                <w:lang w:val="en-US" w:eastAsia="zh-CN" w:bidi="ar"/>
              </w:rPr>
              <w:t xml:space="preserve">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不再提供《中小企业声明函》。 </w:t>
            </w:r>
          </w:p>
          <w:p w14:paraId="187907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宋体" w:hAnsi="宋体" w:eastAsia="宋体" w:cs="宋体"/>
                <w:color w:val="000000"/>
                <w:kern w:val="0"/>
                <w:sz w:val="24"/>
                <w:szCs w:val="24"/>
                <w:lang w:val="en-US" w:eastAsia="zh-CN" w:bidi="ar"/>
              </w:rPr>
              <w:t xml:space="preserve">根据财政部 民政部《中国残疾人联合会关于促进残疾人就业政府采购政策的通知》(财库〔2017〕141 号)，残疾人企业视同为小型、 </w:t>
            </w:r>
          </w:p>
          <w:p w14:paraId="5650AFD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r>
              <w:rPr>
                <w:rFonts w:hint="eastAsia" w:ascii="宋体" w:hAnsi="宋体" w:eastAsia="宋体" w:cs="宋体"/>
                <w:color w:val="000000"/>
                <w:kern w:val="0"/>
                <w:sz w:val="24"/>
                <w:szCs w:val="24"/>
                <w:lang w:val="en-US" w:eastAsia="zh-CN" w:bidi="ar"/>
              </w:rPr>
              <w:t xml:space="preserve">微型企业，符合条件的残疾人福利性单位在参加政府采购活动时，提供 141 号文规定的《残疾人福利性单位声明函》，不再提供《中小企业声明函》。残疾人福利性单位属于小型、微型企业的，不重复享受政策。 </w:t>
            </w:r>
          </w:p>
          <w:p w14:paraId="3D3FD13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kern w:val="2"/>
                <w:sz w:val="24"/>
                <w:szCs w:val="24"/>
              </w:rPr>
            </w:pPr>
            <w:r>
              <w:rPr>
                <w:rFonts w:hint="eastAsia" w:ascii="宋体" w:hAnsi="宋体" w:eastAsia="宋体" w:cs="宋体"/>
                <w:color w:val="000000"/>
                <w:kern w:val="0"/>
                <w:sz w:val="24"/>
                <w:szCs w:val="24"/>
                <w:lang w:val="en-US" w:eastAsia="zh-CN" w:bidi="ar"/>
              </w:rPr>
              <w:t>供应商提供的声明函等证明材料如有虚假，成交无效，视情节给予参加政府采购资格限制等处罚。</w:t>
            </w:r>
          </w:p>
        </w:tc>
      </w:tr>
      <w:tr w14:paraId="415A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3F3BDC5">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default" w:ascii="宋体" w:hAnsi="宋体" w:eastAsia="宋体" w:cs="宋体"/>
                <w:b/>
                <w:kern w:val="2"/>
                <w:sz w:val="24"/>
                <w:szCs w:val="24"/>
                <w:lang w:val="en-US" w:eastAsia="zh-CN"/>
              </w:rPr>
            </w:pPr>
            <w:bookmarkStart w:id="67" w:name="_Toc24713"/>
            <w:bookmarkStart w:id="68" w:name="_Toc7878"/>
            <w:bookmarkStart w:id="69" w:name="_Toc216158630"/>
            <w:r>
              <w:rPr>
                <w:rFonts w:hint="eastAsia" w:ascii="宋体" w:hAnsi="宋体" w:cs="宋体"/>
                <w:b/>
                <w:kern w:val="2"/>
                <w:sz w:val="24"/>
                <w:szCs w:val="24"/>
                <w:lang w:val="en-US" w:eastAsia="zh-CN"/>
              </w:rPr>
              <w:t>19</w:t>
            </w:r>
          </w:p>
        </w:tc>
        <w:tc>
          <w:tcPr>
            <w:tcW w:w="1680" w:type="dxa"/>
            <w:vAlign w:val="center"/>
          </w:tcPr>
          <w:p w14:paraId="42092AED">
            <w:pPr>
              <w:pStyle w:val="9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30" w:lineRule="exact"/>
              <w:textAlignment w:val="auto"/>
              <w:rPr>
                <w:rFonts w:hint="eastAsia" w:ascii="宋体" w:hAnsi="宋体"/>
                <w:bCs/>
                <w:kern w:val="2"/>
                <w:szCs w:val="24"/>
                <w:lang w:val="en-US"/>
              </w:rPr>
            </w:pPr>
            <w:r>
              <w:rPr>
                <w:rFonts w:hint="eastAsia" w:ascii="宋体" w:hAnsi="宋体" w:eastAsia="宋体"/>
                <w:b w:val="0"/>
                <w:i w:val="0"/>
                <w:iCs/>
                <w:color w:val="auto"/>
                <w:sz w:val="24"/>
                <w:highlight w:val="none"/>
                <w:lang w:val="en-US" w:eastAsia="zh-CN"/>
              </w:rPr>
              <w:t>符合本国产品标准及相关政策价格扣除</w:t>
            </w:r>
          </w:p>
        </w:tc>
        <w:tc>
          <w:tcPr>
            <w:tcW w:w="7130" w:type="dxa"/>
            <w:vAlign w:val="center"/>
          </w:tcPr>
          <w:p w14:paraId="72963723">
            <w:pPr>
              <w:pStyle w:val="9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482" w:firstLineChars="200"/>
              <w:jc w:val="left"/>
              <w:textAlignment w:val="auto"/>
              <w:rPr>
                <w:rFonts w:hint="eastAsia" w:ascii="宋体" w:hAnsi="宋体" w:eastAsia="宋体"/>
                <w:b w:val="0"/>
                <w:i w:val="0"/>
                <w:iCs/>
                <w:color w:val="auto"/>
                <w:sz w:val="24"/>
                <w:highlight w:val="none"/>
                <w:lang w:val="en-US" w:eastAsia="zh-CN"/>
              </w:rPr>
            </w:pPr>
            <w:r>
              <w:rPr>
                <w:rFonts w:hint="eastAsia" w:ascii="宋体" w:hAnsi="宋体" w:eastAsia="宋体"/>
                <w:b/>
                <w:bCs/>
                <w:i w:val="0"/>
                <w:iCs/>
                <w:color w:val="auto"/>
                <w:sz w:val="24"/>
                <w:highlight w:val="none"/>
                <w:lang w:val="en-US" w:eastAsia="zh-CN"/>
              </w:rPr>
              <w:t>本项目是否适用：</w:t>
            </w:r>
            <w:r>
              <w:rPr>
                <w:rFonts w:hint="eastAsia" w:ascii="宋体" w:hAnsi="宋体" w:eastAsia="宋体"/>
                <w:b w:val="0"/>
                <w:i w:val="0"/>
                <w:iCs/>
                <w:color w:val="auto"/>
                <w:sz w:val="24"/>
                <w:highlight w:val="none"/>
                <w:lang w:val="en-US" w:eastAsia="zh-CN"/>
              </w:rPr>
              <w:t>是</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 xml:space="preserve">   否</w:t>
            </w:r>
            <w:r>
              <w:rPr>
                <w:rFonts w:hint="eastAsia" w:ascii="宋体" w:hAnsi="宋体" w:eastAsia="宋体"/>
                <w:b w:val="0"/>
                <w:bCs w:val="0"/>
                <w:color w:val="auto"/>
                <w:sz w:val="24"/>
                <w:szCs w:val="24"/>
                <w:highlight w:val="none"/>
                <w:lang w:eastAsia="zh-CN"/>
              </w:rPr>
              <w:t>☑</w:t>
            </w:r>
          </w:p>
          <w:p w14:paraId="090D562D">
            <w:pPr>
              <w:pStyle w:val="98"/>
              <w:keepNext w:val="0"/>
              <w:keepLines w:val="0"/>
              <w:pageBreakBefore w:val="0"/>
              <w:widowControl w:val="0"/>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符合本国产品标准及相关政策价格扣除比例：20%。</w:t>
            </w:r>
          </w:p>
          <w:p w14:paraId="0A29C17D">
            <w:pPr>
              <w:pStyle w:val="9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 xml:space="preserve">政府采购活动中既有本国产品又有非本国产品参与竞争的，依法对本国产品给予价格评审优惠，对本国产品的最后报价给予20%的价格扣除，用扣除后的价格参与评审。 </w:t>
            </w:r>
          </w:p>
          <w:p w14:paraId="2C48E1F0">
            <w:pPr>
              <w:pStyle w:val="9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最后总报价给予 20%的价格扣除，用扣除后的价格参与评审。</w:t>
            </w:r>
          </w:p>
          <w:p w14:paraId="4F4BC845">
            <w:pPr>
              <w:pStyle w:val="9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30" w:lineRule="exact"/>
              <w:ind w:firstLine="480" w:firstLineChars="200"/>
              <w:jc w:val="left"/>
              <w:textAlignment w:val="auto"/>
              <w:rPr>
                <w:rFonts w:ascii="宋体" w:hAnsi="宋体" w:cs="宋体"/>
                <w:szCs w:val="24"/>
              </w:rPr>
            </w:pPr>
            <w:r>
              <w:rPr>
                <w:rFonts w:hint="eastAsia" w:ascii="宋体" w:hAnsi="宋体"/>
                <w:b w:val="0"/>
                <w:bCs w:val="0"/>
                <w:color w:val="auto"/>
                <w:sz w:val="24"/>
                <w:szCs w:val="24"/>
                <w:highlight w:val="none"/>
                <w:lang w:val="en-US" w:eastAsia="zh-CN"/>
              </w:rPr>
              <w:t>供应商</w:t>
            </w:r>
            <w:r>
              <w:rPr>
                <w:rFonts w:hint="eastAsia" w:ascii="宋体" w:hAnsi="宋体" w:eastAsia="宋体"/>
                <w:b w:val="0"/>
                <w:bCs w:val="0"/>
                <w:color w:val="auto"/>
                <w:sz w:val="24"/>
                <w:szCs w:val="24"/>
                <w:highlight w:val="none"/>
                <w:lang w:val="zh-CN" w:eastAsia="zh-CN"/>
              </w:rPr>
              <w:t>对其提供的产品出具《关于符合本国产品标准的声明函》或国家有关部门规定的证明文件。出具符合要求的《声明函》或有关证明文件的，该产品视为本国产品，无需提供其他证明材料。</w:t>
            </w:r>
          </w:p>
        </w:tc>
      </w:tr>
      <w:tr w14:paraId="7640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196D2C6">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default" w:ascii="宋体" w:hAnsi="宋体" w:eastAsia="宋体" w:cs="宋体"/>
                <w:b/>
                <w:kern w:val="2"/>
                <w:sz w:val="24"/>
                <w:szCs w:val="24"/>
                <w:lang w:val="en-US" w:eastAsia="zh-CN"/>
              </w:rPr>
            </w:pPr>
            <w:r>
              <w:rPr>
                <w:rFonts w:hint="eastAsia" w:ascii="宋体" w:hAnsi="宋体" w:cs="宋体"/>
                <w:b/>
                <w:kern w:val="2"/>
                <w:sz w:val="24"/>
                <w:szCs w:val="24"/>
                <w:lang w:val="en-US" w:eastAsia="zh-CN"/>
              </w:rPr>
              <w:t>20</w:t>
            </w:r>
          </w:p>
        </w:tc>
        <w:tc>
          <w:tcPr>
            <w:tcW w:w="1680" w:type="dxa"/>
            <w:vAlign w:val="center"/>
          </w:tcPr>
          <w:p w14:paraId="715521CC">
            <w:pPr>
              <w:pStyle w:val="9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30" w:lineRule="exact"/>
              <w:textAlignment w:val="auto"/>
              <w:rPr>
                <w:rFonts w:hint="eastAsia" w:ascii="宋体" w:hAnsi="宋体"/>
                <w:bCs/>
                <w:kern w:val="2"/>
                <w:szCs w:val="24"/>
                <w:lang w:val="en-US"/>
              </w:rPr>
            </w:pPr>
            <w:r>
              <w:rPr>
                <w:rFonts w:hint="eastAsia" w:ascii="Times New Roman" w:hAnsi="Times New Roman"/>
                <w:highlight w:val="none"/>
                <w:lang w:val="en-US" w:eastAsia="zh-CN"/>
              </w:rPr>
              <w:t>异常低价响应审查</w:t>
            </w:r>
          </w:p>
        </w:tc>
        <w:tc>
          <w:tcPr>
            <w:tcW w:w="7130" w:type="dxa"/>
            <w:vAlign w:val="center"/>
          </w:tcPr>
          <w:p w14:paraId="59FB9049">
            <w:pPr>
              <w:pStyle w:val="9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根据财政部《关于推动解决政府采购异常低价问题的通知》（财库〔2026〕2号），评审中出现下列情形之一的，</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应当启动异常低价</w:t>
            </w:r>
            <w:r>
              <w:rPr>
                <w:rFonts w:hint="eastAsia" w:ascii="宋体" w:hAnsi="宋体" w:cs="宋体"/>
                <w:highlight w:val="none"/>
                <w:lang w:val="en-US" w:eastAsia="zh-CN"/>
              </w:rPr>
              <w:t>响应</w:t>
            </w:r>
            <w:r>
              <w:rPr>
                <w:rFonts w:hint="eastAsia" w:ascii="宋体" w:hAnsi="宋体" w:eastAsia="宋体" w:cs="宋体"/>
                <w:highlight w:val="none"/>
                <w:lang w:val="en-US" w:eastAsia="zh-CN"/>
              </w:rPr>
              <w:t>审查程序：</w:t>
            </w:r>
          </w:p>
          <w:p w14:paraId="00C9FA2E">
            <w:pPr>
              <w:pStyle w:val="9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eastAsia="宋体" w:cs="宋体"/>
                <w:color w:val="auto"/>
                <w:highlight w:val="none"/>
                <w:u w:val="single"/>
                <w:lang w:val="en-US" w:eastAsia="zh-CN"/>
              </w:rPr>
              <w:t xml:space="preserve">  65 </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eastAsia="宋体" w:cs="宋体"/>
                <w:color w:val="auto"/>
                <w:highlight w:val="none"/>
                <w:u w:val="single"/>
                <w:lang w:val="en-US" w:eastAsia="zh-CN"/>
              </w:rPr>
              <w:t xml:space="preserve"> 65 </w:t>
            </w:r>
            <w:r>
              <w:rPr>
                <w:rFonts w:hint="eastAsia" w:ascii="宋体" w:hAnsi="宋体" w:eastAsia="宋体" w:cs="宋体"/>
                <w:color w:val="auto"/>
                <w:highlight w:val="none"/>
                <w:lang w:val="en-US" w:eastAsia="zh-CN"/>
              </w:rPr>
              <w:t>%；（比例范围：50%-65%）</w:t>
            </w:r>
          </w:p>
          <w:p w14:paraId="7EEEEA82">
            <w:pPr>
              <w:pStyle w:val="9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eastAsia="宋体" w:cs="宋体"/>
                <w:color w:val="auto"/>
                <w:highlight w:val="none"/>
                <w:u w:val="single"/>
                <w:lang w:val="en-US" w:eastAsia="zh-CN"/>
              </w:rPr>
              <w:t xml:space="preserve"> 65 </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eastAsia="宋体" w:cs="宋体"/>
                <w:color w:val="auto"/>
                <w:highlight w:val="none"/>
                <w:u w:val="single"/>
                <w:lang w:val="en-US" w:eastAsia="zh-CN"/>
              </w:rPr>
              <w:t xml:space="preserve">  65 </w:t>
            </w:r>
            <w:r>
              <w:rPr>
                <w:rFonts w:hint="eastAsia" w:ascii="宋体" w:hAnsi="宋体" w:eastAsia="宋体" w:cs="宋体"/>
                <w:color w:val="auto"/>
                <w:highlight w:val="none"/>
                <w:lang w:val="en-US" w:eastAsia="zh-CN"/>
              </w:rPr>
              <w:t>%；（比例范围：50%-65%）</w:t>
            </w:r>
          </w:p>
          <w:p w14:paraId="5E57AECF">
            <w:pPr>
              <w:pStyle w:val="9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eastAsia="宋体" w:cs="宋体"/>
                <w:color w:val="auto"/>
                <w:highlight w:val="none"/>
                <w:u w:val="single"/>
                <w:lang w:val="en-US" w:eastAsia="zh-CN"/>
              </w:rPr>
              <w:t xml:space="preserve"> 65 </w:t>
            </w:r>
            <w:r>
              <w:rPr>
                <w:rFonts w:hint="eastAsia" w:ascii="宋体" w:hAnsi="宋体" w:eastAsia="宋体" w:cs="宋体"/>
                <w:color w:val="auto"/>
                <w:highlight w:val="none"/>
                <w:lang w:val="en-US" w:eastAsia="zh-CN"/>
              </w:rPr>
              <w:t>%的，即响应报价&lt;采购项目最高限价×</w:t>
            </w:r>
            <w:r>
              <w:rPr>
                <w:rFonts w:hint="eastAsia" w:ascii="宋体" w:hAnsi="宋体" w:eastAsia="宋体" w:cs="宋体"/>
                <w:color w:val="auto"/>
                <w:highlight w:val="none"/>
                <w:u w:val="single"/>
                <w:lang w:val="en-US" w:eastAsia="zh-CN"/>
              </w:rPr>
              <w:t xml:space="preserve"> 65 </w:t>
            </w:r>
            <w:r>
              <w:rPr>
                <w:rFonts w:hint="eastAsia" w:ascii="宋体" w:hAnsi="宋体" w:eastAsia="宋体" w:cs="宋体"/>
                <w:color w:val="auto"/>
                <w:highlight w:val="none"/>
                <w:lang w:val="en-US" w:eastAsia="zh-CN"/>
              </w:rPr>
              <w:t>%；（比例范围：45%-65%）</w:t>
            </w:r>
          </w:p>
          <w:p w14:paraId="585E7FF8">
            <w:pPr>
              <w:pStyle w:val="9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4.磋商小组基于专业判断，认为供应商报价过低，有可能影响产品质量或者不能诚信履约的其他情形。</w:t>
            </w:r>
          </w:p>
          <w:p w14:paraId="1A32A05E">
            <w:pPr>
              <w:pStyle w:val="9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361" w:firstLineChars="15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注：以上比例由采购人根据项目特点及要求自行填写。</w:t>
            </w:r>
          </w:p>
          <w:p w14:paraId="48636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360" w:firstLineChars="15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3DEB3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leftChars="0" w:right="0" w:rightChars="0" w:firstLine="360" w:firstLineChars="150"/>
              <w:jc w:val="both"/>
              <w:textAlignment w:val="auto"/>
              <w:rPr>
                <w:rFonts w:ascii="宋体" w:hAnsi="宋体" w:cs="宋体"/>
                <w:szCs w:val="24"/>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p>
        </w:tc>
      </w:tr>
      <w:tr w14:paraId="57C5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146071A6">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default" w:ascii="宋体" w:hAnsi="宋体" w:eastAsia="宋体" w:cs="宋体"/>
                <w:b/>
                <w:kern w:val="2"/>
                <w:sz w:val="24"/>
                <w:szCs w:val="24"/>
                <w:lang w:val="en-US" w:eastAsia="zh-CN"/>
              </w:rPr>
            </w:pPr>
            <w:r>
              <w:rPr>
                <w:rFonts w:hint="eastAsia" w:ascii="宋体" w:hAnsi="宋体" w:cs="宋体"/>
                <w:b/>
                <w:kern w:val="2"/>
                <w:sz w:val="24"/>
                <w:szCs w:val="24"/>
                <w:lang w:val="en-US" w:eastAsia="zh-CN"/>
              </w:rPr>
              <w:t>21</w:t>
            </w:r>
          </w:p>
        </w:tc>
        <w:tc>
          <w:tcPr>
            <w:tcW w:w="1680" w:type="dxa"/>
            <w:vAlign w:val="center"/>
          </w:tcPr>
          <w:p w14:paraId="30D27017">
            <w:pPr>
              <w:pStyle w:val="96"/>
              <w:pBdr>
                <w:bottom w:val="none" w:color="auto" w:sz="0" w:space="0"/>
              </w:pBdr>
              <w:tabs>
                <w:tab w:val="clear" w:pos="4153"/>
                <w:tab w:val="clear" w:pos="8306"/>
              </w:tabs>
              <w:adjustRightInd/>
              <w:spacing w:line="500" w:lineRule="exact"/>
              <w:jc w:val="left"/>
              <w:textAlignment w:val="auto"/>
              <w:rPr>
                <w:rFonts w:hint="eastAsia" w:ascii="宋体" w:hAnsi="宋体"/>
                <w:bCs/>
                <w:kern w:val="2"/>
                <w:szCs w:val="24"/>
                <w:lang w:val="en-US"/>
              </w:rPr>
            </w:pPr>
            <w:r>
              <w:rPr>
                <w:rFonts w:hint="eastAsia" w:ascii="宋体" w:hAnsi="宋体"/>
                <w:bCs/>
                <w:kern w:val="2"/>
                <w:szCs w:val="24"/>
                <w:lang w:val="en-US" w:eastAsia="zh-CN"/>
              </w:rPr>
              <w:t xml:space="preserve">中标（成交） </w:t>
            </w:r>
          </w:p>
          <w:p w14:paraId="26621353">
            <w:pPr>
              <w:pStyle w:val="96"/>
              <w:pBdr>
                <w:bottom w:val="none" w:color="auto" w:sz="0" w:space="0"/>
              </w:pBdr>
              <w:tabs>
                <w:tab w:val="clear" w:pos="4153"/>
                <w:tab w:val="clear" w:pos="8306"/>
              </w:tabs>
              <w:adjustRightInd/>
              <w:spacing w:line="500" w:lineRule="exact"/>
              <w:jc w:val="left"/>
              <w:textAlignment w:val="auto"/>
              <w:rPr>
                <w:rFonts w:hint="eastAsia" w:ascii="宋体" w:hAnsi="宋体"/>
                <w:bCs/>
                <w:kern w:val="2"/>
                <w:szCs w:val="24"/>
                <w:lang w:val="en-US"/>
              </w:rPr>
            </w:pPr>
            <w:r>
              <w:rPr>
                <w:rFonts w:hint="eastAsia" w:ascii="宋体" w:hAnsi="宋体"/>
                <w:bCs/>
                <w:kern w:val="2"/>
                <w:szCs w:val="24"/>
                <w:lang w:val="en-US" w:eastAsia="zh-CN"/>
              </w:rPr>
              <w:t xml:space="preserve">通知书发出 </w:t>
            </w:r>
          </w:p>
          <w:p w14:paraId="560B4FB3">
            <w:pPr>
              <w:pStyle w:val="96"/>
              <w:pBdr>
                <w:bottom w:val="none" w:color="auto" w:sz="0" w:space="0"/>
              </w:pBdr>
              <w:tabs>
                <w:tab w:val="clear" w:pos="4153"/>
                <w:tab w:val="clear" w:pos="8306"/>
              </w:tabs>
              <w:adjustRightInd/>
              <w:spacing w:line="500" w:lineRule="exact"/>
              <w:jc w:val="left"/>
              <w:textAlignment w:val="auto"/>
              <w:rPr>
                <w:rFonts w:hint="eastAsia" w:ascii="宋体" w:hAnsi="宋体"/>
                <w:bCs/>
                <w:kern w:val="2"/>
                <w:szCs w:val="24"/>
                <w:lang w:val="en-US"/>
              </w:rPr>
            </w:pPr>
            <w:r>
              <w:rPr>
                <w:rFonts w:hint="eastAsia" w:ascii="宋体" w:hAnsi="宋体"/>
                <w:bCs/>
                <w:kern w:val="2"/>
                <w:szCs w:val="24"/>
                <w:lang w:val="en-US" w:eastAsia="zh-CN"/>
              </w:rPr>
              <w:t>的形式</w:t>
            </w:r>
          </w:p>
        </w:tc>
        <w:tc>
          <w:tcPr>
            <w:tcW w:w="7130" w:type="dxa"/>
            <w:vAlign w:val="center"/>
          </w:tcPr>
          <w:p w14:paraId="69F80E5B">
            <w:pPr>
              <w:pStyle w:val="96"/>
              <w:pBdr>
                <w:bottom w:val="none" w:color="auto" w:sz="0" w:space="0"/>
              </w:pBdr>
              <w:tabs>
                <w:tab w:val="clear" w:pos="4153"/>
                <w:tab w:val="clear" w:pos="8306"/>
              </w:tabs>
              <w:adjustRightInd/>
              <w:spacing w:line="500" w:lineRule="exact"/>
              <w:jc w:val="both"/>
              <w:textAlignment w:val="auto"/>
              <w:rPr>
                <w:rFonts w:ascii="宋体" w:hAnsi="宋体" w:cs="宋体"/>
                <w:szCs w:val="24"/>
              </w:rPr>
            </w:pPr>
            <w:r>
              <w:rPr>
                <w:rFonts w:hint="eastAsia" w:ascii="宋体" w:hAnsi="宋体" w:cs="宋体"/>
                <w:szCs w:val="24"/>
                <w:lang w:val="en-US" w:eastAsia="zh-CN"/>
              </w:rPr>
              <w:t xml:space="preserve">纸质 </w:t>
            </w:r>
          </w:p>
        </w:tc>
      </w:tr>
      <w:tr w14:paraId="5EE7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97470E0">
            <w:pPr>
              <w:pStyle w:val="96"/>
              <w:pageBreakBefore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default" w:ascii="宋体" w:hAnsi="宋体" w:eastAsia="宋体" w:cs="宋体"/>
                <w:b/>
                <w:kern w:val="2"/>
                <w:sz w:val="24"/>
                <w:szCs w:val="24"/>
                <w:lang w:val="en-US" w:eastAsia="zh-CN"/>
              </w:rPr>
            </w:pPr>
            <w:r>
              <w:rPr>
                <w:rFonts w:hint="eastAsia" w:ascii="宋体" w:hAnsi="宋体" w:cs="宋体"/>
                <w:b/>
                <w:kern w:val="2"/>
                <w:sz w:val="24"/>
                <w:szCs w:val="24"/>
                <w:lang w:val="en-US" w:eastAsia="zh-CN"/>
              </w:rPr>
              <w:t>22</w:t>
            </w:r>
          </w:p>
        </w:tc>
        <w:tc>
          <w:tcPr>
            <w:tcW w:w="1680" w:type="dxa"/>
            <w:vAlign w:val="center"/>
          </w:tcPr>
          <w:p w14:paraId="04285FE3">
            <w:pPr>
              <w:pStyle w:val="96"/>
              <w:pBdr>
                <w:bottom w:val="none" w:color="auto" w:sz="0" w:space="0"/>
              </w:pBdr>
              <w:tabs>
                <w:tab w:val="clear" w:pos="4153"/>
                <w:tab w:val="clear" w:pos="8306"/>
              </w:tabs>
              <w:adjustRightInd/>
              <w:spacing w:line="500" w:lineRule="exact"/>
              <w:jc w:val="left"/>
              <w:textAlignment w:val="auto"/>
              <w:rPr>
                <w:rFonts w:hint="eastAsia" w:ascii="宋体" w:hAnsi="宋体"/>
                <w:bCs/>
                <w:kern w:val="2"/>
                <w:szCs w:val="24"/>
                <w:lang w:val="en-US"/>
              </w:rPr>
            </w:pPr>
            <w:r>
              <w:rPr>
                <w:rFonts w:hint="eastAsia" w:ascii="宋体" w:hAnsi="宋体"/>
                <w:bCs/>
                <w:kern w:val="2"/>
                <w:szCs w:val="24"/>
                <w:lang w:val="en-US"/>
              </w:rPr>
              <w:t>谈判文件解释权</w:t>
            </w:r>
          </w:p>
        </w:tc>
        <w:tc>
          <w:tcPr>
            <w:tcW w:w="7130" w:type="dxa"/>
            <w:vAlign w:val="center"/>
          </w:tcPr>
          <w:p w14:paraId="3556D6DA">
            <w:pPr>
              <w:pStyle w:val="96"/>
              <w:pBdr>
                <w:bottom w:val="none" w:color="auto" w:sz="0" w:space="0"/>
              </w:pBdr>
              <w:tabs>
                <w:tab w:val="clear" w:pos="4153"/>
                <w:tab w:val="clear" w:pos="8306"/>
              </w:tabs>
              <w:adjustRightInd/>
              <w:spacing w:line="500" w:lineRule="exact"/>
              <w:jc w:val="both"/>
              <w:textAlignment w:val="auto"/>
              <w:rPr>
                <w:rFonts w:ascii="宋体" w:hAnsi="宋体" w:cs="宋体"/>
                <w:szCs w:val="24"/>
              </w:rPr>
            </w:pPr>
            <w:r>
              <w:rPr>
                <w:rFonts w:ascii="宋体" w:hAnsi="宋体" w:cs="宋体"/>
                <w:szCs w:val="24"/>
              </w:rPr>
              <w:t>本谈判文件的解释权归采购人。</w:t>
            </w:r>
          </w:p>
        </w:tc>
      </w:tr>
      <w:bookmarkEnd w:id="64"/>
      <w:bookmarkEnd w:id="65"/>
      <w:bookmarkEnd w:id="66"/>
    </w:tbl>
    <w:p w14:paraId="20175098">
      <w:pPr>
        <w:pStyle w:val="3"/>
        <w:pageBreakBefore w:val="0"/>
        <w:kinsoku/>
        <w:wordWrap/>
        <w:overflowPunct/>
        <w:topLinePunct w:val="0"/>
        <w:autoSpaceDE/>
        <w:autoSpaceDN/>
        <w:bidi w:val="0"/>
        <w:snapToGrid/>
        <w:spacing w:before="0" w:after="0" w:line="500" w:lineRule="exact"/>
        <w:ind w:firstLine="241" w:firstLineChars="100"/>
        <w:jc w:val="center"/>
        <w:rPr>
          <w:rFonts w:hint="eastAsia" w:ascii="宋体" w:hAnsi="宋体" w:eastAsia="宋体" w:cs="宋体"/>
          <w:sz w:val="24"/>
          <w:szCs w:val="24"/>
        </w:rPr>
      </w:pPr>
    </w:p>
    <w:p w14:paraId="2A611AED">
      <w:pPr>
        <w:pStyle w:val="3"/>
        <w:pageBreakBefore w:val="0"/>
        <w:kinsoku/>
        <w:wordWrap/>
        <w:overflowPunct/>
        <w:topLinePunct w:val="0"/>
        <w:autoSpaceDE/>
        <w:autoSpaceDN/>
        <w:bidi w:val="0"/>
        <w:snapToGrid/>
        <w:spacing w:before="0" w:after="0" w:line="500" w:lineRule="exact"/>
        <w:jc w:val="both"/>
        <w:rPr>
          <w:rFonts w:hint="eastAsia" w:ascii="宋体" w:hAnsi="宋体" w:eastAsia="宋体" w:cs="宋体"/>
          <w:sz w:val="24"/>
          <w:szCs w:val="24"/>
        </w:rPr>
      </w:pPr>
    </w:p>
    <w:p w14:paraId="4F0E2822">
      <w:pPr>
        <w:rPr>
          <w:rFonts w:hint="eastAsia" w:ascii="宋体" w:hAnsi="宋体" w:eastAsia="宋体" w:cs="宋体"/>
          <w:sz w:val="24"/>
          <w:szCs w:val="24"/>
        </w:rPr>
      </w:pPr>
    </w:p>
    <w:p w14:paraId="6E315F2F">
      <w:pPr>
        <w:rPr>
          <w:rFonts w:hint="eastAsia" w:ascii="宋体" w:hAnsi="宋体" w:eastAsia="宋体" w:cs="宋体"/>
          <w:sz w:val="24"/>
          <w:szCs w:val="24"/>
        </w:rPr>
      </w:pPr>
    </w:p>
    <w:p w14:paraId="7828A9FB">
      <w:pPr>
        <w:rPr>
          <w:rFonts w:hint="eastAsia" w:ascii="宋体" w:hAnsi="宋体" w:eastAsia="宋体" w:cs="宋体"/>
          <w:sz w:val="24"/>
          <w:szCs w:val="24"/>
        </w:rPr>
      </w:pPr>
    </w:p>
    <w:p w14:paraId="0115CFDF">
      <w:pPr>
        <w:rPr>
          <w:rFonts w:hint="eastAsia" w:ascii="宋体" w:hAnsi="宋体" w:eastAsia="宋体" w:cs="宋体"/>
          <w:sz w:val="24"/>
          <w:szCs w:val="24"/>
        </w:rPr>
      </w:pPr>
    </w:p>
    <w:p w14:paraId="0CF9937C">
      <w:pPr>
        <w:rPr>
          <w:rFonts w:hint="eastAsia" w:ascii="宋体" w:hAnsi="宋体" w:eastAsia="宋体" w:cs="宋体"/>
          <w:sz w:val="24"/>
          <w:szCs w:val="24"/>
        </w:rPr>
      </w:pPr>
    </w:p>
    <w:p w14:paraId="003B8FF4">
      <w:pPr>
        <w:pStyle w:val="3"/>
        <w:pageBreakBefore w:val="0"/>
        <w:kinsoku/>
        <w:wordWrap/>
        <w:overflowPunct/>
        <w:topLinePunct w:val="0"/>
        <w:autoSpaceDE/>
        <w:autoSpaceDN/>
        <w:bidi w:val="0"/>
        <w:snapToGrid/>
        <w:spacing w:before="0" w:after="0" w:line="500" w:lineRule="exact"/>
        <w:jc w:val="both"/>
        <w:rPr>
          <w:rFonts w:hint="eastAsia" w:ascii="宋体" w:hAnsi="宋体" w:eastAsia="宋体" w:cs="宋体"/>
          <w:sz w:val="24"/>
          <w:szCs w:val="24"/>
        </w:rPr>
      </w:pPr>
    </w:p>
    <w:p w14:paraId="7B2FBA1D">
      <w:pPr>
        <w:rPr>
          <w:rFonts w:hint="eastAsia" w:ascii="宋体" w:hAnsi="宋体" w:eastAsia="宋体" w:cs="宋体"/>
          <w:sz w:val="24"/>
          <w:szCs w:val="24"/>
        </w:rPr>
      </w:pPr>
    </w:p>
    <w:p w14:paraId="3C62EEBE">
      <w:pPr>
        <w:rPr>
          <w:rFonts w:hint="eastAsia" w:ascii="宋体" w:hAnsi="宋体" w:eastAsia="宋体" w:cs="宋体"/>
          <w:sz w:val="24"/>
          <w:szCs w:val="24"/>
        </w:rPr>
      </w:pPr>
    </w:p>
    <w:p w14:paraId="5354636D">
      <w:pPr>
        <w:pStyle w:val="3"/>
        <w:pageBreakBefore w:val="0"/>
        <w:kinsoku/>
        <w:wordWrap/>
        <w:overflowPunct/>
        <w:topLinePunct w:val="0"/>
        <w:autoSpaceDE/>
        <w:autoSpaceDN/>
        <w:bidi w:val="0"/>
        <w:snapToGrid/>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（二）供应商资格</w:t>
      </w:r>
      <w:bookmarkEnd w:id="67"/>
      <w:bookmarkEnd w:id="68"/>
    </w:p>
    <w:p w14:paraId="1C7E917D">
      <w:pPr>
        <w:pStyle w:val="33"/>
        <w:pageBreakBefore w:val="0"/>
        <w:kinsoku/>
        <w:wordWrap/>
        <w:overflowPunct/>
        <w:topLinePunct w:val="0"/>
        <w:autoSpaceDE/>
        <w:autoSpaceDN/>
        <w:bidi w:val="0"/>
        <w:snapToGrid/>
        <w:spacing w:after="0" w:line="500" w:lineRule="exact"/>
        <w:ind w:firstLine="480" w:firstLineChars="200"/>
        <w:jc w:val="left"/>
        <w:rPr>
          <w:rFonts w:hint="eastAsia" w:ascii="宋体" w:hAnsi="宋体" w:eastAsia="宋体" w:cs="宋体"/>
          <w:sz w:val="24"/>
          <w:szCs w:val="24"/>
        </w:rPr>
      </w:pPr>
      <w:bookmarkStart w:id="70" w:name="_Toc216158625"/>
      <w:bookmarkStart w:id="71" w:name="_Toc438648662"/>
      <w:bookmarkStart w:id="72" w:name="_Toc363199266"/>
      <w:r>
        <w:rPr>
          <w:rFonts w:hint="eastAsia" w:ascii="宋体" w:hAnsi="宋体" w:eastAsia="宋体" w:cs="宋体"/>
          <w:sz w:val="24"/>
          <w:szCs w:val="24"/>
        </w:rPr>
        <w:t>见本项目采购公告</w:t>
      </w:r>
    </w:p>
    <w:p w14:paraId="4EA5100D">
      <w:pPr>
        <w:pStyle w:val="3"/>
        <w:pageBreakBefore w:val="0"/>
        <w:kinsoku/>
        <w:wordWrap/>
        <w:overflowPunct/>
        <w:topLinePunct w:val="0"/>
        <w:autoSpaceDE/>
        <w:autoSpaceDN/>
        <w:bidi w:val="0"/>
        <w:snapToGrid/>
        <w:spacing w:before="0" w:after="0" w:line="500" w:lineRule="exact"/>
        <w:jc w:val="center"/>
        <w:rPr>
          <w:rFonts w:hint="eastAsia" w:ascii="宋体" w:hAnsi="宋体" w:eastAsia="宋体" w:cs="宋体"/>
          <w:sz w:val="24"/>
          <w:szCs w:val="24"/>
        </w:rPr>
      </w:pPr>
      <w:bookmarkStart w:id="73" w:name="_Toc27352"/>
      <w:bookmarkStart w:id="74" w:name="_Toc24432"/>
      <w:r>
        <w:rPr>
          <w:rFonts w:hint="eastAsia" w:ascii="宋体" w:hAnsi="宋体" w:eastAsia="宋体" w:cs="宋体"/>
          <w:sz w:val="24"/>
          <w:szCs w:val="24"/>
        </w:rPr>
        <w:t>（三）供应商必须提交的响应文件内容</w:t>
      </w:r>
      <w:bookmarkEnd w:id="70"/>
      <w:bookmarkEnd w:id="71"/>
      <w:bookmarkEnd w:id="72"/>
      <w:bookmarkEnd w:id="73"/>
      <w:bookmarkEnd w:id="74"/>
    </w:p>
    <w:p w14:paraId="75E7BFF9">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1、报价单；</w:t>
      </w:r>
    </w:p>
    <w:p w14:paraId="76B2A3ED">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2、供应商基本信息；</w:t>
      </w:r>
    </w:p>
    <w:p w14:paraId="75CEE79C">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3、谈判授权书；</w:t>
      </w:r>
    </w:p>
    <w:p w14:paraId="4F114DF4">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4、谈判响应函；</w:t>
      </w:r>
    </w:p>
    <w:p w14:paraId="1CAA4D4F">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5、无重大违法记录声明函、无不良信用记录承诺函；</w:t>
      </w:r>
    </w:p>
    <w:p w14:paraId="6FA17618">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6、响应情况表；</w:t>
      </w:r>
    </w:p>
    <w:p w14:paraId="5F142EA2">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Style w:val="56"/>
          <w:rFonts w:hint="eastAsia" w:ascii="宋体" w:hAnsi="宋体" w:eastAsia="宋体" w:cs="宋体"/>
          <w:b w:val="0"/>
          <w:bCs/>
          <w:sz w:val="24"/>
          <w:szCs w:val="24"/>
        </w:rPr>
        <w:t>中小企业声明函、</w:t>
      </w:r>
      <w:r>
        <w:rPr>
          <w:rFonts w:hint="eastAsia" w:ascii="宋体" w:hAnsi="宋体" w:eastAsia="宋体" w:cs="宋体"/>
          <w:bCs/>
          <w:sz w:val="24"/>
          <w:szCs w:val="24"/>
        </w:rPr>
        <w:t>残疾人福利性单位声明函</w:t>
      </w:r>
    </w:p>
    <w:p w14:paraId="452B1F20">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、谈判文件要求和供应商认为需要提供的其它说明和资料。 </w:t>
      </w:r>
    </w:p>
    <w:p w14:paraId="217855AA">
      <w:pPr>
        <w:pStyle w:val="3"/>
        <w:pageBreakBefore w:val="0"/>
        <w:kinsoku/>
        <w:wordWrap/>
        <w:overflowPunct/>
        <w:topLinePunct w:val="0"/>
        <w:autoSpaceDE/>
        <w:autoSpaceDN/>
        <w:bidi w:val="0"/>
        <w:snapToGrid/>
        <w:spacing w:before="0" w:after="0" w:line="500" w:lineRule="exact"/>
        <w:jc w:val="center"/>
        <w:rPr>
          <w:rFonts w:hint="eastAsia" w:ascii="宋体" w:hAnsi="宋体" w:eastAsia="宋体" w:cs="宋体"/>
          <w:sz w:val="24"/>
          <w:szCs w:val="24"/>
        </w:rPr>
      </w:pPr>
      <w:bookmarkStart w:id="75" w:name="_Toc15586"/>
      <w:bookmarkStart w:id="76" w:name="_Toc21125"/>
      <w:bookmarkStart w:id="77" w:name="（三）供应商必须提交的响应文件内容"/>
      <w:bookmarkStart w:id="78" w:name="（四）响应文件的提交"/>
      <w:r>
        <w:rPr>
          <w:rFonts w:hint="eastAsia" w:ascii="宋体" w:hAnsi="宋体" w:eastAsia="宋体" w:cs="宋体"/>
          <w:sz w:val="24"/>
          <w:szCs w:val="24"/>
        </w:rPr>
        <w:t>（四）响应文件的提交</w:t>
      </w:r>
      <w:bookmarkEnd w:id="75"/>
      <w:bookmarkEnd w:id="76"/>
    </w:p>
    <w:bookmarkEnd w:id="77"/>
    <w:bookmarkEnd w:id="78"/>
    <w:p w14:paraId="0BE21A41">
      <w:pPr>
        <w:spacing w:line="500" w:lineRule="exact"/>
        <w:ind w:firstLine="480" w:firstLineChars="200"/>
        <w:rPr>
          <w:rFonts w:ascii="宋体" w:hAnsi="宋体" w:cs="宋体"/>
          <w:sz w:val="24"/>
          <w:szCs w:val="24"/>
        </w:rPr>
      </w:pPr>
      <w:bookmarkStart w:id="79" w:name="_Toc15127"/>
      <w:bookmarkStart w:id="80" w:name="_Toc9203"/>
      <w:bookmarkStart w:id="81" w:name="（五）谈判程序"/>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响应文件密封</w:t>
      </w:r>
    </w:p>
    <w:p w14:paraId="6A4D70B9">
      <w:pPr>
        <w:spacing w:line="500" w:lineRule="exact"/>
        <w:ind w:firstLine="480" w:firstLineChars="200"/>
        <w:rPr>
          <w:rFonts w:ascii="宋体" w:hAnsi="宋体" w:cs="宋体"/>
          <w:sz w:val="24"/>
          <w:szCs w:val="24"/>
        </w:rPr>
      </w:pPr>
      <w:r>
        <w:rPr>
          <w:rFonts w:hint="eastAsia" w:ascii="宋体" w:hAnsi="宋体" w:cs="宋体"/>
          <w:sz w:val="24"/>
          <w:szCs w:val="24"/>
        </w:rPr>
        <w:t>1.1响应文件应密封包装，并在封套的封口处加盖供应商单位章或由供应商的法定代表人（单位负责人）或其授权的代理人签字。</w:t>
      </w:r>
    </w:p>
    <w:p w14:paraId="1C65FD5C">
      <w:pPr>
        <w:spacing w:line="500" w:lineRule="exact"/>
        <w:ind w:firstLine="480" w:firstLineChars="200"/>
        <w:rPr>
          <w:rFonts w:ascii="宋体" w:hAnsi="宋体" w:cs="宋体"/>
          <w:sz w:val="24"/>
          <w:szCs w:val="24"/>
        </w:rPr>
      </w:pPr>
      <w:r>
        <w:rPr>
          <w:rFonts w:hint="eastAsia" w:ascii="宋体" w:hAnsi="宋体" w:cs="宋体"/>
          <w:sz w:val="24"/>
          <w:szCs w:val="24"/>
        </w:rPr>
        <w:t>1.2 响应文件封套上应写明的内容见供应商须知前附表。</w:t>
      </w:r>
    </w:p>
    <w:p w14:paraId="5AC3C78B">
      <w:pPr>
        <w:spacing w:line="500" w:lineRule="exact"/>
        <w:ind w:firstLine="480" w:firstLineChars="200"/>
        <w:rPr>
          <w:rFonts w:ascii="宋体" w:hAnsi="宋体" w:cs="宋体"/>
          <w:sz w:val="24"/>
          <w:szCs w:val="24"/>
        </w:rPr>
      </w:pPr>
      <w:r>
        <w:rPr>
          <w:rFonts w:hint="eastAsia" w:ascii="宋体" w:hAnsi="宋体" w:cs="宋体"/>
          <w:sz w:val="24"/>
          <w:szCs w:val="24"/>
        </w:rPr>
        <w:t>1.3 如果未按规定封装或加写标记，采购代理机构将不承担响应文件错放或提前开封的责任，并可能导致响应无效。</w:t>
      </w:r>
    </w:p>
    <w:p w14:paraId="662256E5">
      <w:pPr>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 xml:space="preserve">响应文件的提交 </w:t>
      </w:r>
    </w:p>
    <w:p w14:paraId="514428B0">
      <w:pPr>
        <w:spacing w:line="500" w:lineRule="exact"/>
        <w:ind w:firstLine="480" w:firstLineChars="200"/>
        <w:rPr>
          <w:rFonts w:ascii="宋体" w:hAnsi="宋体" w:cs="宋体"/>
          <w:sz w:val="24"/>
          <w:szCs w:val="24"/>
        </w:rPr>
      </w:pPr>
      <w:r>
        <w:rPr>
          <w:rFonts w:hint="eastAsia" w:ascii="宋体" w:hAnsi="宋体" w:cs="宋体"/>
          <w:sz w:val="24"/>
          <w:szCs w:val="24"/>
        </w:rPr>
        <w:t>2.1 供应商应在供应商须知前附表规定的响应文件递交截止时间前递交响应文件。</w:t>
      </w:r>
    </w:p>
    <w:p w14:paraId="126C4CB7">
      <w:pPr>
        <w:spacing w:line="500" w:lineRule="exact"/>
        <w:ind w:firstLine="480" w:firstLineChars="200"/>
        <w:rPr>
          <w:rFonts w:ascii="宋体" w:hAnsi="宋体" w:cs="宋体"/>
          <w:sz w:val="24"/>
          <w:szCs w:val="24"/>
        </w:rPr>
      </w:pPr>
      <w:r>
        <w:rPr>
          <w:rFonts w:hint="eastAsia" w:ascii="宋体" w:hAnsi="宋体" w:cs="宋体"/>
          <w:sz w:val="24"/>
          <w:szCs w:val="24"/>
        </w:rPr>
        <w:t>2.2 供应商递交响应文件的地点：见供应商须知前附表。</w:t>
      </w:r>
    </w:p>
    <w:p w14:paraId="08863920">
      <w:pPr>
        <w:spacing w:line="500" w:lineRule="exact"/>
        <w:ind w:firstLine="480" w:firstLineChars="200"/>
        <w:rPr>
          <w:rFonts w:ascii="宋体" w:hAnsi="宋体" w:cs="宋体"/>
          <w:sz w:val="24"/>
          <w:szCs w:val="24"/>
        </w:rPr>
      </w:pPr>
      <w:r>
        <w:rPr>
          <w:rFonts w:hint="eastAsia" w:ascii="宋体" w:hAnsi="宋体" w:cs="宋体"/>
          <w:sz w:val="24"/>
          <w:szCs w:val="24"/>
        </w:rPr>
        <w:t>2.3 除供应商须知前附表另有规定外，供应商所递交的响应文件不予退还。</w:t>
      </w:r>
    </w:p>
    <w:p w14:paraId="34E8E167">
      <w:pPr>
        <w:spacing w:line="500" w:lineRule="exact"/>
        <w:ind w:firstLine="480" w:firstLineChars="200"/>
        <w:rPr>
          <w:rFonts w:ascii="宋体" w:hAnsi="宋体" w:cs="宋体"/>
          <w:sz w:val="24"/>
          <w:szCs w:val="24"/>
        </w:rPr>
      </w:pPr>
      <w:r>
        <w:rPr>
          <w:rFonts w:hint="eastAsia" w:ascii="宋体" w:hAnsi="宋体" w:cs="宋体"/>
          <w:sz w:val="24"/>
          <w:szCs w:val="24"/>
        </w:rPr>
        <w:t>2.4逾期送达的或者未送达指定地点的响应文件，采购人将予以拒收。</w:t>
      </w:r>
    </w:p>
    <w:p w14:paraId="0A54D725">
      <w:pPr>
        <w:spacing w:line="50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响应文件的修改和撤回</w:t>
      </w:r>
    </w:p>
    <w:p w14:paraId="4B4EC178">
      <w:pPr>
        <w:spacing w:line="500" w:lineRule="exact"/>
        <w:ind w:firstLine="480" w:firstLineChars="200"/>
        <w:rPr>
          <w:rFonts w:ascii="宋体" w:hAnsi="宋体" w:cs="宋体"/>
          <w:sz w:val="24"/>
          <w:szCs w:val="24"/>
        </w:rPr>
      </w:pPr>
      <w:r>
        <w:rPr>
          <w:rFonts w:hint="eastAsia" w:ascii="宋体" w:hAnsi="宋体" w:cs="宋体"/>
          <w:sz w:val="24"/>
          <w:szCs w:val="24"/>
        </w:rPr>
        <w:t>3.1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14:paraId="67A01D4D">
      <w:pPr>
        <w:spacing w:line="500" w:lineRule="exact"/>
        <w:ind w:firstLine="480" w:firstLineChars="200"/>
        <w:rPr>
          <w:rFonts w:ascii="宋体" w:hAnsi="宋体" w:cs="宋体"/>
          <w:sz w:val="24"/>
          <w:szCs w:val="24"/>
        </w:rPr>
      </w:pPr>
      <w:r>
        <w:rPr>
          <w:rFonts w:hint="eastAsia" w:ascii="宋体" w:hAnsi="宋体" w:cs="宋体"/>
          <w:sz w:val="24"/>
          <w:szCs w:val="24"/>
        </w:rPr>
        <w:t>3.2供应商的修改书或撤回通知书，应按规定进行编制、密封、标记和提交，且标明“修改”或“撤回”字样。</w:t>
      </w:r>
    </w:p>
    <w:p w14:paraId="06D27650">
      <w:pPr>
        <w:pStyle w:val="3"/>
        <w:spacing w:before="0" w:after="0" w:line="500" w:lineRule="exact"/>
        <w:ind w:firstLine="480" w:firstLineChars="200"/>
        <w:rPr>
          <w:rFonts w:ascii="宋体" w:hAnsi="宋体" w:eastAsia="宋体" w:cs="宋体"/>
          <w:b w:val="0"/>
          <w:bCs/>
          <w:sz w:val="24"/>
          <w:szCs w:val="24"/>
        </w:rPr>
      </w:pPr>
      <w:r>
        <w:rPr>
          <w:rFonts w:hint="eastAsia" w:ascii="宋体" w:hAnsi="宋体" w:eastAsia="宋体" w:cs="宋体"/>
          <w:b w:val="0"/>
          <w:kern w:val="2"/>
          <w:sz w:val="24"/>
          <w:szCs w:val="24"/>
        </w:rPr>
        <w:t>3.3提交响应文件截止时间后不得修改响应文件。但属于谈判小组在评审中发现的计算错误并进行核实的修改、按照谈判文件的变动情况和谈判小组的要求重新提交响应文件的，不在此列。</w:t>
      </w:r>
    </w:p>
    <w:p w14:paraId="4571316E">
      <w:pPr>
        <w:pStyle w:val="3"/>
        <w:pageBreakBefore w:val="0"/>
        <w:kinsoku/>
        <w:wordWrap/>
        <w:overflowPunct/>
        <w:topLinePunct w:val="0"/>
        <w:autoSpaceDE/>
        <w:autoSpaceDN/>
        <w:bidi w:val="0"/>
        <w:snapToGrid/>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（五）谈判程序</w:t>
      </w:r>
      <w:bookmarkEnd w:id="79"/>
      <w:bookmarkEnd w:id="80"/>
    </w:p>
    <w:bookmarkEnd w:id="81"/>
    <w:p w14:paraId="3562CF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1、谈判人员是按规定组成的三人或三人以上的谈判小组。</w:t>
      </w:r>
      <w:r>
        <w:rPr>
          <w:rFonts w:hint="eastAsia" w:ascii="宋体" w:hAnsi="宋体" w:eastAsia="宋体" w:cs="宋体"/>
          <w:sz w:val="24"/>
          <w:szCs w:val="24"/>
          <w:lang w:val="en-US" w:eastAsia="zh-CN"/>
        </w:rPr>
        <w:t>采购人（代理机构）确定本项目谈判小组</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lang w:val="en-US" w:eastAsia="zh-CN"/>
        </w:rPr>
        <w:t>人。</w:t>
      </w:r>
    </w:p>
    <w:p w14:paraId="4A7F5595">
      <w:pPr>
        <w:keepNext w:val="0"/>
        <w:keepLines w:val="0"/>
        <w:pageBreakBefore w:val="0"/>
        <w:widowControl w:val="0"/>
        <w:tabs>
          <w:tab w:val="left" w:pos="900"/>
        </w:tabs>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2、在掌握了供应商的基本情况后，谈判小组将与供应商分别进行谈判。</w:t>
      </w:r>
    </w:p>
    <w:p w14:paraId="5AEDBCCA">
      <w:pPr>
        <w:keepNext w:val="0"/>
        <w:keepLines w:val="0"/>
        <w:pageBreakBefore w:val="0"/>
        <w:widowControl w:val="0"/>
        <w:tabs>
          <w:tab w:val="left" w:pos="900"/>
        </w:tabs>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3、谈判是分别单独进行的。供应商不得与其他参与谈判的供应商相互串通；谈判小组也不得将与某一供应商的谈判情况向其他供应商及其关系人透露。</w:t>
      </w:r>
    </w:p>
    <w:p w14:paraId="11F34FDD">
      <w:pPr>
        <w:pageBreakBefore w:val="0"/>
        <w:tabs>
          <w:tab w:val="left" w:pos="900"/>
        </w:tabs>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4、谈判采用一轮谈判、两轮报价的方式进行。但最终采取多少轮谈判，由谈判小组视情况而定。</w:t>
      </w:r>
    </w:p>
    <w:p w14:paraId="5441C957">
      <w:pPr>
        <w:tabs>
          <w:tab w:val="left" w:pos="900"/>
        </w:tabs>
        <w:spacing w:line="500" w:lineRule="exact"/>
        <w:ind w:firstLine="480" w:firstLineChars="200"/>
        <w:rPr>
          <w:rFonts w:ascii="宋体" w:hAnsi="宋体" w:cs="宋体"/>
          <w:sz w:val="24"/>
          <w:szCs w:val="24"/>
        </w:rPr>
      </w:pPr>
      <w:bookmarkStart w:id="82" w:name="_Toc6912"/>
      <w:bookmarkStart w:id="83" w:name="_Toc1437"/>
      <w:bookmarkStart w:id="84" w:name="_Toc9855"/>
      <w:r>
        <w:rPr>
          <w:rFonts w:hint="eastAsia" w:ascii="宋体" w:hAnsi="宋体" w:eastAsia="宋体" w:cs="宋体"/>
          <w:b w:val="0"/>
          <w:bCs/>
          <w:sz w:val="24"/>
          <w:szCs w:val="24"/>
        </w:rPr>
        <w:t>5、</w:t>
      </w:r>
      <w:bookmarkEnd w:id="82"/>
      <w:bookmarkEnd w:id="83"/>
      <w:bookmarkEnd w:id="84"/>
      <w:bookmarkStart w:id="85" w:name="_Toc110"/>
      <w:bookmarkStart w:id="86" w:name="_Toc15851"/>
      <w:bookmarkStart w:id="87" w:name="_Toc9547"/>
      <w:r>
        <w:rPr>
          <w:rFonts w:hint="eastAsia" w:ascii="宋体" w:hAnsi="宋体" w:cs="宋体"/>
          <w:sz w:val="24"/>
          <w:szCs w:val="24"/>
        </w:rPr>
        <w:t>谈判结束后，谈判小组将要求所有符合条件的供应商在规定的时间内进行最后的报价。供应商应在谈判小组发出</w:t>
      </w:r>
      <w:r>
        <w:rPr>
          <w:rFonts w:hint="eastAsia" w:ascii="宋体" w:hAnsi="宋体" w:cs="宋体"/>
          <w:sz w:val="24"/>
          <w:szCs w:val="24"/>
          <w:lang w:val="en-US" w:eastAsia="zh-CN"/>
        </w:rPr>
        <w:t>下一</w:t>
      </w:r>
      <w:r>
        <w:rPr>
          <w:rFonts w:hint="eastAsia" w:ascii="宋体" w:hAnsi="宋体" w:cs="宋体"/>
          <w:sz w:val="24"/>
          <w:szCs w:val="24"/>
        </w:rPr>
        <w:t>轮报价指令后30分钟内完成报价，若供应商未在谈判小组规定的时间内提交最后的报价，则其前一轮报价即为该供应商最后的报价（后一轮报价不得高于前一轮报价，否则，报价无效）。</w:t>
      </w:r>
    </w:p>
    <w:p w14:paraId="6868C6EE">
      <w:pPr>
        <w:tabs>
          <w:tab w:val="left" w:pos="900"/>
        </w:tabs>
        <w:spacing w:line="500" w:lineRule="exact"/>
        <w:ind w:firstLine="480" w:firstLineChars="200"/>
        <w:rPr>
          <w:rFonts w:hint="eastAsia" w:ascii="宋体" w:hAnsi="宋体" w:eastAsia="宋体" w:cs="宋体"/>
          <w:sz w:val="24"/>
          <w:szCs w:val="24"/>
        </w:rPr>
      </w:pPr>
      <w:r>
        <w:rPr>
          <w:rFonts w:hint="eastAsia" w:ascii="宋体" w:hAnsi="宋体" w:eastAsia="宋体" w:cs="宋体"/>
          <w:b w:val="0"/>
          <w:bCs/>
          <w:sz w:val="24"/>
          <w:szCs w:val="24"/>
        </w:rPr>
        <w:t>6、</w:t>
      </w:r>
      <w:bookmarkEnd w:id="85"/>
      <w:bookmarkEnd w:id="86"/>
      <w:bookmarkEnd w:id="87"/>
      <w:r>
        <w:rPr>
          <w:rFonts w:hint="eastAsia" w:ascii="宋体" w:hAnsi="宋体" w:cs="宋体"/>
          <w:sz w:val="24"/>
          <w:szCs w:val="24"/>
        </w:rPr>
        <w:t>供应商必须在规定的时间内将自己在谈判中作出的澄清、变动以及最终的报价，经法定代表人或被授权代表签字后，提交给谈判小组。</w:t>
      </w:r>
    </w:p>
    <w:p w14:paraId="5B444760">
      <w:pPr>
        <w:pStyle w:val="3"/>
        <w:pageBreakBefore w:val="0"/>
        <w:kinsoku/>
        <w:wordWrap/>
        <w:overflowPunct/>
        <w:topLinePunct w:val="0"/>
        <w:autoSpaceDE/>
        <w:autoSpaceDN/>
        <w:bidi w:val="0"/>
        <w:snapToGrid/>
        <w:spacing w:before="0" w:after="0" w:line="500" w:lineRule="exact"/>
        <w:jc w:val="center"/>
        <w:rPr>
          <w:rFonts w:hint="eastAsia" w:ascii="宋体" w:hAnsi="宋体" w:eastAsia="宋体" w:cs="宋体"/>
          <w:sz w:val="24"/>
          <w:szCs w:val="24"/>
        </w:rPr>
      </w:pPr>
      <w:bookmarkStart w:id="88" w:name="_Toc16969"/>
      <w:bookmarkStart w:id="89" w:name="_Toc22225"/>
      <w:bookmarkStart w:id="90" w:name="（六）评审及异常情况处理"/>
      <w:r>
        <w:rPr>
          <w:rFonts w:hint="eastAsia" w:ascii="宋体" w:hAnsi="宋体" w:eastAsia="宋体" w:cs="宋体"/>
          <w:sz w:val="24"/>
          <w:szCs w:val="24"/>
        </w:rPr>
        <w:t>（六）评审及异常情况处理</w:t>
      </w:r>
      <w:bookmarkEnd w:id="88"/>
      <w:bookmarkEnd w:id="89"/>
    </w:p>
    <w:bookmarkEnd w:id="90"/>
    <w:p w14:paraId="03A15635">
      <w:pPr>
        <w:pageBreakBefore w:val="0"/>
        <w:kinsoku/>
        <w:wordWrap/>
        <w:overflowPunct/>
        <w:topLinePunct w:val="0"/>
        <w:autoSpaceDE/>
        <w:autoSpaceDN/>
        <w:bidi w:val="0"/>
        <w:snapToGrid/>
        <w:spacing w:line="490" w:lineRule="exact"/>
        <w:ind w:firstLine="480" w:firstLineChars="200"/>
        <w:rPr>
          <w:rFonts w:ascii="宋体" w:hAnsi="宋体" w:cs="Arial"/>
          <w:sz w:val="24"/>
          <w:szCs w:val="24"/>
          <w:highlight w:val="none"/>
        </w:rPr>
      </w:pPr>
      <w:bookmarkStart w:id="91" w:name="_Toc31134"/>
      <w:bookmarkStart w:id="92" w:name="_Toc18914"/>
      <w:bookmarkStart w:id="93" w:name="（七）报价响应及答疑"/>
      <w:r>
        <w:rPr>
          <w:rFonts w:hint="eastAsia" w:ascii="宋体" w:hAnsi="宋体" w:cs="Times New Roman"/>
          <w:sz w:val="24"/>
          <w:szCs w:val="24"/>
          <w:highlight w:val="none"/>
        </w:rPr>
        <w:t>1、</w:t>
      </w:r>
      <w:r>
        <w:rPr>
          <w:rFonts w:hint="eastAsia" w:ascii="宋体" w:hAnsi="宋体" w:cs="Arial"/>
          <w:sz w:val="24"/>
          <w:szCs w:val="24"/>
          <w:highlight w:val="none"/>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75EA784D">
      <w:pPr>
        <w:pageBreakBefore w:val="0"/>
        <w:kinsoku/>
        <w:wordWrap/>
        <w:overflowPunct/>
        <w:topLinePunct w:val="0"/>
        <w:autoSpaceDE/>
        <w:autoSpaceDN/>
        <w:bidi w:val="0"/>
        <w:snapToGrid/>
        <w:spacing w:line="490" w:lineRule="exact"/>
        <w:ind w:firstLine="480" w:firstLineChars="200"/>
        <w:rPr>
          <w:rFonts w:ascii="宋体" w:hAnsi="宋体" w:cs="Times New Roman"/>
          <w:sz w:val="24"/>
          <w:szCs w:val="24"/>
          <w:highlight w:val="none"/>
        </w:rPr>
      </w:pPr>
      <w:r>
        <w:rPr>
          <w:rFonts w:hint="eastAsia" w:ascii="宋体" w:hAnsi="宋体" w:cs="Times New Roman"/>
          <w:sz w:val="24"/>
          <w:szCs w:val="24"/>
          <w:highlight w:val="none"/>
        </w:rPr>
        <w:t>2、谈判时出现以下情况之一的，将予以废标：</w:t>
      </w:r>
    </w:p>
    <w:p w14:paraId="3657066F">
      <w:pPr>
        <w:pageBreakBefore w:val="0"/>
        <w:kinsoku/>
        <w:wordWrap/>
        <w:overflowPunct/>
        <w:topLinePunct w:val="0"/>
        <w:autoSpaceDE/>
        <w:autoSpaceDN/>
        <w:bidi w:val="0"/>
        <w:snapToGrid/>
        <w:spacing w:line="490" w:lineRule="exact"/>
        <w:ind w:firstLine="480" w:firstLineChars="200"/>
        <w:rPr>
          <w:rFonts w:ascii="宋体" w:hAnsi="宋体" w:cs="Times New Roman"/>
          <w:sz w:val="24"/>
          <w:szCs w:val="24"/>
          <w:highlight w:val="none"/>
        </w:rPr>
      </w:pPr>
      <w:r>
        <w:rPr>
          <w:rFonts w:hint="eastAsia" w:ascii="宋体" w:hAnsi="宋体" w:cs="Times New Roman"/>
          <w:sz w:val="24"/>
          <w:szCs w:val="24"/>
          <w:highlight w:val="none"/>
        </w:rPr>
        <w:t>（1）符合专业条件的供应商或者对采购文件作实质性响应的供应商不足三家的；</w:t>
      </w:r>
    </w:p>
    <w:p w14:paraId="597710A4">
      <w:pPr>
        <w:pageBreakBefore w:val="0"/>
        <w:kinsoku/>
        <w:wordWrap/>
        <w:overflowPunct/>
        <w:topLinePunct w:val="0"/>
        <w:autoSpaceDE/>
        <w:autoSpaceDN/>
        <w:bidi w:val="0"/>
        <w:snapToGrid/>
        <w:spacing w:line="490" w:lineRule="exact"/>
        <w:ind w:firstLine="480" w:firstLineChars="200"/>
        <w:rPr>
          <w:rFonts w:ascii="宋体" w:hAnsi="宋体" w:cs="Times New Roman"/>
          <w:sz w:val="24"/>
          <w:szCs w:val="24"/>
          <w:highlight w:val="none"/>
        </w:rPr>
      </w:pPr>
      <w:r>
        <w:rPr>
          <w:rFonts w:hint="eastAsia" w:ascii="宋体" w:hAnsi="宋体" w:cs="Times New Roman"/>
          <w:sz w:val="24"/>
          <w:szCs w:val="24"/>
          <w:highlight w:val="none"/>
        </w:rPr>
        <w:t>（2）供应商的报价均超过了采购预算，经过多轮谈判仍不能降到预算内、且采购人不能支付的；</w:t>
      </w:r>
    </w:p>
    <w:p w14:paraId="76852D83">
      <w:pPr>
        <w:pageBreakBefore w:val="0"/>
        <w:kinsoku/>
        <w:wordWrap/>
        <w:overflowPunct/>
        <w:topLinePunct w:val="0"/>
        <w:autoSpaceDE/>
        <w:autoSpaceDN/>
        <w:bidi w:val="0"/>
        <w:snapToGrid/>
        <w:spacing w:line="490" w:lineRule="exact"/>
        <w:ind w:firstLine="480" w:firstLineChars="200"/>
        <w:rPr>
          <w:rFonts w:ascii="宋体" w:hAnsi="宋体" w:cs="Times New Roman"/>
          <w:sz w:val="24"/>
          <w:szCs w:val="24"/>
          <w:highlight w:val="none"/>
        </w:rPr>
      </w:pPr>
      <w:r>
        <w:rPr>
          <w:rFonts w:hint="eastAsia" w:ascii="宋体" w:hAnsi="宋体" w:cs="Times New Roman"/>
          <w:sz w:val="24"/>
          <w:szCs w:val="24"/>
          <w:highlight w:val="none"/>
        </w:rPr>
        <w:t>（3）经过谈判，供应商所提供的货物服务仍无法满足谈判文件实质性要求、影响工作的；</w:t>
      </w:r>
    </w:p>
    <w:p w14:paraId="3785B56A">
      <w:pPr>
        <w:pageBreakBefore w:val="0"/>
        <w:kinsoku/>
        <w:wordWrap/>
        <w:overflowPunct/>
        <w:topLinePunct w:val="0"/>
        <w:autoSpaceDE/>
        <w:autoSpaceDN/>
        <w:bidi w:val="0"/>
        <w:snapToGrid/>
        <w:spacing w:line="490" w:lineRule="exact"/>
        <w:ind w:firstLine="480" w:firstLineChars="200"/>
        <w:rPr>
          <w:rFonts w:ascii="宋体" w:hAnsi="宋体" w:cs="Times New Roman"/>
          <w:sz w:val="24"/>
          <w:szCs w:val="24"/>
          <w:highlight w:val="none"/>
        </w:rPr>
      </w:pPr>
      <w:r>
        <w:rPr>
          <w:rFonts w:hint="eastAsia" w:ascii="宋体" w:hAnsi="宋体" w:cs="Times New Roman"/>
          <w:sz w:val="24"/>
          <w:szCs w:val="24"/>
          <w:highlight w:val="none"/>
        </w:rPr>
        <w:t>（4）出现影响采购公正的违法、违规行为的；</w:t>
      </w:r>
    </w:p>
    <w:p w14:paraId="4B50E79E">
      <w:pPr>
        <w:pageBreakBefore w:val="0"/>
        <w:kinsoku/>
        <w:wordWrap/>
        <w:overflowPunct/>
        <w:topLinePunct w:val="0"/>
        <w:autoSpaceDE/>
        <w:autoSpaceDN/>
        <w:bidi w:val="0"/>
        <w:snapToGrid/>
        <w:spacing w:line="490" w:lineRule="exact"/>
        <w:ind w:firstLine="480" w:firstLineChars="200"/>
        <w:rPr>
          <w:rFonts w:ascii="宋体" w:hAnsi="宋体" w:cs="Times New Roman"/>
          <w:sz w:val="24"/>
          <w:szCs w:val="24"/>
          <w:highlight w:val="none"/>
        </w:rPr>
      </w:pPr>
      <w:r>
        <w:rPr>
          <w:rFonts w:hint="eastAsia" w:ascii="宋体" w:hAnsi="宋体" w:cs="Times New Roman"/>
          <w:sz w:val="24"/>
          <w:szCs w:val="24"/>
          <w:highlight w:val="none"/>
        </w:rPr>
        <w:t>（5）因重大变故，采购任务取消的。</w:t>
      </w:r>
    </w:p>
    <w:p w14:paraId="6DBC83E2">
      <w:pPr>
        <w:pageBreakBefore w:val="0"/>
        <w:kinsoku/>
        <w:wordWrap/>
        <w:overflowPunct/>
        <w:topLinePunct w:val="0"/>
        <w:autoSpaceDE/>
        <w:autoSpaceDN/>
        <w:bidi w:val="0"/>
        <w:snapToGrid/>
        <w:spacing w:line="490" w:lineRule="exact"/>
        <w:ind w:firstLine="480" w:firstLineChars="200"/>
        <w:jc w:val="left"/>
        <w:rPr>
          <w:rFonts w:ascii="宋体" w:hAnsi="宋体" w:cs="宋体"/>
          <w:sz w:val="24"/>
          <w:szCs w:val="24"/>
        </w:rPr>
      </w:pPr>
      <w:r>
        <w:rPr>
          <w:rFonts w:hint="eastAsia" w:ascii="宋体" w:hAnsi="宋体" w:cs="Arial"/>
          <w:sz w:val="24"/>
          <w:szCs w:val="24"/>
          <w:highlight w:val="none"/>
        </w:rPr>
        <w:t>3、</w:t>
      </w:r>
      <w:r>
        <w:rPr>
          <w:rFonts w:hint="eastAsia" w:ascii="宋体" w:hAnsi="宋体" w:cs="Times New Roman"/>
          <w:color w:val="auto"/>
          <w:sz w:val="24"/>
          <w:szCs w:val="24"/>
        </w:rPr>
        <w:t>重新组织</w:t>
      </w:r>
      <w:r>
        <w:rPr>
          <w:rFonts w:hint="eastAsia" w:ascii="宋体" w:hAnsi="宋体" w:cs="Times New Roman"/>
          <w:color w:val="auto"/>
          <w:sz w:val="24"/>
          <w:szCs w:val="24"/>
          <w:lang w:eastAsia="zh-CN"/>
        </w:rPr>
        <w:t>谈判</w:t>
      </w:r>
      <w:r>
        <w:rPr>
          <w:rFonts w:hint="eastAsia" w:ascii="宋体" w:hAnsi="宋体" w:cs="Times New Roman"/>
          <w:color w:val="auto"/>
          <w:sz w:val="24"/>
          <w:szCs w:val="24"/>
        </w:rPr>
        <w:t>，采购单位将通过</w:t>
      </w:r>
      <w:r>
        <w:rPr>
          <w:rFonts w:hint="eastAsia" w:ascii="宋体" w:hAnsi="宋体" w:cs="Times New Roman"/>
          <w:color w:val="auto"/>
          <w:sz w:val="24"/>
          <w:szCs w:val="24"/>
          <w:lang w:val="en-US" w:eastAsia="zh-CN"/>
        </w:rPr>
        <w:t>公告发布网站</w:t>
      </w:r>
      <w:r>
        <w:rPr>
          <w:rFonts w:hint="eastAsia" w:ascii="宋体" w:hAnsi="宋体" w:cs="Times New Roman"/>
          <w:color w:val="auto"/>
          <w:sz w:val="24"/>
          <w:szCs w:val="24"/>
        </w:rPr>
        <w:t>进行公告</w:t>
      </w:r>
      <w:r>
        <w:rPr>
          <w:rFonts w:hint="eastAsia" w:ascii="宋体" w:hAnsi="宋体" w:cs="Arial"/>
          <w:sz w:val="24"/>
          <w:szCs w:val="24"/>
          <w:highlight w:val="none"/>
        </w:rPr>
        <w:t>。</w:t>
      </w:r>
    </w:p>
    <w:p w14:paraId="27303918">
      <w:pPr>
        <w:pStyle w:val="3"/>
        <w:pageBreakBefore w:val="0"/>
        <w:kinsoku/>
        <w:wordWrap/>
        <w:overflowPunct/>
        <w:topLinePunct w:val="0"/>
        <w:autoSpaceDE/>
        <w:autoSpaceDN/>
        <w:bidi w:val="0"/>
        <w:snapToGrid/>
        <w:spacing w:before="0" w:after="0" w:line="500" w:lineRule="exact"/>
        <w:jc w:val="center"/>
        <w:rPr>
          <w:rFonts w:hint="eastAsia" w:ascii="宋体" w:hAnsi="宋体" w:eastAsia="宋体" w:cs="宋体"/>
          <w:sz w:val="24"/>
          <w:szCs w:val="24"/>
        </w:rPr>
      </w:pPr>
      <w:r>
        <w:rPr>
          <w:rFonts w:hint="eastAsia" w:ascii="宋体" w:hAnsi="宋体" w:eastAsia="宋体" w:cs="宋体"/>
          <w:sz w:val="24"/>
          <w:szCs w:val="24"/>
        </w:rPr>
        <w:t>（七）报价响应及答疑</w:t>
      </w:r>
      <w:bookmarkEnd w:id="91"/>
      <w:bookmarkEnd w:id="92"/>
    </w:p>
    <w:bookmarkEnd w:id="93"/>
    <w:p w14:paraId="7B73B1EF">
      <w:pPr>
        <w:pageBreakBefore w:val="0"/>
        <w:kinsoku/>
        <w:wordWrap/>
        <w:overflowPunct/>
        <w:topLinePunct w:val="0"/>
        <w:autoSpaceDE/>
        <w:autoSpaceDN/>
        <w:bidi w:val="0"/>
        <w:snapToGrid/>
        <w:spacing w:line="490" w:lineRule="exact"/>
        <w:ind w:firstLine="480" w:firstLineChars="200"/>
        <w:rPr>
          <w:rFonts w:ascii="宋体" w:hAnsi="宋体" w:cs="Times New Roman"/>
          <w:sz w:val="24"/>
          <w:szCs w:val="24"/>
          <w:highlight w:val="none"/>
        </w:rPr>
      </w:pPr>
      <w:r>
        <w:rPr>
          <w:rFonts w:hint="eastAsia" w:ascii="宋体" w:hAnsi="宋体" w:cs="Times New Roman"/>
          <w:sz w:val="24"/>
          <w:szCs w:val="24"/>
          <w:highlight w:val="none"/>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cs="Times New Roman"/>
          <w:sz w:val="24"/>
          <w:szCs w:val="24"/>
          <w:highlight w:val="none"/>
          <w:lang w:eastAsia="zh-CN"/>
        </w:rPr>
        <w:t>应有</w:t>
      </w:r>
      <w:r>
        <w:rPr>
          <w:rFonts w:hint="eastAsia" w:ascii="宋体" w:hAnsi="宋体" w:cs="Times New Roman"/>
          <w:sz w:val="24"/>
          <w:szCs w:val="24"/>
          <w:highlight w:val="none"/>
        </w:rPr>
        <w:t>费用。响应报价为供应商在响应文件中提出的各项支付金额的总和。只有总价而没有分项报价的响应文件无效。</w:t>
      </w:r>
    </w:p>
    <w:p w14:paraId="668687EB">
      <w:pPr>
        <w:pageBreakBefore w:val="0"/>
        <w:kinsoku/>
        <w:wordWrap/>
        <w:overflowPunct/>
        <w:topLinePunct w:val="0"/>
        <w:autoSpaceDE/>
        <w:autoSpaceDN/>
        <w:bidi w:val="0"/>
        <w:snapToGrid/>
        <w:spacing w:line="490" w:lineRule="exact"/>
        <w:ind w:firstLine="480" w:firstLineChars="200"/>
        <w:rPr>
          <w:rFonts w:ascii="宋体" w:hAnsi="宋体" w:cs="Times New Roman"/>
          <w:sz w:val="24"/>
          <w:szCs w:val="24"/>
          <w:highlight w:val="none"/>
        </w:rPr>
      </w:pPr>
      <w:r>
        <w:rPr>
          <w:rFonts w:hint="eastAsia" w:ascii="宋体" w:hAnsi="宋体" w:cs="Times New Roman"/>
          <w:sz w:val="24"/>
          <w:szCs w:val="24"/>
          <w:highlight w:val="none"/>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69428C1D">
      <w:pPr>
        <w:pageBreakBefore w:val="0"/>
        <w:kinsoku/>
        <w:wordWrap/>
        <w:overflowPunct/>
        <w:topLinePunct w:val="0"/>
        <w:autoSpaceDE/>
        <w:autoSpaceDN/>
        <w:bidi w:val="0"/>
        <w:snapToGrid/>
        <w:spacing w:line="490" w:lineRule="exact"/>
        <w:ind w:firstLine="480" w:firstLineChars="200"/>
        <w:rPr>
          <w:rFonts w:ascii="宋体" w:hAnsi="宋体" w:cs="Times New Roman"/>
          <w:sz w:val="24"/>
          <w:szCs w:val="24"/>
          <w:highlight w:val="none"/>
        </w:rPr>
      </w:pPr>
      <w:r>
        <w:rPr>
          <w:rFonts w:hint="eastAsia" w:ascii="宋体" w:hAnsi="宋体" w:cs="Times New Roman"/>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15B2F2CC">
      <w:pPr>
        <w:pageBreakBefore w:val="0"/>
        <w:kinsoku/>
        <w:wordWrap/>
        <w:overflowPunct/>
        <w:topLinePunct w:val="0"/>
        <w:autoSpaceDE/>
        <w:autoSpaceDN/>
        <w:bidi w:val="0"/>
        <w:snapToGrid/>
        <w:spacing w:line="49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270A1CAC">
      <w:pPr>
        <w:pageBreakBefore w:val="0"/>
        <w:kinsoku/>
        <w:wordWrap/>
        <w:overflowPunct/>
        <w:topLinePunct w:val="0"/>
        <w:autoSpaceDE/>
        <w:autoSpaceDN/>
        <w:bidi w:val="0"/>
        <w:snapToGrid/>
        <w:spacing w:line="49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5、供应商如果对谈判文件的其他任何内容有相关疑问，可以邮件形式提出（疑问文件以文档形式提供，如 WORD 文档等）。</w:t>
      </w:r>
    </w:p>
    <w:p w14:paraId="240987FE">
      <w:pPr>
        <w:pageBreakBefore w:val="0"/>
        <w:kinsoku/>
        <w:wordWrap/>
        <w:overflowPunct/>
        <w:topLinePunct w:val="0"/>
        <w:autoSpaceDE/>
        <w:autoSpaceDN/>
        <w:bidi w:val="0"/>
        <w:snapToGrid/>
        <w:spacing w:line="49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 xml:space="preserve">请供应商及时通过“答疑文件下载”及公告网站查看答疑文件。 </w:t>
      </w:r>
    </w:p>
    <w:p w14:paraId="685384A1">
      <w:pPr>
        <w:pageBreakBefore w:val="0"/>
        <w:kinsoku/>
        <w:wordWrap/>
        <w:overflowPunct/>
        <w:topLinePunct w:val="0"/>
        <w:autoSpaceDE/>
        <w:autoSpaceDN/>
        <w:bidi w:val="0"/>
        <w:snapToGrid/>
        <w:spacing w:line="49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6、供应商应确保其所提供的响应资料的真实性、有效性及合法性，否则，由此引起的任何责任由其自行承担。</w:t>
      </w:r>
    </w:p>
    <w:p w14:paraId="6ADC95FE">
      <w:pPr>
        <w:pStyle w:val="3"/>
        <w:pageBreakBefore w:val="0"/>
        <w:kinsoku/>
        <w:wordWrap/>
        <w:overflowPunct/>
        <w:topLinePunct w:val="0"/>
        <w:autoSpaceDE/>
        <w:autoSpaceDN/>
        <w:bidi w:val="0"/>
        <w:snapToGrid/>
        <w:spacing w:before="0" w:after="0" w:line="500" w:lineRule="exact"/>
        <w:jc w:val="center"/>
        <w:rPr>
          <w:rFonts w:hint="eastAsia" w:ascii="宋体" w:hAnsi="宋体" w:eastAsia="宋体" w:cs="宋体"/>
          <w:sz w:val="24"/>
          <w:szCs w:val="24"/>
        </w:rPr>
      </w:pPr>
      <w:bookmarkStart w:id="94" w:name="_Toc28647"/>
      <w:bookmarkStart w:id="95" w:name="_Toc8394"/>
      <w:r>
        <w:rPr>
          <w:rFonts w:hint="eastAsia" w:ascii="宋体" w:hAnsi="宋体" w:eastAsia="宋体" w:cs="宋体"/>
          <w:sz w:val="24"/>
          <w:szCs w:val="24"/>
        </w:rPr>
        <w:t>（八）合同的签订</w:t>
      </w:r>
      <w:bookmarkEnd w:id="94"/>
      <w:bookmarkEnd w:id="95"/>
    </w:p>
    <w:p w14:paraId="03049F2F">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5957E287">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、成交供应商因不可抗力或者自身原因不能在规定的时间内与采购人签订采购合同，采购人可以与排在成交供应商后第一位的候选供应商签订采购合同，以此类推或重新组织采购。</w:t>
      </w:r>
    </w:p>
    <w:p w14:paraId="60C3ADC9">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、因政策变化等原因不能签订合同，造成企业合法利益受损的情形，采购人可以与供应商充分协商，给予合理补偿。</w:t>
      </w:r>
    </w:p>
    <w:p w14:paraId="542F4015">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、在签订合同时，供应商书面明确表示无需预付款或者主动要求降低预付款比例的，采购人可不适用前述（即付款方式）规定。</w:t>
      </w:r>
    </w:p>
    <w:p w14:paraId="535CA2D9">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、采购文件和合同中没有约定预付款的，经供应商申请，采购人可以支付预付款。</w:t>
      </w:r>
    </w:p>
    <w:p w14:paraId="75ED0482">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、采购人可根据项目特点、供应商诚信等因素，要求供应商提交银行、保险公司、担保公司等金融机构出具的预付款保函或其他担保措施。</w:t>
      </w:r>
    </w:p>
    <w:p w14:paraId="12FBD3A2">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、政府采购预付款应在合同、担保措施生效以及具备实施条件后 5 个工作日内支付。</w:t>
      </w:r>
    </w:p>
    <w:p w14:paraId="1C19ABA1">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、延迟支付中小企业款项的，供应商可要求采购人按照合同约定支付逾期利息，合同没有约定的，按照同期人民银行 LPR支付逾期利息。</w:t>
      </w:r>
    </w:p>
    <w:p w14:paraId="3DE0E647">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、成交供应商无正当理由不与采购人订立合同的处罚依据：</w:t>
      </w:r>
    </w:p>
    <w:p w14:paraId="4B9882E4">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（1）《中华人民共和国政府采购法实施条例》</w:t>
      </w:r>
    </w:p>
    <w:p w14:paraId="289B0CA4">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第七十二条 供应商有下列情形之一的，依照政府采购法第七十七条第一款的规定追究法律责任：……</w:t>
      </w:r>
    </w:p>
    <w:p w14:paraId="31491675">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（二）中标或者成交后无正当理由拒不与采购人签订政府采购合同；……</w:t>
      </w:r>
    </w:p>
    <w:p w14:paraId="52B89C1D">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（2）《中华人民共和国政府采购法》</w:t>
      </w:r>
    </w:p>
    <w:p w14:paraId="1E171801">
      <w:pPr>
        <w:pageBreakBefore w:val="0"/>
        <w:kinsoku/>
        <w:wordWrap/>
        <w:overflowPunct/>
        <w:topLinePunct w:val="0"/>
        <w:autoSpaceDE/>
        <w:autoSpaceDN/>
        <w:bidi w:val="0"/>
        <w:snapToGrid/>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E283A87">
      <w:pPr>
        <w:pStyle w:val="33"/>
        <w:pageBreakBefore w:val="0"/>
        <w:kinsoku/>
        <w:wordWrap/>
        <w:overflowPunct/>
        <w:topLinePunct w:val="0"/>
        <w:autoSpaceDE/>
        <w:autoSpaceDN/>
        <w:bidi w:val="0"/>
        <w:snapToGrid/>
        <w:spacing w:after="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（3）《政府采购非招标采购方式管理办法》（财政部令第74号）</w:t>
      </w:r>
    </w:p>
    <w:p w14:paraId="517880F9">
      <w:pPr>
        <w:pStyle w:val="33"/>
        <w:pageBreakBefore w:val="0"/>
        <w:kinsoku/>
        <w:wordWrap/>
        <w:overflowPunct/>
        <w:topLinePunct w:val="0"/>
        <w:autoSpaceDE/>
        <w:autoSpaceDN/>
        <w:bidi w:val="0"/>
        <w:snapToGrid/>
        <w:spacing w:after="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第五十四条 成交供应商有下列情形之一的，责令限期整改，情节严重的，列入不良行为记录名单，在1至3年内禁止参加政府采购活动，并予以通报：……</w:t>
      </w:r>
    </w:p>
    <w:p w14:paraId="67F62BEF">
      <w:pPr>
        <w:pStyle w:val="33"/>
        <w:pageBreakBefore w:val="0"/>
        <w:kinsoku/>
        <w:wordWrap/>
        <w:overflowPunct/>
        <w:topLinePunct w:val="0"/>
        <w:autoSpaceDE/>
        <w:autoSpaceDN/>
        <w:bidi w:val="0"/>
        <w:snapToGrid/>
        <w:spacing w:after="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（二）成交后无正当理由不与采购人签订合同的；……</w:t>
      </w:r>
    </w:p>
    <w:p w14:paraId="447B1752">
      <w:pPr>
        <w:pStyle w:val="3"/>
        <w:pageBreakBefore w:val="0"/>
        <w:kinsoku/>
        <w:wordWrap/>
        <w:overflowPunct/>
        <w:topLinePunct w:val="0"/>
        <w:autoSpaceDE/>
        <w:autoSpaceDN/>
        <w:bidi w:val="0"/>
        <w:snapToGrid/>
        <w:spacing w:before="0" w:after="0" w:line="500" w:lineRule="exact"/>
        <w:jc w:val="center"/>
        <w:rPr>
          <w:rFonts w:hint="eastAsia" w:ascii="宋体" w:hAnsi="宋体" w:eastAsia="宋体" w:cs="宋体"/>
          <w:sz w:val="24"/>
          <w:szCs w:val="24"/>
        </w:rPr>
      </w:pPr>
      <w:bookmarkStart w:id="96" w:name="_Toc15212"/>
      <w:bookmarkStart w:id="97" w:name="_Toc30371"/>
      <w:r>
        <w:rPr>
          <w:rFonts w:hint="eastAsia" w:ascii="宋体" w:hAnsi="宋体" w:eastAsia="宋体" w:cs="宋体"/>
          <w:sz w:val="24"/>
          <w:szCs w:val="24"/>
        </w:rPr>
        <w:t>（九）澄清及变更</w:t>
      </w:r>
      <w:bookmarkEnd w:id="96"/>
      <w:bookmarkEnd w:id="97"/>
    </w:p>
    <w:p w14:paraId="3D28B98A">
      <w:pPr>
        <w:pageBreakBefore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谈判文件如有澄清及变更，将以网上公告形式发布，请供应商及时关注。</w:t>
      </w:r>
    </w:p>
    <w:p w14:paraId="0613BB38">
      <w:pPr>
        <w:pStyle w:val="3"/>
        <w:pageBreakBefore w:val="0"/>
        <w:kinsoku/>
        <w:wordWrap/>
        <w:overflowPunct/>
        <w:topLinePunct w:val="0"/>
        <w:autoSpaceDE/>
        <w:autoSpaceDN/>
        <w:bidi w:val="0"/>
        <w:snapToGrid/>
        <w:spacing w:before="0" w:after="0" w:line="500" w:lineRule="exact"/>
        <w:jc w:val="center"/>
        <w:rPr>
          <w:rFonts w:hint="eastAsia" w:ascii="宋体" w:hAnsi="宋体" w:eastAsia="宋体" w:cs="宋体"/>
          <w:sz w:val="24"/>
          <w:szCs w:val="24"/>
        </w:rPr>
      </w:pPr>
      <w:bookmarkStart w:id="98" w:name="_Toc14936"/>
      <w:bookmarkStart w:id="99" w:name="_Toc11886"/>
      <w:r>
        <w:rPr>
          <w:rFonts w:hint="eastAsia" w:ascii="宋体" w:hAnsi="宋体" w:eastAsia="宋体" w:cs="宋体"/>
          <w:sz w:val="24"/>
          <w:szCs w:val="24"/>
        </w:rPr>
        <w:t>（十）验收</w:t>
      </w:r>
      <w:bookmarkEnd w:id="98"/>
      <w:r>
        <w:rPr>
          <w:rFonts w:hint="eastAsia" w:ascii="宋体" w:hAnsi="宋体" w:eastAsia="宋体" w:cs="宋体"/>
          <w:sz w:val="24"/>
          <w:szCs w:val="24"/>
        </w:rPr>
        <w:t>与支付</w:t>
      </w:r>
      <w:bookmarkEnd w:id="99"/>
    </w:p>
    <w:p w14:paraId="5E9616B5">
      <w:pPr>
        <w:pageBreakBefore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1、采购人应当在项目完成且收到供应商验收申请后 5 个工作日内组织开展履约验收。</w:t>
      </w:r>
    </w:p>
    <w:p w14:paraId="402EFFB5">
      <w:pPr>
        <w:pageBreakBefore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00965A4C">
      <w:pPr>
        <w:pageBreakBefore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3、涉及安全、消防、环保等其他需要由质检或行业主管部门进行验收的项目，必须邀请相关部门或相关专家参与验收。</w:t>
      </w:r>
    </w:p>
    <w:p w14:paraId="4DCB2F3A">
      <w:pPr>
        <w:pStyle w:val="33"/>
        <w:pageBreakBefore w:val="0"/>
        <w:kinsoku/>
        <w:wordWrap/>
        <w:overflowPunct/>
        <w:topLinePunct w:val="0"/>
        <w:autoSpaceDE/>
        <w:autoSpaceDN/>
        <w:bidi w:val="0"/>
        <w:snapToGrid/>
        <w:spacing w:line="500" w:lineRule="exact"/>
        <w:rPr>
          <w:rFonts w:hint="eastAsia" w:ascii="宋体" w:hAnsi="宋体" w:eastAsia="宋体" w:cs="宋体"/>
          <w:sz w:val="24"/>
          <w:szCs w:val="24"/>
        </w:rPr>
      </w:pPr>
      <w:r>
        <w:rPr>
          <w:rFonts w:hint="eastAsia" w:ascii="宋体" w:hAnsi="宋体" w:eastAsia="宋体" w:cs="宋体"/>
          <w:sz w:val="24"/>
          <w:szCs w:val="24"/>
        </w:rPr>
        <w:t>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p>
    <w:p w14:paraId="17013C12">
      <w:pPr>
        <w:pStyle w:val="3"/>
        <w:pageBreakBefore w:val="0"/>
        <w:kinsoku/>
        <w:wordWrap/>
        <w:overflowPunct/>
        <w:topLinePunct w:val="0"/>
        <w:autoSpaceDE/>
        <w:autoSpaceDN/>
        <w:bidi w:val="0"/>
        <w:snapToGrid/>
        <w:spacing w:before="0" w:after="0" w:line="500" w:lineRule="exact"/>
        <w:jc w:val="center"/>
        <w:rPr>
          <w:rFonts w:hint="eastAsia" w:ascii="宋体" w:hAnsi="宋体" w:eastAsia="宋体" w:cs="宋体"/>
          <w:sz w:val="24"/>
          <w:szCs w:val="24"/>
        </w:rPr>
      </w:pPr>
      <w:bookmarkStart w:id="100" w:name="_Toc24748"/>
      <w:bookmarkStart w:id="101" w:name="_Toc29355"/>
      <w:r>
        <w:rPr>
          <w:rFonts w:hint="eastAsia" w:ascii="宋体" w:hAnsi="宋体" w:eastAsia="宋体" w:cs="宋体"/>
          <w:sz w:val="24"/>
          <w:szCs w:val="24"/>
        </w:rPr>
        <w:t>（十一）质疑</w:t>
      </w:r>
      <w:bookmarkEnd w:id="100"/>
      <w:bookmarkEnd w:id="101"/>
    </w:p>
    <w:p w14:paraId="2EAD032C">
      <w:pPr>
        <w:pageBreakBefore w:val="0"/>
        <w:kinsoku/>
        <w:wordWrap/>
        <w:overflowPunct/>
        <w:topLinePunct w:val="0"/>
        <w:autoSpaceDE/>
        <w:autoSpaceDN/>
        <w:bidi w:val="0"/>
        <w:snapToGrid/>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1、质疑人认为中标结果使自己的权益受到损害的，可以向采购人及采购代理机构提出质疑。质疑实行实名制，应当有具体的事项及根据，不得进行虚假、恶意质疑，扰乱公共资源交易活动的正常工作秩序。</w:t>
      </w:r>
    </w:p>
    <w:p w14:paraId="3796C0D5">
      <w:pPr>
        <w:pageBreakBefore w:val="0"/>
        <w:kinsoku/>
        <w:wordWrap/>
        <w:overflowPunct/>
        <w:topLinePunct w:val="0"/>
        <w:autoSpaceDE/>
        <w:autoSpaceDN/>
        <w:bidi w:val="0"/>
        <w:snapToGrid/>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2、质疑应在规定时限内提出： </w:t>
      </w:r>
    </w:p>
    <w:p w14:paraId="57BD99AE">
      <w:pPr>
        <w:pageBreakBefore w:val="0"/>
        <w:kinsoku/>
        <w:wordWrap/>
        <w:overflowPunct/>
        <w:topLinePunct w:val="0"/>
        <w:autoSpaceDE/>
        <w:autoSpaceDN/>
        <w:bidi w:val="0"/>
        <w:snapToGrid/>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对政府采购中标结果的质疑，应在中标结果公布之日起七个工作日内提出。</w:t>
      </w:r>
    </w:p>
    <w:p w14:paraId="733E7D16">
      <w:pPr>
        <w:pageBreakBefore w:val="0"/>
        <w:kinsoku/>
        <w:wordWrap/>
        <w:overflowPunct/>
        <w:topLinePunct w:val="0"/>
        <w:autoSpaceDE/>
        <w:autoSpaceDN/>
        <w:bidi w:val="0"/>
        <w:snapToGrid/>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color w:val="auto"/>
          <w:sz w:val="24"/>
          <w:szCs w:val="24"/>
        </w:rPr>
        <w:t>质疑材料应当包括以下内容：</w:t>
      </w:r>
    </w:p>
    <w:p w14:paraId="080B3D79">
      <w:pPr>
        <w:pageBreakBefore w:val="0"/>
        <w:widowControl/>
        <w:kinsoku/>
        <w:wordWrap/>
        <w:overflowPunct/>
        <w:topLinePunct w:val="0"/>
        <w:autoSpaceDE/>
        <w:autoSpaceDN/>
        <w:bidi w:val="0"/>
        <w:snapToGrid/>
        <w:spacing w:line="5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3.1质疑人的名称、地址、有效联系方式；</w:t>
      </w:r>
    </w:p>
    <w:p w14:paraId="66B476FF">
      <w:pPr>
        <w:pageBreakBefore w:val="0"/>
        <w:widowControl/>
        <w:kinsoku/>
        <w:wordWrap/>
        <w:overflowPunct/>
        <w:topLinePunct w:val="0"/>
        <w:autoSpaceDE/>
        <w:autoSpaceDN/>
        <w:bidi w:val="0"/>
        <w:snapToGrid/>
        <w:spacing w:line="5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3.2项目名称、项目编号、包别号（如有）；</w:t>
      </w:r>
    </w:p>
    <w:p w14:paraId="47C3159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3.3被质疑人名称；</w:t>
      </w:r>
    </w:p>
    <w:p w14:paraId="0B5991F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3.4具体的质疑事项、基本事实及必要的证明材料；</w:t>
      </w:r>
    </w:p>
    <w:p w14:paraId="5DD8EFA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3.5明确的请求及主张；</w:t>
      </w:r>
    </w:p>
    <w:p w14:paraId="74B3BB1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3.6提起质疑的日期。</w:t>
      </w:r>
    </w:p>
    <w:p w14:paraId="48D2103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质疑人为法人或者其他组织的，应当由法定代表人或其委托代理人（需有委托授权书）签字并加盖公章。</w:t>
      </w:r>
    </w:p>
    <w:p w14:paraId="20E75B1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质疑人需要修改、补充质疑材料的，应当在质疑期内提交修改或补充材料。</w:t>
      </w:r>
    </w:p>
    <w:p w14:paraId="3BAFEB4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4、有下列情形之一的，不予受理：</w:t>
      </w:r>
    </w:p>
    <w:p w14:paraId="04AA098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4.1提起质疑的主体不是参与该政府采购项目活动的供应商；</w:t>
      </w:r>
    </w:p>
    <w:p w14:paraId="6E527A7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4.2提起质疑的时间超过规定时限的；</w:t>
      </w:r>
    </w:p>
    <w:p w14:paraId="2B64E3E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4.3质疑材料不完整的；</w:t>
      </w:r>
    </w:p>
    <w:p w14:paraId="42DAA75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4.4质疑事项含有主观猜测等内容且未提供有效线索、难以查证的；</w:t>
      </w:r>
    </w:p>
    <w:p w14:paraId="0D023E6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4.5对其他投标供应商的投标文件详细内容质疑，无法提供合法来源渠道的；</w:t>
      </w:r>
    </w:p>
    <w:p w14:paraId="5B592D9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4.6质疑事项已进入投诉处理、行政复议或行政诉讼程序的。</w:t>
      </w:r>
    </w:p>
    <w:p w14:paraId="2BD0554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5、经审查符合质疑条件的，自收到质疑之日起即为受理。采购人及采购代理机构将在质疑受理后7个工作日内作出答复或相关处理决定，并以书面形式通知质疑人，答复的内容不得涉及商业秘密。</w:t>
      </w:r>
    </w:p>
    <w:p w14:paraId="5D8EF2A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6、质疑人在答复期满前撤回质疑的，应由法定代表人或授权代表人签字确认，即终止质疑处理程序。质疑人不得以同一理由再次提出质疑。</w:t>
      </w:r>
    </w:p>
    <w:p w14:paraId="7F27175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质疑人对质疑答复不满意或采购人及采购代理机构未在规定时间内做出答复的，可以在规定期限内向</w:t>
      </w:r>
      <w:r>
        <w:rPr>
          <w:rFonts w:hint="eastAsia" w:ascii="宋体" w:hAnsi="宋体" w:cs="宋体"/>
          <w:bCs/>
          <w:sz w:val="24"/>
          <w:szCs w:val="24"/>
          <w:lang w:val="en-US" w:eastAsia="zh-CN"/>
        </w:rPr>
        <w:t>监督部门</w:t>
      </w:r>
      <w:r>
        <w:rPr>
          <w:rFonts w:hint="eastAsia" w:ascii="宋体" w:hAnsi="宋体" w:eastAsia="宋体" w:cs="宋体"/>
          <w:bCs/>
          <w:sz w:val="24"/>
          <w:szCs w:val="24"/>
        </w:rPr>
        <w:t>提起投诉。</w:t>
      </w:r>
    </w:p>
    <w:p w14:paraId="0F1FE2F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质疑人应在答复期满后十五个工作日内提起投诉。</w:t>
      </w:r>
    </w:p>
    <w:p w14:paraId="62B793C6">
      <w:pPr>
        <w:pStyle w:val="33"/>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7、</w:t>
      </w:r>
      <w:r>
        <w:rPr>
          <w:rFonts w:hint="eastAsia" w:ascii="宋体" w:hAnsi="宋体" w:eastAsia="宋体" w:cs="宋体"/>
          <w:bCs/>
          <w:kern w:val="2"/>
          <w:sz w:val="24"/>
          <w:szCs w:val="24"/>
          <w:lang w:val="en-US" w:eastAsia="zh-CN" w:bidi="ar-SA"/>
        </w:rPr>
        <w:t>投诉人在全国范围12个月内三次以上投诉查无实据的，由财政部门列入不良行为记录名单。</w:t>
      </w:r>
    </w:p>
    <w:p w14:paraId="03935464">
      <w:pPr>
        <w:pStyle w:val="33"/>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投诉人有下列行为之一的，属于虚假、恶意投诉，由财政部门列入不良行为记录名单，禁止其1至3年内参加政府采购活动：</w:t>
      </w:r>
    </w:p>
    <w:p w14:paraId="245D51C5">
      <w:pPr>
        <w:pStyle w:val="33"/>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（一）捏造事实；</w:t>
      </w:r>
    </w:p>
    <w:p w14:paraId="24084D6B">
      <w:pPr>
        <w:pStyle w:val="33"/>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（二）提供虚假材料；</w:t>
      </w:r>
    </w:p>
    <w:p w14:paraId="39ECD4B9">
      <w:pPr>
        <w:pStyle w:val="33"/>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（三）以非法手段取得证明材料。证据来源的合法性存在明显疑问，投诉人无法证明其取得方式合法的，视为以非法手段取得证明材料。</w:t>
      </w:r>
    </w:p>
    <w:p w14:paraId="06ACBA5D">
      <w:pPr>
        <w:pStyle w:val="3"/>
        <w:numPr>
          <w:ilvl w:val="0"/>
          <w:numId w:val="0"/>
        </w:numPr>
        <w:spacing w:before="0" w:after="0" w:line="560" w:lineRule="exact"/>
        <w:jc w:val="center"/>
        <w:rPr>
          <w:rFonts w:hint="eastAsia" w:ascii="宋体" w:hAnsi="宋体" w:eastAsia="宋体" w:cs="宋体"/>
          <w:sz w:val="28"/>
          <w:szCs w:val="28"/>
        </w:rPr>
      </w:pPr>
      <w:bookmarkStart w:id="102" w:name="_Toc13399"/>
    </w:p>
    <w:p w14:paraId="6244C4BA">
      <w:pPr>
        <w:pStyle w:val="3"/>
        <w:numPr>
          <w:ilvl w:val="0"/>
          <w:numId w:val="0"/>
        </w:numPr>
        <w:spacing w:before="0" w:after="0" w:line="560" w:lineRule="exact"/>
        <w:jc w:val="center"/>
        <w:rPr>
          <w:rFonts w:hint="eastAsia" w:ascii="宋体" w:hAnsi="宋体" w:eastAsia="宋体" w:cs="宋体"/>
          <w:sz w:val="28"/>
          <w:szCs w:val="28"/>
        </w:rPr>
      </w:pPr>
    </w:p>
    <w:p w14:paraId="16BAA034">
      <w:pPr>
        <w:pStyle w:val="3"/>
        <w:numPr>
          <w:ilvl w:val="0"/>
          <w:numId w:val="0"/>
        </w:numPr>
        <w:spacing w:before="0" w:after="0" w:line="560" w:lineRule="exact"/>
        <w:jc w:val="center"/>
        <w:rPr>
          <w:rFonts w:hint="eastAsia" w:ascii="宋体" w:hAnsi="宋体" w:eastAsia="宋体" w:cs="宋体"/>
          <w:sz w:val="28"/>
          <w:szCs w:val="28"/>
        </w:rPr>
      </w:pPr>
      <w:r>
        <w:rPr>
          <w:rFonts w:hint="eastAsia" w:ascii="宋体" w:hAnsi="宋体" w:eastAsia="宋体" w:cs="宋体"/>
          <w:sz w:val="28"/>
          <w:szCs w:val="28"/>
        </w:rPr>
        <w:t>二、采购合同</w:t>
      </w:r>
      <w:bookmarkEnd w:id="102"/>
    </w:p>
    <w:bookmarkEnd w:id="69"/>
    <w:p w14:paraId="0B6AF863">
      <w:pPr>
        <w:pStyle w:val="33"/>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color w:val="auto"/>
          <w:kern w:val="0"/>
          <w:sz w:val="28"/>
          <w:szCs w:val="28"/>
          <w:lang w:val="en-US" w:eastAsia="zh-CN" w:bidi="ar-SA"/>
        </w:rPr>
      </w:pPr>
      <w:bookmarkStart w:id="103" w:name="_Toc363199273"/>
      <w:r>
        <w:rPr>
          <w:rFonts w:hint="eastAsia" w:ascii="宋体" w:hAnsi="宋体" w:eastAsia="宋体" w:cs="宋体"/>
          <w:bCs/>
          <w:kern w:val="2"/>
          <w:sz w:val="24"/>
          <w:szCs w:val="24"/>
          <w:lang w:val="en-US" w:eastAsia="zh-CN" w:bidi="ar-SA"/>
        </w:rPr>
        <w:t>（双方自行拟定，但不得违背谈判文件实质性内容）</w:t>
      </w:r>
      <w:bookmarkStart w:id="104" w:name="_Toc20887"/>
    </w:p>
    <w:p w14:paraId="60B7AF32">
      <w:pPr>
        <w:pStyle w:val="3"/>
        <w:numPr>
          <w:ilvl w:val="0"/>
          <w:numId w:val="0"/>
        </w:numPr>
        <w:spacing w:before="0" w:after="0" w:line="560" w:lineRule="exact"/>
        <w:jc w:val="center"/>
        <w:rPr>
          <w:rFonts w:hint="eastAsia" w:ascii="宋体" w:hAnsi="宋体" w:eastAsia="宋体" w:cs="宋体"/>
          <w:b/>
          <w:color w:val="auto"/>
          <w:kern w:val="0"/>
          <w:sz w:val="28"/>
          <w:szCs w:val="28"/>
          <w:lang w:val="en-US" w:eastAsia="zh-CN" w:bidi="ar-SA"/>
        </w:rPr>
      </w:pPr>
    </w:p>
    <w:p w14:paraId="79C5FEEC">
      <w:pPr>
        <w:rPr>
          <w:rFonts w:hint="eastAsia" w:ascii="宋体" w:hAnsi="宋体" w:eastAsia="宋体" w:cs="宋体"/>
          <w:b/>
          <w:color w:val="auto"/>
          <w:kern w:val="0"/>
          <w:sz w:val="28"/>
          <w:szCs w:val="28"/>
          <w:lang w:val="en-US" w:eastAsia="zh-CN" w:bidi="ar-SA"/>
        </w:rPr>
      </w:pPr>
    </w:p>
    <w:p w14:paraId="13AEE184">
      <w:pPr>
        <w:rPr>
          <w:rFonts w:hint="eastAsia" w:ascii="宋体" w:hAnsi="宋体" w:eastAsia="宋体" w:cs="宋体"/>
          <w:b/>
          <w:color w:val="auto"/>
          <w:kern w:val="0"/>
          <w:sz w:val="28"/>
          <w:szCs w:val="28"/>
          <w:lang w:val="en-US" w:eastAsia="zh-CN" w:bidi="ar-SA"/>
        </w:rPr>
      </w:pPr>
    </w:p>
    <w:p w14:paraId="49AB4910">
      <w:pPr>
        <w:rPr>
          <w:rFonts w:hint="eastAsia" w:ascii="宋体" w:hAnsi="宋体" w:eastAsia="宋体" w:cs="宋体"/>
          <w:b/>
          <w:color w:val="auto"/>
          <w:kern w:val="0"/>
          <w:sz w:val="28"/>
          <w:szCs w:val="28"/>
          <w:lang w:val="en-US" w:eastAsia="zh-CN" w:bidi="ar-SA"/>
        </w:rPr>
      </w:pPr>
    </w:p>
    <w:p w14:paraId="790F6F52">
      <w:pPr>
        <w:rPr>
          <w:rFonts w:hint="eastAsia" w:ascii="宋体" w:hAnsi="宋体" w:eastAsia="宋体" w:cs="宋体"/>
          <w:b/>
          <w:color w:val="auto"/>
          <w:kern w:val="0"/>
          <w:sz w:val="28"/>
          <w:szCs w:val="28"/>
          <w:lang w:val="en-US" w:eastAsia="zh-CN" w:bidi="ar-SA"/>
        </w:rPr>
      </w:pPr>
    </w:p>
    <w:p w14:paraId="5DB33F85">
      <w:pPr>
        <w:rPr>
          <w:rFonts w:hint="eastAsia" w:ascii="宋体" w:hAnsi="宋体" w:eastAsia="宋体" w:cs="宋体"/>
          <w:b/>
          <w:color w:val="auto"/>
          <w:kern w:val="0"/>
          <w:sz w:val="28"/>
          <w:szCs w:val="28"/>
          <w:lang w:val="en-US" w:eastAsia="zh-CN" w:bidi="ar-SA"/>
        </w:rPr>
      </w:pPr>
    </w:p>
    <w:p w14:paraId="4A99EBBF">
      <w:pPr>
        <w:rPr>
          <w:rFonts w:hint="eastAsia" w:ascii="宋体" w:hAnsi="宋体" w:eastAsia="宋体" w:cs="宋体"/>
          <w:b/>
          <w:color w:val="auto"/>
          <w:kern w:val="0"/>
          <w:sz w:val="28"/>
          <w:szCs w:val="28"/>
          <w:lang w:val="en-US" w:eastAsia="zh-CN" w:bidi="ar-SA"/>
        </w:rPr>
      </w:pPr>
    </w:p>
    <w:p w14:paraId="717A468D">
      <w:pPr>
        <w:rPr>
          <w:rFonts w:hint="eastAsia" w:ascii="宋体" w:hAnsi="宋体" w:eastAsia="宋体" w:cs="宋体"/>
          <w:b/>
          <w:color w:val="auto"/>
          <w:kern w:val="0"/>
          <w:sz w:val="28"/>
          <w:szCs w:val="28"/>
          <w:lang w:val="en-US" w:eastAsia="zh-CN" w:bidi="ar-SA"/>
        </w:rPr>
      </w:pPr>
    </w:p>
    <w:p w14:paraId="60C474C0">
      <w:pPr>
        <w:rPr>
          <w:rFonts w:hint="eastAsia" w:ascii="宋体" w:hAnsi="宋体" w:eastAsia="宋体" w:cs="宋体"/>
          <w:b/>
          <w:color w:val="auto"/>
          <w:kern w:val="0"/>
          <w:sz w:val="28"/>
          <w:szCs w:val="28"/>
          <w:lang w:val="en-US" w:eastAsia="zh-CN" w:bidi="ar-SA"/>
        </w:rPr>
      </w:pPr>
    </w:p>
    <w:p w14:paraId="235C4AE1">
      <w:pPr>
        <w:rPr>
          <w:rFonts w:hint="eastAsia" w:ascii="宋体" w:hAnsi="宋体" w:eastAsia="宋体" w:cs="宋体"/>
          <w:b/>
          <w:color w:val="auto"/>
          <w:kern w:val="0"/>
          <w:sz w:val="28"/>
          <w:szCs w:val="28"/>
          <w:lang w:val="en-US" w:eastAsia="zh-CN" w:bidi="ar-SA"/>
        </w:rPr>
      </w:pPr>
    </w:p>
    <w:p w14:paraId="4E6A5729">
      <w:pPr>
        <w:rPr>
          <w:rFonts w:hint="eastAsia" w:ascii="宋体" w:hAnsi="宋体" w:eastAsia="宋体" w:cs="宋体"/>
          <w:b/>
          <w:color w:val="auto"/>
          <w:kern w:val="0"/>
          <w:sz w:val="28"/>
          <w:szCs w:val="28"/>
          <w:lang w:val="en-US" w:eastAsia="zh-CN" w:bidi="ar-SA"/>
        </w:rPr>
      </w:pPr>
    </w:p>
    <w:p w14:paraId="46324B0F">
      <w:pPr>
        <w:rPr>
          <w:rFonts w:hint="eastAsia" w:ascii="宋体" w:hAnsi="宋体" w:eastAsia="宋体" w:cs="宋体"/>
          <w:b/>
          <w:color w:val="auto"/>
          <w:kern w:val="0"/>
          <w:sz w:val="28"/>
          <w:szCs w:val="28"/>
          <w:lang w:val="en-US" w:eastAsia="zh-CN" w:bidi="ar-SA"/>
        </w:rPr>
      </w:pPr>
    </w:p>
    <w:p w14:paraId="2C6ED282">
      <w:pPr>
        <w:rPr>
          <w:rFonts w:hint="eastAsia" w:ascii="宋体" w:hAnsi="宋体" w:eastAsia="宋体" w:cs="宋体"/>
          <w:b/>
          <w:color w:val="auto"/>
          <w:kern w:val="0"/>
          <w:sz w:val="28"/>
          <w:szCs w:val="28"/>
          <w:lang w:val="en-US" w:eastAsia="zh-CN" w:bidi="ar-SA"/>
        </w:rPr>
      </w:pPr>
    </w:p>
    <w:p w14:paraId="37FC75B4">
      <w:pPr>
        <w:rPr>
          <w:rFonts w:hint="eastAsia" w:ascii="宋体" w:hAnsi="宋体" w:eastAsia="宋体" w:cs="宋体"/>
          <w:b/>
          <w:color w:val="auto"/>
          <w:kern w:val="0"/>
          <w:sz w:val="28"/>
          <w:szCs w:val="28"/>
          <w:lang w:val="en-US" w:eastAsia="zh-CN" w:bidi="ar-SA"/>
        </w:rPr>
      </w:pPr>
    </w:p>
    <w:p w14:paraId="63A87668">
      <w:pPr>
        <w:rPr>
          <w:rFonts w:hint="eastAsia" w:ascii="宋体" w:hAnsi="宋体" w:eastAsia="宋体" w:cs="宋体"/>
          <w:b/>
          <w:color w:val="auto"/>
          <w:kern w:val="0"/>
          <w:sz w:val="28"/>
          <w:szCs w:val="28"/>
          <w:lang w:val="en-US" w:eastAsia="zh-CN" w:bidi="ar-SA"/>
        </w:rPr>
      </w:pPr>
    </w:p>
    <w:p w14:paraId="2AABDE8D">
      <w:pPr>
        <w:rPr>
          <w:rFonts w:hint="eastAsia" w:ascii="宋体" w:hAnsi="宋体" w:eastAsia="宋体" w:cs="宋体"/>
          <w:b/>
          <w:color w:val="auto"/>
          <w:kern w:val="0"/>
          <w:sz w:val="28"/>
          <w:szCs w:val="28"/>
          <w:lang w:val="en-US" w:eastAsia="zh-CN" w:bidi="ar-SA"/>
        </w:rPr>
      </w:pPr>
    </w:p>
    <w:p w14:paraId="4794EDBD">
      <w:pPr>
        <w:rPr>
          <w:rFonts w:hint="eastAsia" w:ascii="宋体" w:hAnsi="宋体" w:eastAsia="宋体" w:cs="宋体"/>
          <w:b/>
          <w:color w:val="auto"/>
          <w:kern w:val="0"/>
          <w:sz w:val="28"/>
          <w:szCs w:val="28"/>
          <w:lang w:val="en-US" w:eastAsia="zh-CN" w:bidi="ar-SA"/>
        </w:rPr>
      </w:pPr>
    </w:p>
    <w:p w14:paraId="06E1CEB4">
      <w:pPr>
        <w:rPr>
          <w:rFonts w:hint="eastAsia" w:ascii="宋体" w:hAnsi="宋体" w:eastAsia="宋体" w:cs="宋体"/>
          <w:b/>
          <w:color w:val="auto"/>
          <w:kern w:val="0"/>
          <w:sz w:val="28"/>
          <w:szCs w:val="28"/>
          <w:lang w:val="en-US" w:eastAsia="zh-CN" w:bidi="ar-SA"/>
        </w:rPr>
      </w:pPr>
    </w:p>
    <w:p w14:paraId="68995882">
      <w:pPr>
        <w:rPr>
          <w:rFonts w:hint="eastAsia" w:ascii="宋体" w:hAnsi="宋体" w:eastAsia="宋体" w:cs="宋体"/>
          <w:b/>
          <w:color w:val="auto"/>
          <w:kern w:val="0"/>
          <w:sz w:val="28"/>
          <w:szCs w:val="28"/>
          <w:lang w:val="en-US" w:eastAsia="zh-CN" w:bidi="ar-SA"/>
        </w:rPr>
      </w:pPr>
    </w:p>
    <w:p w14:paraId="6588E30D">
      <w:pPr>
        <w:rPr>
          <w:rFonts w:hint="eastAsia" w:ascii="宋体" w:hAnsi="宋体" w:eastAsia="宋体" w:cs="宋体"/>
          <w:b/>
          <w:color w:val="auto"/>
          <w:kern w:val="0"/>
          <w:sz w:val="28"/>
          <w:szCs w:val="28"/>
          <w:lang w:val="en-US" w:eastAsia="zh-CN" w:bidi="ar-SA"/>
        </w:rPr>
      </w:pPr>
    </w:p>
    <w:p w14:paraId="06AE9A14">
      <w:pPr>
        <w:rPr>
          <w:rFonts w:hint="eastAsia" w:ascii="宋体" w:hAnsi="宋体" w:eastAsia="宋体" w:cs="宋体"/>
          <w:b/>
          <w:color w:val="auto"/>
          <w:kern w:val="0"/>
          <w:sz w:val="28"/>
          <w:szCs w:val="28"/>
          <w:lang w:val="en-US" w:eastAsia="zh-CN" w:bidi="ar-SA"/>
        </w:rPr>
      </w:pPr>
    </w:p>
    <w:p w14:paraId="24FF792D">
      <w:pPr>
        <w:rPr>
          <w:rFonts w:hint="eastAsia" w:ascii="宋体" w:hAnsi="宋体" w:eastAsia="宋体" w:cs="宋体"/>
          <w:b/>
          <w:color w:val="auto"/>
          <w:kern w:val="0"/>
          <w:sz w:val="28"/>
          <w:szCs w:val="28"/>
          <w:lang w:val="en-US" w:eastAsia="zh-CN" w:bidi="ar-SA"/>
        </w:rPr>
      </w:pPr>
    </w:p>
    <w:p w14:paraId="2B5AD8B0">
      <w:pPr>
        <w:rPr>
          <w:rFonts w:hint="eastAsia" w:ascii="宋体" w:hAnsi="宋体" w:eastAsia="宋体" w:cs="宋体"/>
          <w:b/>
          <w:color w:val="auto"/>
          <w:kern w:val="0"/>
          <w:sz w:val="28"/>
          <w:szCs w:val="28"/>
          <w:lang w:val="en-US" w:eastAsia="zh-CN" w:bidi="ar-SA"/>
        </w:rPr>
      </w:pPr>
    </w:p>
    <w:p w14:paraId="147307C0">
      <w:pPr>
        <w:rPr>
          <w:rFonts w:hint="eastAsia" w:ascii="宋体" w:hAnsi="宋体" w:eastAsia="宋体" w:cs="宋体"/>
          <w:b/>
          <w:color w:val="auto"/>
          <w:kern w:val="0"/>
          <w:sz w:val="28"/>
          <w:szCs w:val="28"/>
          <w:lang w:val="en-US" w:eastAsia="zh-CN" w:bidi="ar-SA"/>
        </w:rPr>
      </w:pPr>
    </w:p>
    <w:p w14:paraId="6A24236C">
      <w:pPr>
        <w:rPr>
          <w:rFonts w:hint="eastAsia" w:ascii="宋体" w:hAnsi="宋体" w:eastAsia="宋体" w:cs="宋体"/>
          <w:b/>
          <w:color w:val="auto"/>
          <w:kern w:val="0"/>
          <w:sz w:val="28"/>
          <w:szCs w:val="28"/>
          <w:lang w:val="en-US" w:eastAsia="zh-CN" w:bidi="ar-SA"/>
        </w:rPr>
      </w:pPr>
    </w:p>
    <w:p w14:paraId="438F3D2A">
      <w:pPr>
        <w:rPr>
          <w:rFonts w:hint="eastAsia" w:ascii="宋体" w:hAnsi="宋体" w:eastAsia="宋体" w:cs="宋体"/>
          <w:b/>
          <w:color w:val="auto"/>
          <w:kern w:val="0"/>
          <w:sz w:val="28"/>
          <w:szCs w:val="28"/>
          <w:lang w:val="en-US" w:eastAsia="zh-CN" w:bidi="ar-SA"/>
        </w:rPr>
      </w:pPr>
    </w:p>
    <w:p w14:paraId="28A3ED30">
      <w:pPr>
        <w:pStyle w:val="3"/>
        <w:numPr>
          <w:ilvl w:val="0"/>
          <w:numId w:val="0"/>
        </w:numPr>
        <w:spacing w:before="0" w:after="0" w:line="560" w:lineRule="exact"/>
        <w:jc w:val="center"/>
        <w:rPr>
          <w:rFonts w:ascii="宋体" w:hAnsi="宋体" w:eastAsia="宋体" w:cs="宋体"/>
          <w:color w:val="auto"/>
          <w:sz w:val="28"/>
          <w:szCs w:val="28"/>
        </w:rPr>
      </w:pPr>
      <w:r>
        <w:rPr>
          <w:rFonts w:hint="eastAsia" w:ascii="宋体" w:hAnsi="宋体" w:eastAsia="宋体" w:cs="宋体"/>
          <w:b/>
          <w:color w:val="auto"/>
          <w:kern w:val="0"/>
          <w:sz w:val="28"/>
          <w:szCs w:val="28"/>
          <w:lang w:val="en-US" w:eastAsia="zh-CN" w:bidi="ar-SA"/>
        </w:rPr>
        <w:t>三、</w:t>
      </w:r>
      <w:r>
        <w:rPr>
          <w:rFonts w:hint="eastAsia" w:ascii="宋体" w:hAnsi="宋体" w:eastAsia="宋体" w:cs="宋体"/>
          <w:color w:val="auto"/>
          <w:sz w:val="28"/>
          <w:szCs w:val="28"/>
        </w:rPr>
        <w:t>采购需求</w:t>
      </w:r>
      <w:bookmarkEnd w:id="104"/>
    </w:p>
    <w:p w14:paraId="49B74F4C">
      <w:pPr>
        <w:spacing w:before="190" w:line="220" w:lineRule="auto"/>
        <w:ind w:left="5"/>
        <w:outlineLvl w:val="0"/>
        <w:rPr>
          <w:rFonts w:hint="eastAsia" w:ascii="宋体" w:hAnsi="宋体" w:eastAsia="宋体" w:cs="宋体"/>
          <w:b/>
          <w:bCs/>
          <w:color w:val="auto"/>
          <w:sz w:val="24"/>
          <w:szCs w:val="24"/>
          <w:lang w:val="en-US" w:eastAsia="zh-CN"/>
        </w:rPr>
      </w:pPr>
      <w:r>
        <w:rPr>
          <w:rFonts w:ascii="宋体" w:hAnsi="宋体" w:eastAsia="宋体" w:cs="宋体"/>
          <w:b/>
          <w:bCs/>
          <w:color w:val="auto"/>
          <w:spacing w:val="-5"/>
          <w:sz w:val="28"/>
          <w:szCs w:val="28"/>
        </w:rPr>
        <w:t>一、</w:t>
      </w:r>
      <w:r>
        <w:rPr>
          <w:rFonts w:hint="eastAsia" w:ascii="宋体" w:hAnsi="宋体" w:eastAsia="宋体" w:cs="宋体"/>
          <w:b/>
          <w:bCs/>
          <w:color w:val="auto"/>
          <w:sz w:val="24"/>
          <w:szCs w:val="24"/>
          <w:lang w:val="en-US" w:eastAsia="zh-CN"/>
        </w:rPr>
        <w:t>项目背景</w:t>
      </w:r>
    </w:p>
    <w:p w14:paraId="547ED56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皖美宝藏小城霍山”短视频大赛是霍山县推动文旅融合、拓宽传播渠道的重要举措。通过全民参与的镜头语言，全方位展现霍山作为安徽省首批“皖美宝藏小城”的自然资源、红色文化和康养特色，进一步擦亮“千里大别山 主峰在霍山”文旅品牌，推动线上流量与线下消费双向赋能。为进一步扩大大赛活动成果，充分发挥主流媒体宣传效果，拟采购具有策划、宣传能力的市场主体承担此项目。</w:t>
      </w:r>
    </w:p>
    <w:p w14:paraId="67ADA4A1">
      <w:pPr>
        <w:spacing w:before="190" w:line="220" w:lineRule="auto"/>
        <w:ind w:left="5"/>
        <w:outlineLvl w:val="0"/>
        <w:rPr>
          <w:rFonts w:hint="eastAsia" w:ascii="宋体" w:hAnsi="宋体" w:eastAsia="宋体" w:cs="宋体"/>
          <w:b/>
          <w:bCs/>
          <w:color w:val="auto"/>
          <w:spacing w:val="-5"/>
          <w:sz w:val="28"/>
          <w:szCs w:val="28"/>
          <w:lang w:val="en-US" w:eastAsia="zh-CN"/>
        </w:rPr>
      </w:pPr>
      <w:r>
        <w:rPr>
          <w:rFonts w:hint="eastAsia" w:ascii="宋体" w:hAnsi="宋体" w:eastAsia="宋体" w:cs="宋体"/>
          <w:b/>
          <w:bCs/>
          <w:color w:val="auto"/>
          <w:sz w:val="24"/>
          <w:szCs w:val="24"/>
          <w:lang w:val="en-US" w:eastAsia="zh-CN"/>
        </w:rPr>
        <w:t>二、宣传目标任务</w:t>
      </w:r>
    </w:p>
    <w:p w14:paraId="038033F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1、在中央广播电视台、人民网、中国网、新华网、央广网等中央级媒体发稿不少于10条；</w:t>
      </w:r>
    </w:p>
    <w:p w14:paraId="0A9859C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2、在安徽日报、安徽广播电视台、中安在线等省级媒体发稿不少于20条；</w:t>
      </w:r>
    </w:p>
    <w:p w14:paraId="2A89C94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3、在六安广播电视台、皖西日报等市级媒体发稿不少于30条；</w:t>
      </w:r>
    </w:p>
    <w:p w14:paraId="0AB2D66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4、在霍山县融媒体中心所属宣传平台发稿共计不少于60条。</w:t>
      </w:r>
    </w:p>
    <w:p w14:paraId="1E97998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以上所有媒体平台宣传内容包括文字、图片、视频。</w:t>
      </w:r>
    </w:p>
    <w:p w14:paraId="0C7C6F28">
      <w:pPr>
        <w:numPr>
          <w:ilvl w:val="0"/>
          <w:numId w:val="0"/>
        </w:numPr>
        <w:spacing w:before="190" w:line="220" w:lineRule="auto"/>
        <w:ind w:left="5" w:leftChars="0"/>
        <w:outlineLvl w:val="0"/>
        <w:rPr>
          <w:rFonts w:hint="default" w:ascii="宋体" w:hAnsi="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三、</w:t>
      </w:r>
      <w:r>
        <w:rPr>
          <w:rFonts w:hint="eastAsia" w:ascii="宋体" w:hAnsi="宋体" w:cs="宋体"/>
          <w:b/>
          <w:bCs/>
          <w:color w:val="auto"/>
          <w:sz w:val="24"/>
          <w:szCs w:val="24"/>
          <w:lang w:val="en-US" w:eastAsia="zh-CN"/>
        </w:rPr>
        <w:t>宣传费用限价</w:t>
      </w:r>
    </w:p>
    <w:tbl>
      <w:tblPr>
        <w:tblStyle w:val="36"/>
        <w:tblW w:w="0" w:type="auto"/>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3763"/>
        <w:gridCol w:w="2727"/>
      </w:tblGrid>
      <w:tr w14:paraId="1123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96" w:type="dxa"/>
            <w:vAlign w:val="center"/>
          </w:tcPr>
          <w:p w14:paraId="23D832D6">
            <w:pPr>
              <w:keepNext w:val="0"/>
              <w:keepLines w:val="0"/>
              <w:widowControl/>
              <w:suppressLineNumbers w:val="0"/>
              <w:jc w:val="center"/>
              <w:textAlignment w:val="center"/>
              <w:rPr>
                <w:rFonts w:hint="default" w:ascii="宋体" w:hAnsi="宋体" w:cs="宋体"/>
                <w:b/>
                <w:bCs/>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3763" w:type="dxa"/>
            <w:vAlign w:val="center"/>
          </w:tcPr>
          <w:p w14:paraId="704A3AEA">
            <w:pPr>
              <w:keepNext w:val="0"/>
              <w:keepLines w:val="0"/>
              <w:widowControl/>
              <w:suppressLineNumbers w:val="0"/>
              <w:jc w:val="center"/>
              <w:textAlignment w:val="center"/>
              <w:rPr>
                <w:rFonts w:hint="default" w:ascii="宋体" w:hAnsi="宋体" w:cs="宋体"/>
                <w:b/>
                <w:bCs/>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名</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称</w:t>
            </w:r>
          </w:p>
        </w:tc>
        <w:tc>
          <w:tcPr>
            <w:tcW w:w="2727" w:type="dxa"/>
            <w:vAlign w:val="center"/>
          </w:tcPr>
          <w:p w14:paraId="4F9327F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分项限价（元）</w:t>
            </w:r>
          </w:p>
          <w:p w14:paraId="5B4FB8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p>
        </w:tc>
      </w:tr>
      <w:tr w14:paraId="7483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96" w:type="dxa"/>
            <w:vAlign w:val="center"/>
          </w:tcPr>
          <w:p w14:paraId="1A88AE57">
            <w:pPr>
              <w:keepNext w:val="0"/>
              <w:keepLines w:val="0"/>
              <w:widowControl/>
              <w:suppressLineNumbers w:val="0"/>
              <w:jc w:val="center"/>
              <w:textAlignment w:val="center"/>
              <w:rPr>
                <w:rFonts w:hint="default" w:ascii="宋体" w:hAnsi="宋体" w:cs="宋体"/>
                <w:b/>
                <w:bCs/>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3763" w:type="dxa"/>
            <w:vAlign w:val="center"/>
          </w:tcPr>
          <w:p w14:paraId="7CD891F7">
            <w:pPr>
              <w:keepNext w:val="0"/>
              <w:keepLines w:val="0"/>
              <w:widowControl/>
              <w:suppressLineNumbers w:val="0"/>
              <w:jc w:val="center"/>
              <w:textAlignment w:val="center"/>
              <w:rPr>
                <w:rFonts w:hint="default" w:ascii="宋体" w:hAnsi="宋体" w:cs="宋体"/>
                <w:b/>
                <w:bCs/>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中央级媒体宣传</w:t>
            </w:r>
          </w:p>
        </w:tc>
        <w:tc>
          <w:tcPr>
            <w:tcW w:w="2727" w:type="dxa"/>
            <w:vAlign w:val="center"/>
          </w:tcPr>
          <w:p w14:paraId="100FBF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50000.00 </w:t>
            </w:r>
          </w:p>
        </w:tc>
      </w:tr>
      <w:tr w14:paraId="2CCA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96" w:type="dxa"/>
            <w:vAlign w:val="center"/>
          </w:tcPr>
          <w:p w14:paraId="287649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763" w:type="dxa"/>
            <w:vAlign w:val="center"/>
          </w:tcPr>
          <w:p w14:paraId="371FCB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省级媒体宣传</w:t>
            </w:r>
          </w:p>
        </w:tc>
        <w:tc>
          <w:tcPr>
            <w:tcW w:w="2727" w:type="dxa"/>
            <w:vAlign w:val="center"/>
          </w:tcPr>
          <w:p w14:paraId="74768F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50000.00 </w:t>
            </w:r>
          </w:p>
        </w:tc>
      </w:tr>
      <w:tr w14:paraId="045B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96" w:type="dxa"/>
            <w:vAlign w:val="center"/>
          </w:tcPr>
          <w:p w14:paraId="102F7E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763" w:type="dxa"/>
            <w:vAlign w:val="center"/>
          </w:tcPr>
          <w:p w14:paraId="1D2D04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市级媒体宣传</w:t>
            </w:r>
          </w:p>
        </w:tc>
        <w:tc>
          <w:tcPr>
            <w:tcW w:w="2727" w:type="dxa"/>
            <w:vAlign w:val="center"/>
          </w:tcPr>
          <w:p w14:paraId="37305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40000.00 </w:t>
            </w:r>
          </w:p>
        </w:tc>
      </w:tr>
      <w:tr w14:paraId="221D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96" w:type="dxa"/>
            <w:vAlign w:val="center"/>
          </w:tcPr>
          <w:p w14:paraId="218C82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763" w:type="dxa"/>
            <w:vAlign w:val="center"/>
          </w:tcPr>
          <w:p w14:paraId="2E91DA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县融媒体中心各平台宣传</w:t>
            </w:r>
          </w:p>
        </w:tc>
        <w:tc>
          <w:tcPr>
            <w:tcW w:w="2727" w:type="dxa"/>
            <w:vAlign w:val="center"/>
          </w:tcPr>
          <w:p w14:paraId="1EA0F8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30000.00 </w:t>
            </w:r>
          </w:p>
        </w:tc>
      </w:tr>
      <w:tr w14:paraId="7E67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96" w:type="dxa"/>
            <w:vAlign w:val="center"/>
          </w:tcPr>
          <w:p w14:paraId="2474FB3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3763" w:type="dxa"/>
            <w:vAlign w:val="center"/>
          </w:tcPr>
          <w:p w14:paraId="67F7F33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最高限价（元）</w:t>
            </w:r>
          </w:p>
          <w:p w14:paraId="7D94A0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p>
        </w:tc>
        <w:tc>
          <w:tcPr>
            <w:tcW w:w="2727" w:type="dxa"/>
            <w:vAlign w:val="center"/>
          </w:tcPr>
          <w:p w14:paraId="6D8F5E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170000.00</w:t>
            </w:r>
          </w:p>
        </w:tc>
      </w:tr>
    </w:tbl>
    <w:p w14:paraId="26BF29A2">
      <w:pPr>
        <w:numPr>
          <w:ilvl w:val="0"/>
          <w:numId w:val="0"/>
        </w:numPr>
        <w:spacing w:before="190" w:line="220" w:lineRule="auto"/>
        <w:ind w:firstLine="723" w:firstLineChars="300"/>
        <w:outlineLvl w:val="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注：分项报价、投标总报价均不得超过最高限价，否则投标无效。</w:t>
      </w:r>
    </w:p>
    <w:p w14:paraId="28E22DD8">
      <w:pPr>
        <w:numPr>
          <w:ilvl w:val="0"/>
          <w:numId w:val="0"/>
        </w:numPr>
        <w:spacing w:before="190" w:line="220" w:lineRule="auto"/>
        <w:ind w:firstLine="452" w:firstLineChars="300"/>
        <w:outlineLvl w:val="0"/>
        <w:rPr>
          <w:rFonts w:hint="default" w:ascii="宋体" w:hAnsi="宋体" w:cs="宋体"/>
          <w:b/>
          <w:bCs/>
          <w:color w:val="auto"/>
          <w:sz w:val="15"/>
          <w:szCs w:val="15"/>
          <w:lang w:val="en-US" w:eastAsia="zh-CN"/>
        </w:rPr>
      </w:pPr>
    </w:p>
    <w:p w14:paraId="39C39FAE">
      <w:pPr>
        <w:spacing w:before="190" w:line="220" w:lineRule="auto"/>
        <w:ind w:left="5"/>
        <w:outlineLvl w:val="0"/>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、其他要求</w:t>
      </w:r>
    </w:p>
    <w:p w14:paraId="0558126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1、供应商应充分了解本项目的服务范围及内容、熟悉本项目的工作流程、充分考虑项目履约期间的市场、政策等因素影响，将所有风险考虑在投标报价中，一旦成交，成交人不得以任何理由提出成交价调整。</w:t>
      </w:r>
    </w:p>
    <w:p w14:paraId="136A8A4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8"/>
          <w:szCs w:val="28"/>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供应商</w:t>
      </w:r>
      <w:r>
        <w:rPr>
          <w:rFonts w:hint="eastAsia" w:ascii="宋体" w:hAnsi="宋体" w:eastAsia="宋体" w:cs="宋体"/>
          <w:bCs/>
          <w:color w:val="auto"/>
          <w:sz w:val="24"/>
          <w:szCs w:val="24"/>
          <w:lang w:val="en-US" w:eastAsia="zh-CN"/>
        </w:rPr>
        <w:t>对</w:t>
      </w:r>
      <w:r>
        <w:rPr>
          <w:rFonts w:hint="eastAsia" w:ascii="宋体" w:hAnsi="宋体" w:cs="宋体"/>
          <w:bCs/>
          <w:color w:val="auto"/>
          <w:sz w:val="24"/>
          <w:szCs w:val="24"/>
          <w:lang w:val="en-US" w:eastAsia="zh-CN"/>
        </w:rPr>
        <w:t>本项目</w:t>
      </w:r>
      <w:r>
        <w:rPr>
          <w:rFonts w:hint="eastAsia" w:ascii="宋体" w:hAnsi="宋体" w:eastAsia="宋体" w:cs="宋体"/>
          <w:bCs/>
          <w:color w:val="auto"/>
          <w:sz w:val="24"/>
          <w:szCs w:val="24"/>
          <w:lang w:val="en-US" w:eastAsia="zh-CN"/>
        </w:rPr>
        <w:t>采购需求</w:t>
      </w:r>
      <w:r>
        <w:rPr>
          <w:rFonts w:hint="eastAsia" w:ascii="宋体" w:hAnsi="宋体" w:cs="宋体"/>
          <w:bCs/>
          <w:color w:val="auto"/>
          <w:sz w:val="24"/>
          <w:szCs w:val="24"/>
          <w:lang w:val="en-US" w:eastAsia="zh-CN"/>
        </w:rPr>
        <w:t>服务内容进行报价，</w:t>
      </w:r>
      <w:r>
        <w:rPr>
          <w:rFonts w:hint="eastAsia" w:ascii="宋体" w:hAnsi="宋体" w:eastAsia="宋体" w:cs="宋体"/>
          <w:bCs/>
          <w:color w:val="auto"/>
          <w:sz w:val="24"/>
          <w:szCs w:val="24"/>
          <w:lang w:val="en-US" w:eastAsia="zh-CN"/>
        </w:rPr>
        <w:t>报价</w:t>
      </w:r>
      <w:r>
        <w:rPr>
          <w:rFonts w:hint="eastAsia" w:ascii="宋体" w:hAnsi="宋体" w:cs="宋体"/>
          <w:bCs/>
          <w:color w:val="auto"/>
          <w:sz w:val="24"/>
          <w:szCs w:val="24"/>
          <w:lang w:val="en-US" w:eastAsia="zh-CN"/>
        </w:rPr>
        <w:t>包含</w:t>
      </w:r>
      <w:r>
        <w:rPr>
          <w:rFonts w:hint="eastAsia" w:ascii="宋体" w:hAnsi="宋体" w:eastAsia="宋体" w:cs="宋体"/>
          <w:bCs/>
          <w:color w:val="auto"/>
          <w:sz w:val="24"/>
          <w:szCs w:val="24"/>
          <w:lang w:val="en-US" w:eastAsia="zh-CN"/>
        </w:rPr>
        <w:t>完成本项目所发生的应有费用，采购人后期不再支付任何费用，投标人须考虑各种风险综合报价。</w:t>
      </w:r>
    </w:p>
    <w:p w14:paraId="210243EC">
      <w:pPr>
        <w:spacing w:before="190" w:line="220" w:lineRule="auto"/>
        <w:ind w:left="5"/>
        <w:outlineLvl w:val="0"/>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、安全与保密</w:t>
      </w:r>
    </w:p>
    <w:p w14:paraId="4565CAE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1、成交人策划</w:t>
      </w:r>
      <w:r>
        <w:rPr>
          <w:rFonts w:hint="eastAsia" w:ascii="宋体" w:hAnsi="宋体" w:cs="宋体"/>
          <w:bCs/>
          <w:color w:val="auto"/>
          <w:sz w:val="24"/>
          <w:szCs w:val="24"/>
          <w:lang w:val="en-US" w:eastAsia="zh-CN"/>
        </w:rPr>
        <w:t>、宣传</w:t>
      </w:r>
      <w:r>
        <w:rPr>
          <w:rFonts w:hint="eastAsia" w:ascii="宋体" w:hAnsi="宋体" w:eastAsia="宋体" w:cs="宋体"/>
          <w:bCs/>
          <w:color w:val="auto"/>
          <w:sz w:val="24"/>
          <w:szCs w:val="24"/>
          <w:lang w:val="en-US" w:eastAsia="zh-CN"/>
        </w:rPr>
        <w:t>成果涉及知识产权的，成交人应保证不侵犯任何第三方知识产权。</w:t>
      </w:r>
    </w:p>
    <w:p w14:paraId="4642E03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策划、宣传</w:t>
      </w:r>
      <w:r>
        <w:rPr>
          <w:rFonts w:hint="eastAsia" w:ascii="宋体" w:hAnsi="宋体" w:eastAsia="宋体" w:cs="宋体"/>
          <w:bCs/>
          <w:color w:val="auto"/>
          <w:sz w:val="24"/>
          <w:szCs w:val="24"/>
          <w:lang w:val="en-US" w:eastAsia="zh-CN"/>
        </w:rPr>
        <w:t>工作中涉及到的涉密和敏感图文资料、电子数据，</w:t>
      </w:r>
      <w:r>
        <w:rPr>
          <w:rFonts w:hint="eastAsia" w:ascii="宋体" w:hAnsi="宋体" w:cs="宋体"/>
          <w:bCs/>
          <w:color w:val="auto"/>
          <w:sz w:val="24"/>
          <w:szCs w:val="24"/>
          <w:lang w:val="en-US" w:eastAsia="zh-CN"/>
        </w:rPr>
        <w:t>成交</w:t>
      </w:r>
      <w:r>
        <w:rPr>
          <w:rFonts w:hint="eastAsia" w:ascii="宋体" w:hAnsi="宋体" w:eastAsia="宋体" w:cs="宋体"/>
          <w:bCs/>
          <w:color w:val="auto"/>
          <w:sz w:val="24"/>
          <w:szCs w:val="24"/>
          <w:lang w:val="en-US" w:eastAsia="zh-CN"/>
        </w:rPr>
        <w:t>单位应严格执行保密的相关规定，不得以任何方式向任何第三人披露、泄露或许可第三人使用。</w:t>
      </w:r>
    </w:p>
    <w:p w14:paraId="0C6EAAB4">
      <w:pPr>
        <w:spacing w:before="40" w:line="455" w:lineRule="auto"/>
        <w:ind w:left="2" w:right="2" w:firstLine="563"/>
        <w:rPr>
          <w:rFonts w:ascii="宋体" w:hAnsi="宋体" w:eastAsia="宋体" w:cs="宋体"/>
          <w:color w:val="FF0000"/>
          <w:spacing w:val="-1"/>
          <w:sz w:val="28"/>
          <w:szCs w:val="28"/>
        </w:rPr>
        <w:sectPr>
          <w:footerReference r:id="rId6" w:type="default"/>
          <w:pgSz w:w="11906" w:h="16839"/>
          <w:pgMar w:top="1431" w:right="1528" w:bottom="1156" w:left="1541" w:header="0" w:footer="994" w:gutter="0"/>
          <w:pgNumType w:fmt="decimal"/>
          <w:cols w:space="720" w:num="1"/>
        </w:sectPr>
      </w:pPr>
    </w:p>
    <w:p w14:paraId="3CB2C69F">
      <w:pPr>
        <w:pStyle w:val="3"/>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sz w:val="28"/>
          <w:szCs w:val="28"/>
          <w:lang w:eastAsia="zh-CN"/>
        </w:rPr>
      </w:pPr>
      <w:bookmarkStart w:id="105" w:name="_Toc27329"/>
      <w:r>
        <w:rPr>
          <w:rFonts w:hint="eastAsia" w:ascii="宋体" w:hAnsi="宋体" w:eastAsia="宋体" w:cs="宋体"/>
          <w:sz w:val="28"/>
          <w:szCs w:val="28"/>
          <w:lang w:eastAsia="zh-CN"/>
        </w:rPr>
        <w:t>四、</w:t>
      </w:r>
      <w:r>
        <w:rPr>
          <w:rFonts w:hint="eastAsia" w:ascii="宋体" w:hAnsi="宋体" w:eastAsia="宋体" w:cs="宋体"/>
          <w:sz w:val="28"/>
          <w:szCs w:val="28"/>
          <w:lang w:val="en-US" w:eastAsia="zh-CN"/>
        </w:rPr>
        <w:t>评审方法</w:t>
      </w:r>
      <w:bookmarkEnd w:id="105"/>
    </w:p>
    <w:p w14:paraId="5DCB92BC">
      <w:pPr>
        <w:keepNext w:val="0"/>
        <w:keepLines w:val="0"/>
        <w:pageBreakBefore w:val="0"/>
        <w:widowControl w:val="0"/>
        <w:kinsoku/>
        <w:overflowPunct/>
        <w:topLinePunct w:val="0"/>
        <w:autoSpaceDE/>
        <w:autoSpaceDN/>
        <w:bidi w:val="0"/>
        <w:adjustRightInd/>
        <w:snapToGrid/>
        <w:spacing w:line="500" w:lineRule="exact"/>
        <w:ind w:left="0" w:firstLine="474" w:firstLineChars="200"/>
        <w:textAlignment w:val="auto"/>
        <w:outlineLvl w:val="0"/>
        <w:rPr>
          <w:rFonts w:hint="eastAsia" w:ascii="宋体" w:hAnsi="宋体" w:eastAsia="宋体" w:cs="宋体"/>
          <w:b/>
          <w:bCs/>
          <w:spacing w:val="-2"/>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3E9EE835">
      <w:pPr>
        <w:keepNext w:val="0"/>
        <w:keepLines w:val="0"/>
        <w:pageBreakBefore w:val="0"/>
        <w:widowControl w:val="0"/>
        <w:kinsoku/>
        <w:overflowPunct/>
        <w:topLinePunct w:val="0"/>
        <w:autoSpaceDE/>
        <w:autoSpaceDN/>
        <w:bidi w:val="0"/>
        <w:adjustRightInd/>
        <w:snapToGrid/>
        <w:spacing w:line="500" w:lineRule="exact"/>
        <w:ind w:left="0" w:firstLine="480" w:firstLineChars="200"/>
        <w:textAlignment w:val="auto"/>
        <w:outlineLvl w:val="0"/>
        <w:rPr>
          <w:rFonts w:hint="eastAsia" w:ascii="宋体" w:hAnsi="宋体" w:eastAsia="宋体" w:cs="宋体"/>
          <w:b/>
          <w:bCs/>
          <w:spacing w:val="-2"/>
          <w:sz w:val="24"/>
          <w:szCs w:val="24"/>
          <w:u w:val="none"/>
        </w:rPr>
      </w:pPr>
      <w:r>
        <w:rPr>
          <w:rFonts w:hint="eastAsia" w:ascii="宋体" w:hAnsi="宋体" w:eastAsia="宋体" w:cs="宋体"/>
          <w:spacing w:val="0"/>
          <w:w w:val="100"/>
          <w:position w:val="0"/>
          <w:sz w:val="24"/>
          <w:szCs w:val="24"/>
          <w:highlight w:val="none"/>
          <w:u w:val="none"/>
          <w:lang w:val="en-US" w:eastAsia="zh-CN"/>
        </w:rPr>
        <w:t>采购人或代理机构对供应商的资格进行审查，</w:t>
      </w:r>
      <w:r>
        <w:rPr>
          <w:rFonts w:hint="eastAsia" w:ascii="宋体" w:hAnsi="宋体" w:cs="宋体"/>
          <w:spacing w:val="0"/>
          <w:w w:val="100"/>
          <w:position w:val="0"/>
          <w:sz w:val="24"/>
          <w:szCs w:val="24"/>
          <w:highlight w:val="none"/>
          <w:u w:val="none"/>
          <w:lang w:val="en-US" w:eastAsia="zh-CN"/>
        </w:rPr>
        <w:t>谈判</w:t>
      </w:r>
      <w:r>
        <w:rPr>
          <w:rFonts w:hint="eastAsia" w:ascii="宋体" w:hAnsi="宋体" w:eastAsia="宋体" w:cs="宋体"/>
          <w:spacing w:val="0"/>
          <w:w w:val="100"/>
          <w:position w:val="0"/>
          <w:sz w:val="24"/>
          <w:szCs w:val="24"/>
          <w:highlight w:val="none"/>
          <w:u w:val="none"/>
          <w:lang w:val="en-US" w:eastAsia="zh-CN"/>
        </w:rPr>
        <w:t>小组对响应文件进行符合性审查及报价评审。</w:t>
      </w:r>
      <w:r>
        <w:rPr>
          <w:rFonts w:hint="eastAsia" w:ascii="宋体" w:hAnsi="宋体" w:eastAsia="宋体" w:cs="宋体"/>
          <w:i w:val="0"/>
          <w:iCs w:val="0"/>
          <w:spacing w:val="0"/>
          <w:w w:val="100"/>
          <w:position w:val="0"/>
          <w:sz w:val="24"/>
          <w:szCs w:val="24"/>
          <w:highlight w:val="none"/>
          <w:u w:val="none"/>
          <w:lang w:val="en-US" w:eastAsia="zh-CN"/>
        </w:rPr>
        <w:t>当发现供应商或其响应文件存在下列情况之一时，将判定供应商不符合</w:t>
      </w:r>
      <w:r>
        <w:rPr>
          <w:rFonts w:hint="eastAsia" w:ascii="宋体" w:hAnsi="宋体" w:cs="宋体"/>
          <w:i w:val="0"/>
          <w:iCs w:val="0"/>
          <w:spacing w:val="0"/>
          <w:w w:val="100"/>
          <w:position w:val="0"/>
          <w:sz w:val="24"/>
          <w:szCs w:val="24"/>
          <w:highlight w:val="none"/>
          <w:u w:val="none"/>
          <w:lang w:val="en-US" w:eastAsia="zh-CN"/>
        </w:rPr>
        <w:t>采购文件</w:t>
      </w:r>
      <w:r>
        <w:rPr>
          <w:rFonts w:hint="eastAsia" w:ascii="宋体" w:hAnsi="宋体" w:eastAsia="宋体" w:cs="宋体"/>
          <w:i w:val="0"/>
          <w:iCs w:val="0"/>
          <w:spacing w:val="0"/>
          <w:w w:val="100"/>
          <w:position w:val="0"/>
          <w:sz w:val="24"/>
          <w:szCs w:val="24"/>
          <w:highlight w:val="none"/>
          <w:u w:val="none"/>
          <w:lang w:val="en-US" w:eastAsia="zh-CN"/>
        </w:rPr>
        <w:t>要求，审查不通过。</w:t>
      </w:r>
    </w:p>
    <w:tbl>
      <w:tblPr>
        <w:tblStyle w:val="105"/>
        <w:tblW w:w="91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899"/>
        <w:gridCol w:w="1767"/>
        <w:gridCol w:w="6483"/>
      </w:tblGrid>
      <w:tr w14:paraId="4F936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666" w:type="dxa"/>
            <w:gridSpan w:val="2"/>
            <w:noWrap w:val="0"/>
            <w:vAlign w:val="center"/>
          </w:tcPr>
          <w:p w14:paraId="111CDB3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br w:type="page"/>
            </w:r>
            <w:r>
              <w:rPr>
                <w:rFonts w:hint="eastAsia" w:ascii="宋体" w:hAnsi="宋体" w:eastAsia="宋体" w:cs="宋体"/>
                <w:b/>
                <w:bCs/>
                <w:sz w:val="24"/>
                <w:szCs w:val="24"/>
              </w:rPr>
              <w:t>审查内容</w:t>
            </w:r>
          </w:p>
        </w:tc>
        <w:tc>
          <w:tcPr>
            <w:tcW w:w="6483" w:type="dxa"/>
            <w:noWrap w:val="0"/>
            <w:vAlign w:val="center"/>
          </w:tcPr>
          <w:p w14:paraId="2422643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2D00D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restart"/>
            <w:tcBorders>
              <w:bottom w:val="nil"/>
            </w:tcBorders>
            <w:noWrap w:val="0"/>
            <w:vAlign w:val="center"/>
          </w:tcPr>
          <w:p w14:paraId="426B355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D7EF64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767" w:type="dxa"/>
            <w:noWrap w:val="0"/>
            <w:vAlign w:val="center"/>
          </w:tcPr>
          <w:p w14:paraId="79AA3B3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483" w:type="dxa"/>
            <w:noWrap w:val="0"/>
            <w:vAlign w:val="center"/>
          </w:tcPr>
          <w:p w14:paraId="5D4E938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7084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continue"/>
            <w:tcBorders>
              <w:top w:val="nil"/>
              <w:bottom w:val="nil"/>
            </w:tcBorders>
            <w:noWrap w:val="0"/>
            <w:vAlign w:val="center"/>
          </w:tcPr>
          <w:p w14:paraId="68ACD2B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767" w:type="dxa"/>
            <w:noWrap w:val="0"/>
            <w:vAlign w:val="center"/>
          </w:tcPr>
          <w:p w14:paraId="70F4E41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483" w:type="dxa"/>
            <w:noWrap w:val="0"/>
            <w:vAlign w:val="center"/>
          </w:tcPr>
          <w:p w14:paraId="07C3D7C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谈判</w:t>
            </w:r>
            <w:r>
              <w:rPr>
                <w:rFonts w:hint="eastAsia" w:ascii="宋体" w:hAnsi="宋体" w:eastAsia="宋体" w:cs="宋体"/>
                <w:sz w:val="24"/>
                <w:szCs w:val="24"/>
              </w:rPr>
              <w:t>文件要求</w:t>
            </w:r>
          </w:p>
        </w:tc>
      </w:tr>
      <w:tr w14:paraId="31430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063" w:hRule="atLeast"/>
          <w:jc w:val="center"/>
        </w:trPr>
        <w:tc>
          <w:tcPr>
            <w:tcW w:w="899" w:type="dxa"/>
            <w:vMerge w:val="continue"/>
            <w:tcBorders>
              <w:top w:val="nil"/>
              <w:bottom w:val="nil"/>
            </w:tcBorders>
            <w:noWrap w:val="0"/>
            <w:vAlign w:val="center"/>
          </w:tcPr>
          <w:p w14:paraId="588F7EF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767" w:type="dxa"/>
            <w:noWrap w:val="0"/>
            <w:vAlign w:val="center"/>
          </w:tcPr>
          <w:p w14:paraId="4A36EF3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483" w:type="dxa"/>
            <w:noWrap w:val="0"/>
            <w:vAlign w:val="center"/>
          </w:tcPr>
          <w:p w14:paraId="2FAD64B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采购人或采购代理机构依据法律法规和</w:t>
            </w:r>
            <w:r>
              <w:rPr>
                <w:rFonts w:hint="eastAsia" w:ascii="宋体" w:hAnsi="宋体" w:eastAsia="宋体" w:cs="宋体"/>
                <w:sz w:val="24"/>
                <w:szCs w:val="24"/>
                <w:lang w:eastAsia="zh-CN"/>
              </w:rPr>
              <w:t>采购</w:t>
            </w:r>
            <w:r>
              <w:rPr>
                <w:rFonts w:hint="eastAsia" w:ascii="宋体" w:hAnsi="宋体" w:eastAsia="宋体" w:cs="宋体"/>
                <w:sz w:val="24"/>
                <w:szCs w:val="24"/>
              </w:rPr>
              <w:t>文件中规定的内容，对</w:t>
            </w:r>
            <w:r>
              <w:rPr>
                <w:rFonts w:hint="eastAsia" w:ascii="宋体" w:hAnsi="宋体" w:eastAsia="宋体" w:cs="宋体"/>
                <w:sz w:val="24"/>
                <w:szCs w:val="24"/>
                <w:lang w:eastAsia="zh-CN"/>
              </w:rPr>
              <w:t>供应商</w:t>
            </w:r>
            <w:r>
              <w:rPr>
                <w:rFonts w:hint="eastAsia" w:ascii="宋体" w:hAnsi="宋体" w:eastAsia="宋体" w:cs="宋体"/>
                <w:sz w:val="24"/>
                <w:szCs w:val="24"/>
              </w:rPr>
              <w:t>资格进行审查，未通过资格审查的</w:t>
            </w:r>
            <w:r>
              <w:rPr>
                <w:rFonts w:hint="eastAsia" w:ascii="宋体" w:hAnsi="宋体" w:eastAsia="宋体" w:cs="宋体"/>
                <w:sz w:val="24"/>
                <w:szCs w:val="24"/>
                <w:lang w:eastAsia="zh-CN"/>
              </w:rPr>
              <w:t>供应商不可参加后续评审</w:t>
            </w:r>
            <w:r>
              <w:rPr>
                <w:rFonts w:hint="eastAsia" w:ascii="宋体" w:hAnsi="宋体" w:eastAsia="宋体" w:cs="宋体"/>
                <w:sz w:val="24"/>
                <w:szCs w:val="24"/>
              </w:rPr>
              <w:t>。</w:t>
            </w:r>
          </w:p>
          <w:p w14:paraId="6328834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按照《财政部关于在政府采购活动中查询及使用信用记录有关问题的通知》(财库〔2016〕125号)</w:t>
            </w:r>
            <w:r>
              <w:rPr>
                <w:rFonts w:hint="eastAsia" w:ascii="宋体" w:hAnsi="宋体" w:eastAsia="宋体" w:cs="宋体"/>
                <w:sz w:val="24"/>
                <w:szCs w:val="24"/>
                <w:lang w:eastAsia="zh-CN"/>
              </w:rPr>
              <w:t>的</w:t>
            </w:r>
            <w:r>
              <w:rPr>
                <w:rFonts w:hint="eastAsia" w:ascii="宋体" w:hAnsi="宋体" w:eastAsia="宋体" w:cs="宋体"/>
                <w:sz w:val="24"/>
                <w:szCs w:val="24"/>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E0F84F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两个以上的自然人、法人或者其他组织组成一个联合体，以一个</w:t>
            </w:r>
            <w:r>
              <w:rPr>
                <w:rFonts w:hint="eastAsia" w:ascii="宋体" w:hAnsi="宋体" w:eastAsia="宋体" w:cs="宋体"/>
                <w:sz w:val="24"/>
                <w:szCs w:val="24"/>
                <w:lang w:eastAsia="zh-CN"/>
              </w:rPr>
              <w:t>投标人</w:t>
            </w:r>
            <w:r>
              <w:rPr>
                <w:rFonts w:hint="eastAsia" w:ascii="宋体" w:hAnsi="宋体" w:eastAsia="宋体" w:cs="宋体"/>
                <w:sz w:val="24"/>
                <w:szCs w:val="24"/>
              </w:rPr>
              <w:t>的身份共同参加政府采购活动的，应当对所有联合体成员进行信用记录查询，联合体成员之一存在不良信用记录的，视同联合体存在不良信用记录。</w:t>
            </w:r>
          </w:p>
          <w:p w14:paraId="1225647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en-US"/>
              </w:rPr>
            </w:pPr>
            <w:r>
              <w:rPr>
                <w:rFonts w:hint="eastAsia" w:ascii="宋体" w:hAnsi="宋体" w:eastAsia="宋体" w:cs="宋体"/>
                <w:sz w:val="24"/>
                <w:szCs w:val="24"/>
                <w:lang w:val="en-US" w:eastAsia="zh-CN"/>
              </w:rPr>
              <w:t>注：1</w:t>
            </w:r>
            <w:r>
              <w:rPr>
                <w:rFonts w:hint="eastAsia" w:ascii="宋体" w:hAnsi="宋体" w:eastAsia="宋体" w:cs="宋体"/>
                <w:sz w:val="24"/>
                <w:szCs w:val="24"/>
                <w:lang w:eastAsia="en-US"/>
              </w:rPr>
              <w:t>.供应商在响应文件中无需提供证明材料，由采购人或者采购代理机构查询供应商的信用记录，信用记录以投标截止时间的记录信息为准。</w:t>
            </w:r>
          </w:p>
          <w:p w14:paraId="16D1846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en-US"/>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en-US"/>
              </w:rPr>
              <w:t>.信用信息记录方式：采购人或采购代理机构工作人员将查询网页截图随其他采购资料一同存档备查。</w:t>
            </w:r>
          </w:p>
          <w:p w14:paraId="0DBBDFB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en-US"/>
              </w:rPr>
              <w:t>.在上述规定的查询时间之外，网站信息发生的任何变更均不作为资格审查依据。</w:t>
            </w:r>
          </w:p>
        </w:tc>
      </w:tr>
      <w:tr w14:paraId="29097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bottom w:val="single" w:color="auto" w:sz="4" w:space="0"/>
            </w:tcBorders>
            <w:noWrap w:val="0"/>
            <w:vAlign w:val="center"/>
          </w:tcPr>
          <w:p w14:paraId="0CA2023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767" w:type="dxa"/>
            <w:noWrap w:val="0"/>
            <w:vAlign w:val="center"/>
          </w:tcPr>
          <w:p w14:paraId="3726C0A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483" w:type="dxa"/>
            <w:noWrap w:val="0"/>
            <w:vAlign w:val="center"/>
          </w:tcPr>
          <w:p w14:paraId="301D4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谈判</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r>
              <w:rPr>
                <w:rFonts w:hint="eastAsia" w:ascii="宋体" w:hAnsi="宋体" w:eastAsia="宋体" w:cs="宋体"/>
                <w:sz w:val="24"/>
                <w:szCs w:val="24"/>
                <w:lang w:eastAsia="zh-CN"/>
              </w:rPr>
              <w:t>。</w:t>
            </w:r>
          </w:p>
        </w:tc>
      </w:tr>
      <w:tr w14:paraId="1AC95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710" w:hRule="atLeast"/>
          <w:jc w:val="center"/>
        </w:trPr>
        <w:tc>
          <w:tcPr>
            <w:tcW w:w="9149" w:type="dxa"/>
            <w:gridSpan w:val="3"/>
            <w:tcBorders>
              <w:top w:val="single" w:color="auto" w:sz="4" w:space="0"/>
              <w:left w:val="single" w:color="auto" w:sz="4" w:space="0"/>
              <w:bottom w:val="single" w:color="auto" w:sz="4" w:space="0"/>
            </w:tcBorders>
            <w:noWrap w:val="0"/>
            <w:vAlign w:val="center"/>
          </w:tcPr>
          <w:p w14:paraId="45C681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rPr>
            </w:pPr>
            <w:r>
              <w:rPr>
                <w:rFonts w:hint="eastAsia" w:ascii="宋体" w:hAnsi="宋体" w:eastAsia="宋体" w:cs="宋体"/>
                <w:b/>
                <w:bCs/>
                <w:color w:val="auto"/>
                <w:spacing w:val="-2"/>
                <w:sz w:val="24"/>
                <w:szCs w:val="24"/>
                <w:highlight w:val="none"/>
                <w:u w:val="none"/>
                <w:lang w:val="en-US" w:eastAsia="zh-CN"/>
              </w:rPr>
              <w:t>（二）符合性审查</w:t>
            </w:r>
          </w:p>
        </w:tc>
      </w:tr>
      <w:tr w14:paraId="6E7B3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11"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14:paraId="328649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符合性审查</w:t>
            </w:r>
          </w:p>
        </w:tc>
        <w:tc>
          <w:tcPr>
            <w:tcW w:w="1767" w:type="dxa"/>
            <w:tcBorders>
              <w:left w:val="single" w:color="auto" w:sz="4" w:space="0"/>
            </w:tcBorders>
            <w:noWrap w:val="0"/>
            <w:vAlign w:val="center"/>
          </w:tcPr>
          <w:p w14:paraId="73D4B8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技术响应情况</w:t>
            </w:r>
          </w:p>
        </w:tc>
        <w:tc>
          <w:tcPr>
            <w:tcW w:w="6483" w:type="dxa"/>
            <w:noWrap w:val="0"/>
            <w:vAlign w:val="center"/>
          </w:tcPr>
          <w:p w14:paraId="717C524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文件采购需求中</w:t>
            </w:r>
            <w:r>
              <w:rPr>
                <w:rFonts w:hint="eastAsia" w:ascii="宋体" w:hAnsi="宋体" w:eastAsia="宋体" w:cs="宋体"/>
                <w:color w:val="auto"/>
                <w:sz w:val="24"/>
                <w:szCs w:val="24"/>
                <w:highlight w:val="none"/>
                <w:lang w:eastAsia="zh-CN"/>
              </w:rPr>
              <w:t>实质性响应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要求</w:t>
            </w:r>
          </w:p>
        </w:tc>
      </w:tr>
      <w:tr w14:paraId="484B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top"/>
          </w:tcPr>
          <w:p w14:paraId="581F70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sz w:val="24"/>
                <w:szCs w:val="24"/>
              </w:rPr>
            </w:pPr>
          </w:p>
        </w:tc>
        <w:tc>
          <w:tcPr>
            <w:tcW w:w="1767" w:type="dxa"/>
            <w:tcBorders>
              <w:left w:val="single" w:color="auto" w:sz="4" w:space="0"/>
            </w:tcBorders>
            <w:noWrap w:val="0"/>
            <w:vAlign w:val="center"/>
          </w:tcPr>
          <w:p w14:paraId="2A9E3D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商务响应情况</w:t>
            </w:r>
          </w:p>
        </w:tc>
        <w:tc>
          <w:tcPr>
            <w:tcW w:w="6483" w:type="dxa"/>
            <w:noWrap w:val="0"/>
            <w:vAlign w:val="center"/>
          </w:tcPr>
          <w:p w14:paraId="14917CD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符合谈判文件中付款方式、服务期限等实质性响应要求</w:t>
            </w:r>
          </w:p>
        </w:tc>
      </w:tr>
      <w:tr w14:paraId="71777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710" w:hRule="atLeast"/>
          <w:jc w:val="center"/>
        </w:trPr>
        <w:tc>
          <w:tcPr>
            <w:tcW w:w="9149" w:type="dxa"/>
            <w:gridSpan w:val="3"/>
            <w:tcBorders>
              <w:top w:val="single" w:color="auto" w:sz="4" w:space="0"/>
              <w:left w:val="single" w:color="auto" w:sz="4" w:space="0"/>
              <w:bottom w:val="single" w:color="auto" w:sz="4" w:space="0"/>
            </w:tcBorders>
            <w:noWrap w:val="0"/>
            <w:vAlign w:val="center"/>
          </w:tcPr>
          <w:p w14:paraId="70BA845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b/>
                <w:bCs/>
                <w:color w:val="auto"/>
                <w:spacing w:val="-2"/>
                <w:sz w:val="24"/>
                <w:szCs w:val="24"/>
                <w:highlight w:val="none"/>
                <w:u w:val="none"/>
                <w:lang w:val="en-US" w:eastAsia="zh-CN"/>
              </w:rPr>
              <w:t>（三）报价评审</w:t>
            </w:r>
          </w:p>
        </w:tc>
      </w:tr>
      <w:tr w14:paraId="5A4C2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253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14:paraId="272778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报价评审</w:t>
            </w:r>
          </w:p>
        </w:tc>
        <w:tc>
          <w:tcPr>
            <w:tcW w:w="1767" w:type="dxa"/>
            <w:tcBorders>
              <w:left w:val="single" w:color="auto" w:sz="4" w:space="0"/>
            </w:tcBorders>
            <w:noWrap w:val="0"/>
            <w:vAlign w:val="center"/>
          </w:tcPr>
          <w:p w14:paraId="21316F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响应情况</w:t>
            </w:r>
          </w:p>
        </w:tc>
        <w:tc>
          <w:tcPr>
            <w:tcW w:w="6483" w:type="dxa"/>
            <w:noWrap w:val="0"/>
            <w:vAlign w:val="center"/>
          </w:tcPr>
          <w:p w14:paraId="1B80DAD5">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未按采购文件规定进行二轮报价的，属于响应文件有效组成部分缺失，</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p w14:paraId="446B15CA">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超出项目预算金额或最高限价的，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val="en-US" w:eastAsia="zh-CN"/>
              </w:rPr>
              <w:t>；</w:t>
            </w:r>
          </w:p>
          <w:p w14:paraId="004DF3A1">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 w:val="24"/>
                <w:szCs w:val="24"/>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报价触发异常低价响应审查，经谈判小组质询，供应商不能证明其报价合理性的，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tc>
      </w:tr>
    </w:tbl>
    <w:p w14:paraId="6F7D40AF">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spacing w:val="0"/>
          <w:w w:val="100"/>
          <w:position w:val="0"/>
          <w:sz w:val="24"/>
          <w:szCs w:val="24"/>
          <w:u w:val="none"/>
          <w:lang w:val="en-US" w:eastAsia="zh-CN"/>
        </w:rPr>
      </w:pPr>
      <w:r>
        <w:rPr>
          <w:rFonts w:hint="eastAsia" w:ascii="宋体" w:hAnsi="宋体" w:eastAsia="宋体" w:cs="宋体"/>
          <w:b/>
          <w:bCs/>
          <w:spacing w:val="0"/>
          <w:w w:val="100"/>
          <w:position w:val="0"/>
          <w:sz w:val="24"/>
          <w:szCs w:val="24"/>
          <w:u w:val="none"/>
          <w:lang w:val="en-US" w:eastAsia="zh-CN"/>
        </w:rPr>
        <w:t>2、综合评审</w:t>
      </w:r>
    </w:p>
    <w:p w14:paraId="2F0B4E52">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由谈判小组对响应文件进行评审，并根据谈判文件规定的程序、评定成交的标准等事项与实质性响应谈判文件要求的供应商进行谈判。</w:t>
      </w:r>
    </w:p>
    <w:p w14:paraId="685A5DE3">
      <w:pPr>
        <w:pStyle w:val="3"/>
        <w:spacing w:before="0" w:after="0" w:line="560" w:lineRule="exact"/>
        <w:jc w:val="center"/>
        <w:rPr>
          <w:rFonts w:hint="eastAsia" w:ascii="宋体" w:hAnsi="宋体" w:eastAsia="宋体" w:cs="宋体"/>
          <w:sz w:val="28"/>
          <w:szCs w:val="28"/>
          <w:lang w:eastAsia="zh-CN"/>
        </w:rPr>
      </w:pPr>
      <w:bookmarkStart w:id="106" w:name="_Toc17782"/>
    </w:p>
    <w:p w14:paraId="7C24A112">
      <w:pPr>
        <w:rPr>
          <w:rFonts w:hint="eastAsia" w:ascii="宋体" w:hAnsi="宋体" w:eastAsia="宋体" w:cs="宋体"/>
          <w:sz w:val="28"/>
          <w:szCs w:val="28"/>
          <w:lang w:eastAsia="zh-CN"/>
        </w:rPr>
      </w:pPr>
    </w:p>
    <w:p w14:paraId="4FD6533A">
      <w:pPr>
        <w:pStyle w:val="28"/>
        <w:rPr>
          <w:rFonts w:hint="eastAsia" w:ascii="宋体" w:hAnsi="宋体" w:eastAsia="宋体" w:cs="宋体"/>
          <w:sz w:val="28"/>
          <w:szCs w:val="28"/>
          <w:lang w:eastAsia="zh-CN"/>
        </w:rPr>
      </w:pPr>
    </w:p>
    <w:p w14:paraId="0C147A4A">
      <w:pPr>
        <w:pStyle w:val="28"/>
        <w:rPr>
          <w:rFonts w:hint="eastAsia" w:ascii="宋体" w:hAnsi="宋体" w:eastAsia="宋体" w:cs="宋体"/>
          <w:sz w:val="28"/>
          <w:szCs w:val="28"/>
          <w:lang w:eastAsia="zh-CN"/>
        </w:rPr>
      </w:pPr>
    </w:p>
    <w:p w14:paraId="28B669DB">
      <w:pPr>
        <w:pStyle w:val="28"/>
        <w:rPr>
          <w:rFonts w:hint="eastAsia" w:ascii="宋体" w:hAnsi="宋体" w:eastAsia="宋体" w:cs="宋体"/>
          <w:sz w:val="28"/>
          <w:szCs w:val="28"/>
          <w:lang w:eastAsia="zh-CN"/>
        </w:rPr>
      </w:pPr>
    </w:p>
    <w:p w14:paraId="5B953E6B">
      <w:pPr>
        <w:pStyle w:val="28"/>
        <w:rPr>
          <w:rFonts w:hint="eastAsia" w:ascii="宋体" w:hAnsi="宋体" w:eastAsia="宋体" w:cs="宋体"/>
          <w:sz w:val="28"/>
          <w:szCs w:val="28"/>
          <w:lang w:eastAsia="zh-CN"/>
        </w:rPr>
      </w:pPr>
    </w:p>
    <w:p w14:paraId="28075263">
      <w:pPr>
        <w:pStyle w:val="28"/>
        <w:rPr>
          <w:rFonts w:hint="eastAsia" w:ascii="宋体" w:hAnsi="宋体" w:eastAsia="宋体" w:cs="宋体"/>
          <w:sz w:val="28"/>
          <w:szCs w:val="28"/>
          <w:lang w:eastAsia="zh-CN"/>
        </w:rPr>
      </w:pPr>
    </w:p>
    <w:p w14:paraId="265EA5BC">
      <w:pPr>
        <w:pStyle w:val="28"/>
        <w:rPr>
          <w:rFonts w:hint="eastAsia" w:ascii="宋体" w:hAnsi="宋体" w:eastAsia="宋体" w:cs="宋体"/>
          <w:sz w:val="28"/>
          <w:szCs w:val="28"/>
          <w:lang w:eastAsia="zh-CN"/>
        </w:rPr>
      </w:pPr>
    </w:p>
    <w:p w14:paraId="0EE1F54F">
      <w:pPr>
        <w:pStyle w:val="28"/>
        <w:rPr>
          <w:rFonts w:hint="eastAsia" w:ascii="宋体" w:hAnsi="宋体" w:eastAsia="宋体" w:cs="宋体"/>
          <w:sz w:val="28"/>
          <w:szCs w:val="28"/>
          <w:lang w:eastAsia="zh-CN"/>
        </w:rPr>
      </w:pPr>
    </w:p>
    <w:p w14:paraId="384EA62D">
      <w:pPr>
        <w:pStyle w:val="28"/>
        <w:rPr>
          <w:rFonts w:hint="eastAsia" w:ascii="宋体" w:hAnsi="宋体" w:eastAsia="宋体" w:cs="宋体"/>
          <w:sz w:val="28"/>
          <w:szCs w:val="28"/>
          <w:lang w:eastAsia="zh-CN"/>
        </w:rPr>
      </w:pPr>
    </w:p>
    <w:p w14:paraId="500AEEFF">
      <w:pPr>
        <w:pStyle w:val="28"/>
        <w:rPr>
          <w:rFonts w:hint="eastAsia" w:ascii="宋体" w:hAnsi="宋体" w:eastAsia="宋体" w:cs="宋体"/>
          <w:sz w:val="28"/>
          <w:szCs w:val="28"/>
          <w:lang w:eastAsia="zh-CN"/>
        </w:rPr>
      </w:pPr>
    </w:p>
    <w:p w14:paraId="5AA95EDD">
      <w:pPr>
        <w:pStyle w:val="3"/>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106"/>
    </w:p>
    <w:p w14:paraId="57C4CC94">
      <w:pPr>
        <w:spacing w:line="500" w:lineRule="exact"/>
        <w:jc w:val="center"/>
        <w:rPr>
          <w:rFonts w:ascii="宋体" w:hAnsi="宋体"/>
          <w:b/>
          <w:sz w:val="32"/>
        </w:rPr>
      </w:pPr>
    </w:p>
    <w:p w14:paraId="676A047C">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1E7650EF">
      <w:pPr>
        <w:spacing w:line="900" w:lineRule="exact"/>
        <w:rPr>
          <w:rFonts w:ascii="宋体" w:hAnsi="宋体"/>
          <w:b/>
          <w:sz w:val="72"/>
        </w:rPr>
      </w:pPr>
    </w:p>
    <w:p w14:paraId="5441A5AD">
      <w:pPr>
        <w:spacing w:line="900" w:lineRule="exact"/>
        <w:jc w:val="center"/>
        <w:rPr>
          <w:rFonts w:ascii="宋体" w:hAnsi="宋体"/>
          <w:b/>
          <w:sz w:val="72"/>
        </w:rPr>
      </w:pPr>
      <w:r>
        <w:rPr>
          <w:rFonts w:hint="eastAsia" w:ascii="宋体" w:hAnsi="宋体"/>
          <w:b/>
          <w:sz w:val="72"/>
        </w:rPr>
        <w:t>响</w:t>
      </w:r>
    </w:p>
    <w:p w14:paraId="0908E5D8">
      <w:pPr>
        <w:spacing w:line="900" w:lineRule="exact"/>
        <w:jc w:val="center"/>
        <w:rPr>
          <w:rFonts w:ascii="宋体" w:hAnsi="宋体"/>
          <w:b/>
          <w:sz w:val="72"/>
        </w:rPr>
      </w:pPr>
    </w:p>
    <w:p w14:paraId="0F82F599">
      <w:pPr>
        <w:spacing w:line="900" w:lineRule="exact"/>
        <w:jc w:val="center"/>
        <w:rPr>
          <w:rFonts w:ascii="宋体" w:hAnsi="宋体"/>
          <w:b/>
          <w:sz w:val="72"/>
        </w:rPr>
      </w:pPr>
      <w:r>
        <w:rPr>
          <w:rFonts w:hint="eastAsia" w:ascii="宋体" w:hAnsi="宋体"/>
          <w:b/>
          <w:sz w:val="72"/>
        </w:rPr>
        <w:t>应</w:t>
      </w:r>
    </w:p>
    <w:p w14:paraId="550A5B7B">
      <w:pPr>
        <w:spacing w:line="900" w:lineRule="exact"/>
        <w:jc w:val="center"/>
        <w:rPr>
          <w:rFonts w:ascii="宋体" w:hAnsi="宋体"/>
          <w:b/>
          <w:sz w:val="72"/>
        </w:rPr>
      </w:pPr>
    </w:p>
    <w:p w14:paraId="62FBB8C8">
      <w:pPr>
        <w:spacing w:line="900" w:lineRule="exact"/>
        <w:jc w:val="center"/>
        <w:rPr>
          <w:rFonts w:ascii="宋体" w:hAnsi="宋体"/>
          <w:b/>
          <w:sz w:val="72"/>
        </w:rPr>
      </w:pPr>
      <w:r>
        <w:rPr>
          <w:rFonts w:hint="eastAsia" w:ascii="宋体" w:hAnsi="宋体"/>
          <w:b/>
          <w:sz w:val="72"/>
        </w:rPr>
        <w:t>文</w:t>
      </w:r>
    </w:p>
    <w:p w14:paraId="7ADA153A">
      <w:pPr>
        <w:spacing w:line="900" w:lineRule="exact"/>
        <w:jc w:val="center"/>
        <w:rPr>
          <w:rFonts w:ascii="宋体" w:hAnsi="宋体"/>
          <w:b/>
          <w:sz w:val="72"/>
        </w:rPr>
      </w:pPr>
    </w:p>
    <w:p w14:paraId="7BC9C18A">
      <w:pPr>
        <w:jc w:val="center"/>
        <w:rPr>
          <w:rFonts w:ascii="宋体" w:hAnsi="宋体"/>
          <w:b/>
          <w:sz w:val="72"/>
        </w:rPr>
      </w:pPr>
      <w:r>
        <w:rPr>
          <w:rFonts w:hint="eastAsia" w:ascii="宋体" w:hAnsi="宋体"/>
          <w:b/>
          <w:sz w:val="72"/>
        </w:rPr>
        <w:t>件</w:t>
      </w:r>
    </w:p>
    <w:p w14:paraId="526298D0">
      <w:pPr>
        <w:spacing w:after="156" w:afterLines="50"/>
        <w:jc w:val="center"/>
        <w:rPr>
          <w:rFonts w:ascii="宋体" w:hAnsi="宋体"/>
          <w:b/>
          <w:sz w:val="72"/>
        </w:rPr>
      </w:pPr>
    </w:p>
    <w:p w14:paraId="44C29087">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63B973D1">
      <w:pPr>
        <w:spacing w:after="156" w:afterLines="50" w:line="500" w:lineRule="exact"/>
        <w:jc w:val="center"/>
        <w:rPr>
          <w:rFonts w:ascii="宋体" w:hAnsi="宋体"/>
          <w:b/>
          <w:sz w:val="72"/>
        </w:rPr>
      </w:pPr>
    </w:p>
    <w:p w14:paraId="30062B27">
      <w:pPr>
        <w:spacing w:after="156" w:afterLines="50" w:line="500" w:lineRule="exact"/>
        <w:ind w:firstLine="1606" w:firstLineChars="500"/>
        <w:rPr>
          <w:rFonts w:ascii="宋体" w:hAnsi="宋体"/>
          <w:b/>
          <w:sz w:val="32"/>
          <w:u w:val="single"/>
        </w:rPr>
      </w:pPr>
      <w:r>
        <w:rPr>
          <w:rFonts w:hint="eastAsia" w:ascii="宋体" w:hAnsi="宋体"/>
          <w:b/>
          <w:sz w:val="32"/>
        </w:rPr>
        <w:t>供应商：</w:t>
      </w:r>
    </w:p>
    <w:p w14:paraId="5EAF306F">
      <w:pPr>
        <w:spacing w:after="156" w:afterLines="50" w:line="500" w:lineRule="exact"/>
        <w:jc w:val="center"/>
        <w:rPr>
          <w:rFonts w:ascii="宋体" w:hAnsi="宋体"/>
          <w:b/>
          <w:sz w:val="32"/>
        </w:rPr>
      </w:pPr>
      <w:r>
        <w:rPr>
          <w:rFonts w:hint="eastAsia" w:ascii="宋体" w:hAnsi="宋体"/>
          <w:b/>
          <w:sz w:val="32"/>
        </w:rPr>
        <w:t>年  月  日</w:t>
      </w:r>
    </w:p>
    <w:p w14:paraId="22125ABC">
      <w:pPr>
        <w:spacing w:after="156" w:afterLines="50" w:line="500" w:lineRule="exact"/>
        <w:jc w:val="center"/>
        <w:rPr>
          <w:rFonts w:ascii="宋体" w:hAnsi="宋体"/>
          <w:b/>
          <w:sz w:val="32"/>
        </w:rPr>
      </w:pPr>
    </w:p>
    <w:p w14:paraId="373CED2B">
      <w:pPr>
        <w:spacing w:line="360" w:lineRule="auto"/>
        <w:rPr>
          <w:rFonts w:ascii="宋体" w:hAnsi="宋体"/>
          <w:sz w:val="24"/>
          <w:szCs w:val="28"/>
        </w:rPr>
      </w:pPr>
    </w:p>
    <w:bookmarkEnd w:id="103"/>
    <w:p w14:paraId="7C6A9EA0">
      <w:pPr>
        <w:pStyle w:val="3"/>
        <w:spacing w:before="0" w:after="0" w:line="560" w:lineRule="exact"/>
        <w:jc w:val="center"/>
        <w:rPr>
          <w:rFonts w:ascii="宋体" w:hAnsi="宋体" w:eastAsia="宋体" w:cs="宋体"/>
          <w:sz w:val="24"/>
          <w:szCs w:val="24"/>
        </w:rPr>
      </w:pPr>
      <w:bookmarkStart w:id="107" w:name="_Toc6123"/>
      <w:r>
        <w:rPr>
          <w:rFonts w:hint="eastAsia" w:ascii="宋体" w:hAnsi="宋体" w:eastAsia="宋体" w:cs="宋体"/>
          <w:sz w:val="24"/>
          <w:szCs w:val="24"/>
        </w:rPr>
        <w:t>响应文件资料清单</w:t>
      </w:r>
      <w:bookmarkEnd w:id="107"/>
    </w:p>
    <w:tbl>
      <w:tblPr>
        <w:tblStyle w:val="3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3B22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DBF5C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序号</w:t>
            </w:r>
          </w:p>
        </w:tc>
        <w:tc>
          <w:tcPr>
            <w:tcW w:w="6038" w:type="dxa"/>
            <w:vAlign w:val="center"/>
          </w:tcPr>
          <w:p w14:paraId="1025B7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资料名称</w:t>
            </w:r>
          </w:p>
        </w:tc>
        <w:tc>
          <w:tcPr>
            <w:tcW w:w="1417" w:type="dxa"/>
            <w:vAlign w:val="center"/>
          </w:tcPr>
          <w:p w14:paraId="3457E0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b/>
                <w:sz w:val="24"/>
              </w:rPr>
              <w:t>备注</w:t>
            </w:r>
          </w:p>
        </w:tc>
      </w:tr>
      <w:tr w14:paraId="3AC8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CB864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rPr>
            </w:pPr>
            <w:r>
              <w:rPr>
                <w:rFonts w:hint="eastAsia" w:ascii="Tahoma" w:hAnsi="Tahoma"/>
                <w:sz w:val="24"/>
              </w:rPr>
              <w:t>一</w:t>
            </w:r>
          </w:p>
        </w:tc>
        <w:tc>
          <w:tcPr>
            <w:tcW w:w="6038" w:type="dxa"/>
            <w:vAlign w:val="center"/>
          </w:tcPr>
          <w:p w14:paraId="21BCED4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sz w:val="24"/>
              </w:rPr>
            </w:pPr>
            <w:r>
              <w:rPr>
                <w:rFonts w:hint="eastAsia" w:ascii="宋体" w:hAnsi="宋体"/>
                <w:sz w:val="24"/>
                <w:szCs w:val="24"/>
              </w:rPr>
              <w:t>报价单</w:t>
            </w:r>
          </w:p>
        </w:tc>
        <w:tc>
          <w:tcPr>
            <w:tcW w:w="1417" w:type="dxa"/>
            <w:vAlign w:val="center"/>
          </w:tcPr>
          <w:p w14:paraId="311902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p>
        </w:tc>
      </w:tr>
      <w:tr w14:paraId="221A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1AD3B2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rPr>
            </w:pPr>
            <w:r>
              <w:rPr>
                <w:rFonts w:hint="eastAsia" w:ascii="Tahoma" w:hAnsi="Tahoma"/>
                <w:sz w:val="24"/>
              </w:rPr>
              <w:t>二</w:t>
            </w:r>
          </w:p>
        </w:tc>
        <w:tc>
          <w:tcPr>
            <w:tcW w:w="6038" w:type="dxa"/>
            <w:vAlign w:val="center"/>
          </w:tcPr>
          <w:p w14:paraId="7C0CC81C">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sz w:val="24"/>
              </w:rPr>
            </w:pPr>
            <w:r>
              <w:rPr>
                <w:rFonts w:hint="eastAsia" w:ascii="Tahoma" w:hAnsi="Tahoma"/>
                <w:sz w:val="24"/>
              </w:rPr>
              <w:t>供应商基本信息</w:t>
            </w:r>
          </w:p>
        </w:tc>
        <w:tc>
          <w:tcPr>
            <w:tcW w:w="1417" w:type="dxa"/>
            <w:vAlign w:val="center"/>
          </w:tcPr>
          <w:p w14:paraId="2C098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p>
        </w:tc>
      </w:tr>
      <w:tr w14:paraId="380F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89518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rPr>
            </w:pPr>
            <w:r>
              <w:rPr>
                <w:rFonts w:hint="eastAsia" w:ascii="Tahoma" w:hAnsi="Tahoma"/>
                <w:sz w:val="24"/>
              </w:rPr>
              <w:t>三</w:t>
            </w:r>
          </w:p>
        </w:tc>
        <w:tc>
          <w:tcPr>
            <w:tcW w:w="6038" w:type="dxa"/>
            <w:vAlign w:val="center"/>
          </w:tcPr>
          <w:p w14:paraId="78D89CCC">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宋体" w:hAnsi="宋体"/>
                <w:szCs w:val="24"/>
              </w:rPr>
              <w:t>谈判授权书</w:t>
            </w:r>
          </w:p>
        </w:tc>
        <w:tc>
          <w:tcPr>
            <w:tcW w:w="1417" w:type="dxa"/>
            <w:vAlign w:val="center"/>
          </w:tcPr>
          <w:p w14:paraId="6E07E2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p>
        </w:tc>
      </w:tr>
      <w:tr w14:paraId="65AA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AA5F0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rPr>
            </w:pPr>
            <w:r>
              <w:rPr>
                <w:rFonts w:hint="eastAsia" w:ascii="Tahoma" w:hAnsi="Tahoma"/>
                <w:sz w:val="24"/>
              </w:rPr>
              <w:t>四</w:t>
            </w:r>
          </w:p>
        </w:tc>
        <w:tc>
          <w:tcPr>
            <w:tcW w:w="6038" w:type="dxa"/>
            <w:vAlign w:val="center"/>
          </w:tcPr>
          <w:p w14:paraId="54B104A7">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宋体" w:hAnsi="宋体"/>
                <w:szCs w:val="24"/>
              </w:rPr>
              <w:t>谈判响应函</w:t>
            </w:r>
          </w:p>
        </w:tc>
        <w:tc>
          <w:tcPr>
            <w:tcW w:w="1417" w:type="dxa"/>
            <w:vAlign w:val="center"/>
          </w:tcPr>
          <w:p w14:paraId="623AFE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p>
        </w:tc>
      </w:tr>
      <w:tr w14:paraId="7C40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2714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rPr>
            </w:pPr>
            <w:r>
              <w:rPr>
                <w:rFonts w:hint="eastAsia" w:ascii="Tahoma" w:hAnsi="Tahoma"/>
                <w:sz w:val="24"/>
              </w:rPr>
              <w:t>五</w:t>
            </w:r>
          </w:p>
        </w:tc>
        <w:tc>
          <w:tcPr>
            <w:tcW w:w="6038" w:type="dxa"/>
            <w:vAlign w:val="center"/>
          </w:tcPr>
          <w:p w14:paraId="79C5E4F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12733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p>
        </w:tc>
      </w:tr>
      <w:tr w14:paraId="7EE3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3EE14F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sz w:val="24"/>
              </w:rPr>
            </w:pPr>
            <w:r>
              <w:rPr>
                <w:rFonts w:hint="eastAsia" w:ascii="Tahoma" w:hAnsi="Tahoma"/>
                <w:sz w:val="24"/>
              </w:rPr>
              <w:t>六</w:t>
            </w:r>
          </w:p>
        </w:tc>
        <w:tc>
          <w:tcPr>
            <w:tcW w:w="6038" w:type="dxa"/>
            <w:vAlign w:val="center"/>
          </w:tcPr>
          <w:p w14:paraId="2D0BD8B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rPr>
            </w:pPr>
            <w:r>
              <w:rPr>
                <w:rFonts w:hint="eastAsia" w:ascii="宋体" w:hAnsi="宋体" w:cs="宋体"/>
                <w:sz w:val="24"/>
                <w:szCs w:val="24"/>
              </w:rPr>
              <w:t>响应情况表</w:t>
            </w:r>
          </w:p>
        </w:tc>
        <w:tc>
          <w:tcPr>
            <w:tcW w:w="1417" w:type="dxa"/>
            <w:vAlign w:val="center"/>
          </w:tcPr>
          <w:p w14:paraId="7FC26CD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rPr>
            </w:pPr>
          </w:p>
        </w:tc>
      </w:tr>
      <w:tr w14:paraId="21C2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2BCAFA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sz w:val="24"/>
                <w:lang w:eastAsia="zh-CN"/>
              </w:rPr>
            </w:pPr>
            <w:r>
              <w:rPr>
                <w:rFonts w:hint="eastAsia" w:ascii="Tahoma" w:hAnsi="Tahoma"/>
                <w:sz w:val="24"/>
                <w:lang w:eastAsia="zh-CN"/>
              </w:rPr>
              <w:t>七</w:t>
            </w:r>
          </w:p>
        </w:tc>
        <w:tc>
          <w:tcPr>
            <w:tcW w:w="6038" w:type="dxa"/>
            <w:vAlign w:val="center"/>
          </w:tcPr>
          <w:p w14:paraId="24C16AF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rPr>
            </w:pPr>
            <w:bookmarkStart w:id="108" w:name="_Toc1904"/>
            <w:bookmarkStart w:id="109" w:name="_Toc14653"/>
            <w:bookmarkStart w:id="110" w:name="_Toc16318"/>
            <w:r>
              <w:rPr>
                <w:rStyle w:val="56"/>
                <w:rFonts w:hint="eastAsia" w:ascii="宋体" w:hAnsi="宋体" w:eastAsia="宋体" w:cs="宋体"/>
                <w:b w:val="0"/>
                <w:bCs/>
                <w:sz w:val="24"/>
                <w:szCs w:val="24"/>
              </w:rPr>
              <w:t>中小企业声明函、</w:t>
            </w:r>
            <w:bookmarkEnd w:id="108"/>
            <w:bookmarkEnd w:id="109"/>
            <w:bookmarkEnd w:id="110"/>
            <w:r>
              <w:rPr>
                <w:rFonts w:hint="eastAsia" w:ascii="宋体" w:hAnsi="宋体" w:cs="宋体"/>
                <w:bCs/>
                <w:sz w:val="24"/>
                <w:szCs w:val="24"/>
              </w:rPr>
              <w:t>残疾人福利性单位声明函</w:t>
            </w:r>
          </w:p>
        </w:tc>
        <w:tc>
          <w:tcPr>
            <w:tcW w:w="1417" w:type="dxa"/>
            <w:vAlign w:val="center"/>
          </w:tcPr>
          <w:p w14:paraId="789DED9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rPr>
            </w:pPr>
          </w:p>
        </w:tc>
      </w:tr>
      <w:tr w14:paraId="1FE8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0A9142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sz w:val="24"/>
                <w:lang w:eastAsia="zh-CN"/>
              </w:rPr>
            </w:pPr>
            <w:r>
              <w:rPr>
                <w:rFonts w:hint="eastAsia" w:ascii="Tahoma" w:hAnsi="Tahoma"/>
                <w:sz w:val="24"/>
                <w:lang w:eastAsia="zh-CN"/>
              </w:rPr>
              <w:t>八</w:t>
            </w:r>
          </w:p>
        </w:tc>
        <w:tc>
          <w:tcPr>
            <w:tcW w:w="6038" w:type="dxa"/>
            <w:vAlign w:val="center"/>
          </w:tcPr>
          <w:p w14:paraId="071EF9F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4A70978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rPr>
            </w:pPr>
          </w:p>
        </w:tc>
      </w:tr>
      <w:tr w14:paraId="3CDE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37D223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ahoma" w:hAnsi="Tahoma" w:eastAsia="宋体"/>
                <w:sz w:val="24"/>
                <w:lang w:eastAsia="zh-CN"/>
              </w:rPr>
            </w:pPr>
          </w:p>
        </w:tc>
        <w:tc>
          <w:tcPr>
            <w:tcW w:w="6038" w:type="dxa"/>
            <w:vAlign w:val="center"/>
          </w:tcPr>
          <w:p w14:paraId="1EDAF5E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rPr>
            </w:pPr>
          </w:p>
        </w:tc>
        <w:tc>
          <w:tcPr>
            <w:tcW w:w="1417" w:type="dxa"/>
            <w:vAlign w:val="center"/>
          </w:tcPr>
          <w:p w14:paraId="103B3B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rPr>
            </w:pPr>
          </w:p>
        </w:tc>
      </w:tr>
      <w:tr w14:paraId="6129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079AAB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lang w:val="en-US" w:eastAsia="zh-CN"/>
              </w:rPr>
            </w:pPr>
          </w:p>
        </w:tc>
        <w:tc>
          <w:tcPr>
            <w:tcW w:w="6038" w:type="dxa"/>
            <w:vAlign w:val="center"/>
          </w:tcPr>
          <w:p w14:paraId="2C4DF58E">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417" w:type="dxa"/>
            <w:vAlign w:val="center"/>
          </w:tcPr>
          <w:p w14:paraId="3C179EB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rPr>
            </w:pPr>
          </w:p>
        </w:tc>
      </w:tr>
      <w:tr w14:paraId="769B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7A5068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6038" w:type="dxa"/>
            <w:vAlign w:val="center"/>
          </w:tcPr>
          <w:p w14:paraId="54CA49EA">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417" w:type="dxa"/>
            <w:vAlign w:val="center"/>
          </w:tcPr>
          <w:p w14:paraId="2BF28AE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rPr>
            </w:pPr>
          </w:p>
        </w:tc>
      </w:tr>
      <w:tr w14:paraId="6263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665F4F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6038" w:type="dxa"/>
            <w:vAlign w:val="center"/>
          </w:tcPr>
          <w:p w14:paraId="728C855D">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c>
          <w:tcPr>
            <w:tcW w:w="1417" w:type="dxa"/>
            <w:vAlign w:val="center"/>
          </w:tcPr>
          <w:p w14:paraId="262F43B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sz w:val="24"/>
              </w:rPr>
            </w:pPr>
          </w:p>
        </w:tc>
      </w:tr>
    </w:tbl>
    <w:p w14:paraId="7ED6BF4A">
      <w:pPr>
        <w:spacing w:line="360" w:lineRule="auto"/>
        <w:jc w:val="center"/>
        <w:rPr>
          <w:rFonts w:ascii="宋体" w:hAnsi="宋体"/>
          <w:b/>
          <w:sz w:val="24"/>
        </w:rPr>
      </w:pPr>
    </w:p>
    <w:p w14:paraId="5AB8996C">
      <w:pPr>
        <w:spacing w:line="360" w:lineRule="auto"/>
        <w:jc w:val="center"/>
        <w:rPr>
          <w:rFonts w:ascii="宋体" w:hAnsi="宋体"/>
          <w:b/>
          <w:sz w:val="24"/>
        </w:rPr>
      </w:pPr>
    </w:p>
    <w:p w14:paraId="14B52CD1">
      <w:pPr>
        <w:spacing w:line="360" w:lineRule="auto"/>
        <w:jc w:val="center"/>
        <w:rPr>
          <w:rFonts w:ascii="宋体" w:hAnsi="宋体"/>
          <w:b/>
          <w:sz w:val="24"/>
        </w:rPr>
      </w:pPr>
    </w:p>
    <w:p w14:paraId="1C13FD49">
      <w:pPr>
        <w:rPr>
          <w:rFonts w:ascii="宋体" w:hAnsi="宋体" w:cs="宋体"/>
          <w:sz w:val="24"/>
          <w:szCs w:val="24"/>
        </w:rPr>
      </w:pPr>
      <w:r>
        <w:rPr>
          <w:rFonts w:hint="eastAsia" w:ascii="宋体" w:hAnsi="宋体" w:cs="宋体"/>
          <w:sz w:val="24"/>
          <w:szCs w:val="24"/>
        </w:rPr>
        <w:br w:type="page"/>
      </w:r>
    </w:p>
    <w:p w14:paraId="4CD4F221">
      <w:pPr>
        <w:pStyle w:val="3"/>
        <w:spacing w:before="0" w:after="0" w:line="560" w:lineRule="exact"/>
        <w:rPr>
          <w:rFonts w:ascii="宋体" w:hAnsi="宋体" w:eastAsia="宋体" w:cs="宋体"/>
          <w:sz w:val="24"/>
          <w:szCs w:val="24"/>
        </w:rPr>
      </w:pPr>
      <w:bookmarkStart w:id="111" w:name="_Toc2536"/>
      <w:r>
        <w:rPr>
          <w:rFonts w:hint="eastAsia" w:ascii="宋体" w:hAnsi="宋体" w:eastAsia="宋体" w:cs="宋体"/>
          <w:sz w:val="24"/>
          <w:szCs w:val="24"/>
        </w:rPr>
        <w:t>附件一</w:t>
      </w:r>
      <w:bookmarkEnd w:id="111"/>
    </w:p>
    <w:p w14:paraId="7F27870D">
      <w:pPr>
        <w:pStyle w:val="3"/>
        <w:spacing w:before="156" w:beforeLines="50" w:after="156" w:afterLines="50" w:line="560" w:lineRule="exact"/>
        <w:jc w:val="center"/>
        <w:rPr>
          <w:rFonts w:ascii="宋体" w:hAnsi="宋体" w:eastAsia="宋体" w:cs="宋体"/>
          <w:sz w:val="24"/>
          <w:szCs w:val="24"/>
        </w:rPr>
      </w:pPr>
      <w:bookmarkStart w:id="112" w:name="_Toc15863"/>
      <w:bookmarkStart w:id="113" w:name="_Toc5601"/>
      <w:bookmarkStart w:id="114" w:name="_Toc21540"/>
      <w:r>
        <w:rPr>
          <w:rFonts w:hint="eastAsia" w:ascii="宋体" w:hAnsi="宋体" w:eastAsia="宋体" w:cs="宋体"/>
          <w:sz w:val="24"/>
          <w:szCs w:val="24"/>
        </w:rPr>
        <w:t>报价单</w:t>
      </w:r>
      <w:bookmarkEnd w:id="112"/>
      <w:bookmarkEnd w:id="113"/>
      <w:bookmarkEnd w:id="114"/>
    </w:p>
    <w:tbl>
      <w:tblPr>
        <w:tblStyle w:val="3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045E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56C802EF">
            <w:pPr>
              <w:jc w:val="center"/>
              <w:rPr>
                <w:rFonts w:ascii="宋体" w:hAnsi="宋体"/>
                <w:b/>
                <w:sz w:val="24"/>
                <w:szCs w:val="24"/>
              </w:rPr>
            </w:pPr>
            <w:r>
              <w:rPr>
                <w:rFonts w:hint="eastAsia" w:ascii="宋体" w:hAnsi="宋体"/>
                <w:b/>
                <w:sz w:val="24"/>
                <w:szCs w:val="24"/>
              </w:rPr>
              <w:t>序号</w:t>
            </w:r>
          </w:p>
        </w:tc>
        <w:tc>
          <w:tcPr>
            <w:tcW w:w="4078" w:type="dxa"/>
            <w:vAlign w:val="center"/>
          </w:tcPr>
          <w:p w14:paraId="6429DB8C">
            <w:pPr>
              <w:jc w:val="center"/>
              <w:rPr>
                <w:rFonts w:ascii="宋体" w:hAnsi="宋体"/>
                <w:b/>
                <w:sz w:val="24"/>
                <w:szCs w:val="24"/>
              </w:rPr>
            </w:pPr>
            <w:r>
              <w:rPr>
                <w:rFonts w:hint="eastAsia" w:ascii="宋体" w:hAnsi="宋体"/>
                <w:b/>
                <w:sz w:val="24"/>
                <w:szCs w:val="24"/>
              </w:rPr>
              <w:t>服务内容</w:t>
            </w:r>
          </w:p>
        </w:tc>
        <w:tc>
          <w:tcPr>
            <w:tcW w:w="1214" w:type="dxa"/>
            <w:vAlign w:val="center"/>
          </w:tcPr>
          <w:p w14:paraId="50280E1F">
            <w:pPr>
              <w:jc w:val="center"/>
              <w:rPr>
                <w:rFonts w:ascii="宋体" w:hAnsi="宋体"/>
                <w:b/>
                <w:sz w:val="24"/>
                <w:szCs w:val="24"/>
              </w:rPr>
            </w:pPr>
            <w:r>
              <w:rPr>
                <w:rFonts w:hint="eastAsia" w:ascii="宋体" w:hAnsi="宋体"/>
                <w:b/>
                <w:sz w:val="24"/>
                <w:szCs w:val="24"/>
              </w:rPr>
              <w:t>项</w:t>
            </w:r>
          </w:p>
        </w:tc>
        <w:tc>
          <w:tcPr>
            <w:tcW w:w="1091" w:type="dxa"/>
            <w:vAlign w:val="center"/>
          </w:tcPr>
          <w:p w14:paraId="19C1D7D7">
            <w:pPr>
              <w:jc w:val="center"/>
              <w:rPr>
                <w:rFonts w:ascii="宋体" w:hAnsi="宋体"/>
                <w:b/>
                <w:sz w:val="24"/>
                <w:szCs w:val="24"/>
              </w:rPr>
            </w:pPr>
            <w:r>
              <w:rPr>
                <w:rFonts w:hint="eastAsia" w:ascii="宋体" w:hAnsi="宋体"/>
                <w:b/>
                <w:sz w:val="24"/>
                <w:szCs w:val="24"/>
              </w:rPr>
              <w:t>单价</w:t>
            </w:r>
          </w:p>
        </w:tc>
        <w:tc>
          <w:tcPr>
            <w:tcW w:w="1821" w:type="dxa"/>
            <w:vAlign w:val="center"/>
          </w:tcPr>
          <w:p w14:paraId="45F00CC3">
            <w:pPr>
              <w:jc w:val="center"/>
              <w:rPr>
                <w:rFonts w:ascii="宋体" w:hAnsi="宋体"/>
                <w:b/>
                <w:sz w:val="24"/>
                <w:szCs w:val="24"/>
              </w:rPr>
            </w:pPr>
            <w:r>
              <w:rPr>
                <w:rFonts w:hint="eastAsia" w:ascii="宋体" w:hAnsi="宋体"/>
                <w:b/>
                <w:sz w:val="24"/>
                <w:szCs w:val="24"/>
              </w:rPr>
              <w:t>小计金额（元）</w:t>
            </w:r>
          </w:p>
        </w:tc>
      </w:tr>
      <w:tr w14:paraId="5689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44475032">
            <w:pPr>
              <w:jc w:val="center"/>
              <w:rPr>
                <w:rFonts w:ascii="宋体" w:hAnsi="宋体"/>
                <w:bCs/>
                <w:sz w:val="24"/>
                <w:szCs w:val="24"/>
              </w:rPr>
            </w:pPr>
            <w:r>
              <w:rPr>
                <w:rFonts w:hint="eastAsia" w:ascii="宋体" w:hAnsi="宋体"/>
                <w:bCs/>
                <w:sz w:val="24"/>
                <w:szCs w:val="24"/>
              </w:rPr>
              <w:t>1</w:t>
            </w:r>
          </w:p>
        </w:tc>
        <w:tc>
          <w:tcPr>
            <w:tcW w:w="4078" w:type="dxa"/>
            <w:vAlign w:val="center"/>
          </w:tcPr>
          <w:p w14:paraId="3029DDD8">
            <w:pPr>
              <w:keepNext w:val="0"/>
              <w:keepLines w:val="0"/>
              <w:widowControl/>
              <w:suppressLineNumbers w:val="0"/>
              <w:jc w:val="center"/>
              <w:textAlignment w:val="center"/>
              <w:rPr>
                <w:rFonts w:ascii="宋体" w:hAnsi="宋体"/>
                <w:bCs/>
                <w:sz w:val="24"/>
                <w:szCs w:val="24"/>
              </w:rPr>
            </w:pPr>
            <w:r>
              <w:rPr>
                <w:rFonts w:hint="eastAsia" w:ascii="宋体" w:hAnsi="宋体" w:eastAsia="宋体" w:cs="宋体"/>
                <w:i w:val="0"/>
                <w:iCs w:val="0"/>
                <w:color w:val="000000"/>
                <w:kern w:val="0"/>
                <w:sz w:val="24"/>
                <w:szCs w:val="24"/>
                <w:u w:val="none"/>
                <w:lang w:val="en-US" w:eastAsia="zh-CN" w:bidi="ar"/>
              </w:rPr>
              <w:t>中央级媒体宣传</w:t>
            </w:r>
          </w:p>
        </w:tc>
        <w:tc>
          <w:tcPr>
            <w:tcW w:w="1214" w:type="dxa"/>
            <w:vAlign w:val="center"/>
          </w:tcPr>
          <w:p w14:paraId="3E026BD8">
            <w:pPr>
              <w:jc w:val="center"/>
              <w:rPr>
                <w:rFonts w:ascii="宋体" w:hAnsi="宋体"/>
                <w:bCs/>
                <w:sz w:val="24"/>
                <w:szCs w:val="24"/>
              </w:rPr>
            </w:pPr>
          </w:p>
        </w:tc>
        <w:tc>
          <w:tcPr>
            <w:tcW w:w="1091" w:type="dxa"/>
            <w:vAlign w:val="center"/>
          </w:tcPr>
          <w:p w14:paraId="6A93467A">
            <w:pPr>
              <w:jc w:val="center"/>
              <w:rPr>
                <w:rFonts w:ascii="宋体" w:hAnsi="宋体"/>
                <w:bCs/>
                <w:sz w:val="24"/>
                <w:szCs w:val="24"/>
              </w:rPr>
            </w:pPr>
          </w:p>
        </w:tc>
        <w:tc>
          <w:tcPr>
            <w:tcW w:w="1821" w:type="dxa"/>
            <w:vAlign w:val="center"/>
          </w:tcPr>
          <w:p w14:paraId="1D11E12E">
            <w:pPr>
              <w:jc w:val="center"/>
              <w:rPr>
                <w:rFonts w:ascii="宋体" w:hAnsi="宋体"/>
                <w:bCs/>
                <w:sz w:val="24"/>
                <w:szCs w:val="24"/>
              </w:rPr>
            </w:pPr>
          </w:p>
        </w:tc>
      </w:tr>
      <w:tr w14:paraId="44A0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0B5944E">
            <w:pPr>
              <w:jc w:val="center"/>
              <w:rPr>
                <w:rFonts w:ascii="宋体" w:hAnsi="宋体"/>
                <w:bCs/>
                <w:sz w:val="24"/>
                <w:szCs w:val="24"/>
              </w:rPr>
            </w:pPr>
            <w:r>
              <w:rPr>
                <w:rFonts w:hint="eastAsia" w:ascii="宋体" w:hAnsi="宋体"/>
                <w:bCs/>
                <w:sz w:val="24"/>
                <w:szCs w:val="24"/>
              </w:rPr>
              <w:t>2</w:t>
            </w:r>
          </w:p>
        </w:tc>
        <w:tc>
          <w:tcPr>
            <w:tcW w:w="4078" w:type="dxa"/>
            <w:vAlign w:val="center"/>
          </w:tcPr>
          <w:p w14:paraId="1D1B7244">
            <w:pPr>
              <w:keepNext w:val="0"/>
              <w:keepLines w:val="0"/>
              <w:widowControl/>
              <w:suppressLineNumbers w:val="0"/>
              <w:jc w:val="center"/>
              <w:textAlignment w:val="center"/>
              <w:rPr>
                <w:rFonts w:ascii="宋体" w:hAnsi="宋体"/>
                <w:bCs/>
                <w:sz w:val="24"/>
                <w:szCs w:val="24"/>
              </w:rPr>
            </w:pPr>
            <w:r>
              <w:rPr>
                <w:rFonts w:hint="eastAsia" w:ascii="宋体" w:hAnsi="宋体" w:eastAsia="宋体" w:cs="宋体"/>
                <w:i w:val="0"/>
                <w:iCs w:val="0"/>
                <w:color w:val="000000"/>
                <w:kern w:val="0"/>
                <w:sz w:val="24"/>
                <w:szCs w:val="24"/>
                <w:u w:val="none"/>
                <w:lang w:val="en-US" w:eastAsia="zh-CN" w:bidi="ar"/>
              </w:rPr>
              <w:t>省级媒体宣传</w:t>
            </w:r>
          </w:p>
        </w:tc>
        <w:tc>
          <w:tcPr>
            <w:tcW w:w="1214" w:type="dxa"/>
            <w:vAlign w:val="center"/>
          </w:tcPr>
          <w:p w14:paraId="69FF98BA">
            <w:pPr>
              <w:jc w:val="center"/>
              <w:rPr>
                <w:rFonts w:ascii="宋体" w:hAnsi="宋体"/>
                <w:bCs/>
                <w:sz w:val="24"/>
                <w:szCs w:val="24"/>
              </w:rPr>
            </w:pPr>
          </w:p>
        </w:tc>
        <w:tc>
          <w:tcPr>
            <w:tcW w:w="1091" w:type="dxa"/>
            <w:vAlign w:val="center"/>
          </w:tcPr>
          <w:p w14:paraId="06609B7F">
            <w:pPr>
              <w:jc w:val="center"/>
              <w:rPr>
                <w:rFonts w:ascii="宋体" w:hAnsi="宋体"/>
                <w:bCs/>
                <w:sz w:val="24"/>
                <w:szCs w:val="24"/>
              </w:rPr>
            </w:pPr>
          </w:p>
        </w:tc>
        <w:tc>
          <w:tcPr>
            <w:tcW w:w="1821" w:type="dxa"/>
            <w:vAlign w:val="center"/>
          </w:tcPr>
          <w:p w14:paraId="7FCE7139">
            <w:pPr>
              <w:jc w:val="center"/>
              <w:rPr>
                <w:rFonts w:ascii="宋体" w:hAnsi="宋体"/>
                <w:bCs/>
                <w:sz w:val="24"/>
                <w:szCs w:val="24"/>
              </w:rPr>
            </w:pPr>
          </w:p>
        </w:tc>
      </w:tr>
      <w:tr w14:paraId="22B9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F0AF7C2">
            <w:pPr>
              <w:jc w:val="center"/>
              <w:rPr>
                <w:rFonts w:ascii="宋体" w:hAnsi="宋体"/>
                <w:bCs/>
                <w:sz w:val="24"/>
                <w:szCs w:val="24"/>
              </w:rPr>
            </w:pPr>
            <w:r>
              <w:rPr>
                <w:rFonts w:hint="eastAsia" w:ascii="宋体" w:hAnsi="宋体"/>
                <w:bCs/>
                <w:sz w:val="24"/>
                <w:szCs w:val="24"/>
              </w:rPr>
              <w:t>3</w:t>
            </w:r>
          </w:p>
        </w:tc>
        <w:tc>
          <w:tcPr>
            <w:tcW w:w="4078" w:type="dxa"/>
            <w:vAlign w:val="center"/>
          </w:tcPr>
          <w:p w14:paraId="425BCBB3">
            <w:pPr>
              <w:keepNext w:val="0"/>
              <w:keepLines w:val="0"/>
              <w:widowControl/>
              <w:suppressLineNumbers w:val="0"/>
              <w:jc w:val="center"/>
              <w:textAlignment w:val="center"/>
              <w:rPr>
                <w:rFonts w:ascii="宋体" w:hAnsi="宋体"/>
                <w:bCs/>
                <w:sz w:val="24"/>
                <w:szCs w:val="24"/>
              </w:rPr>
            </w:pPr>
            <w:r>
              <w:rPr>
                <w:rFonts w:hint="eastAsia" w:ascii="宋体" w:hAnsi="宋体" w:eastAsia="宋体" w:cs="宋体"/>
                <w:i w:val="0"/>
                <w:iCs w:val="0"/>
                <w:color w:val="000000"/>
                <w:kern w:val="0"/>
                <w:sz w:val="24"/>
                <w:szCs w:val="24"/>
                <w:u w:val="none"/>
                <w:lang w:val="en-US" w:eastAsia="zh-CN" w:bidi="ar"/>
              </w:rPr>
              <w:t>市级媒体宣传</w:t>
            </w:r>
          </w:p>
        </w:tc>
        <w:tc>
          <w:tcPr>
            <w:tcW w:w="1214" w:type="dxa"/>
            <w:vAlign w:val="center"/>
          </w:tcPr>
          <w:p w14:paraId="35EE9402">
            <w:pPr>
              <w:jc w:val="center"/>
              <w:rPr>
                <w:rFonts w:ascii="宋体" w:hAnsi="宋体"/>
                <w:bCs/>
                <w:sz w:val="24"/>
                <w:szCs w:val="24"/>
              </w:rPr>
            </w:pPr>
          </w:p>
        </w:tc>
        <w:tc>
          <w:tcPr>
            <w:tcW w:w="1091" w:type="dxa"/>
            <w:vAlign w:val="center"/>
          </w:tcPr>
          <w:p w14:paraId="3249F635">
            <w:pPr>
              <w:jc w:val="center"/>
              <w:rPr>
                <w:rFonts w:ascii="宋体" w:hAnsi="宋体"/>
                <w:bCs/>
                <w:sz w:val="24"/>
                <w:szCs w:val="24"/>
              </w:rPr>
            </w:pPr>
          </w:p>
        </w:tc>
        <w:tc>
          <w:tcPr>
            <w:tcW w:w="1821" w:type="dxa"/>
            <w:vAlign w:val="center"/>
          </w:tcPr>
          <w:p w14:paraId="3DEE09B6">
            <w:pPr>
              <w:jc w:val="center"/>
              <w:rPr>
                <w:rFonts w:ascii="宋体" w:hAnsi="宋体"/>
                <w:bCs/>
                <w:sz w:val="24"/>
                <w:szCs w:val="24"/>
              </w:rPr>
            </w:pPr>
          </w:p>
        </w:tc>
      </w:tr>
      <w:tr w14:paraId="5E9F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553DA0F">
            <w:pPr>
              <w:jc w:val="center"/>
              <w:rPr>
                <w:rFonts w:hint="eastAsia" w:ascii="宋体" w:hAnsi="宋体" w:eastAsia="宋体"/>
                <w:bCs/>
                <w:sz w:val="24"/>
                <w:szCs w:val="24"/>
                <w:lang w:eastAsia="zh-CN"/>
              </w:rPr>
            </w:pPr>
            <w:r>
              <w:rPr>
                <w:rFonts w:hint="eastAsia" w:ascii="宋体" w:hAnsi="宋体"/>
                <w:bCs/>
                <w:sz w:val="24"/>
                <w:szCs w:val="24"/>
                <w:lang w:val="en-US" w:eastAsia="zh-CN"/>
              </w:rPr>
              <w:t>4</w:t>
            </w:r>
          </w:p>
        </w:tc>
        <w:tc>
          <w:tcPr>
            <w:tcW w:w="4078" w:type="dxa"/>
            <w:vAlign w:val="center"/>
          </w:tcPr>
          <w:p w14:paraId="123EFFF9">
            <w:pPr>
              <w:keepNext w:val="0"/>
              <w:keepLines w:val="0"/>
              <w:widowControl/>
              <w:suppressLineNumbers w:val="0"/>
              <w:jc w:val="center"/>
              <w:textAlignment w:val="center"/>
              <w:rPr>
                <w:rFonts w:ascii="宋体" w:hAnsi="宋体"/>
                <w:bCs/>
                <w:sz w:val="24"/>
                <w:szCs w:val="24"/>
              </w:rPr>
            </w:pPr>
            <w:r>
              <w:rPr>
                <w:rFonts w:hint="eastAsia" w:ascii="宋体" w:hAnsi="宋体" w:eastAsia="宋体" w:cs="宋体"/>
                <w:i w:val="0"/>
                <w:iCs w:val="0"/>
                <w:color w:val="000000"/>
                <w:kern w:val="0"/>
                <w:sz w:val="24"/>
                <w:szCs w:val="24"/>
                <w:u w:val="none"/>
                <w:lang w:val="en-US" w:eastAsia="zh-CN" w:bidi="ar"/>
              </w:rPr>
              <w:t>县融媒体中心各平台宣传</w:t>
            </w:r>
          </w:p>
        </w:tc>
        <w:tc>
          <w:tcPr>
            <w:tcW w:w="1214" w:type="dxa"/>
            <w:vAlign w:val="center"/>
          </w:tcPr>
          <w:p w14:paraId="37769E5B">
            <w:pPr>
              <w:jc w:val="center"/>
              <w:rPr>
                <w:rFonts w:ascii="宋体" w:hAnsi="宋体"/>
                <w:bCs/>
                <w:sz w:val="24"/>
                <w:szCs w:val="24"/>
              </w:rPr>
            </w:pPr>
          </w:p>
        </w:tc>
        <w:tc>
          <w:tcPr>
            <w:tcW w:w="1091" w:type="dxa"/>
            <w:vAlign w:val="center"/>
          </w:tcPr>
          <w:p w14:paraId="3A43E4FA">
            <w:pPr>
              <w:jc w:val="center"/>
              <w:rPr>
                <w:rFonts w:ascii="宋体" w:hAnsi="宋体"/>
                <w:bCs/>
                <w:sz w:val="24"/>
                <w:szCs w:val="24"/>
              </w:rPr>
            </w:pPr>
          </w:p>
        </w:tc>
        <w:tc>
          <w:tcPr>
            <w:tcW w:w="1821" w:type="dxa"/>
            <w:vAlign w:val="center"/>
          </w:tcPr>
          <w:p w14:paraId="685E6A50">
            <w:pPr>
              <w:jc w:val="center"/>
              <w:rPr>
                <w:rFonts w:ascii="宋体" w:hAnsi="宋体"/>
                <w:bCs/>
                <w:sz w:val="24"/>
                <w:szCs w:val="24"/>
              </w:rPr>
            </w:pPr>
          </w:p>
        </w:tc>
      </w:tr>
      <w:tr w14:paraId="0C6D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7F1383A7">
            <w:pPr>
              <w:jc w:val="center"/>
              <w:rPr>
                <w:rFonts w:ascii="宋体" w:hAnsi="宋体"/>
                <w:bCs/>
                <w:sz w:val="24"/>
                <w:szCs w:val="24"/>
              </w:rPr>
            </w:pPr>
          </w:p>
        </w:tc>
        <w:tc>
          <w:tcPr>
            <w:tcW w:w="4078" w:type="dxa"/>
            <w:vAlign w:val="center"/>
          </w:tcPr>
          <w:p w14:paraId="522C1C57">
            <w:pPr>
              <w:pStyle w:val="70"/>
              <w:ind w:left="-108"/>
              <w:jc w:val="center"/>
              <w:rPr>
                <w:rFonts w:ascii="宋体" w:hAnsi="宋体"/>
                <w:bCs/>
                <w:szCs w:val="24"/>
              </w:rPr>
            </w:pPr>
          </w:p>
        </w:tc>
        <w:tc>
          <w:tcPr>
            <w:tcW w:w="1214" w:type="dxa"/>
            <w:vAlign w:val="center"/>
          </w:tcPr>
          <w:p w14:paraId="0F64FF65">
            <w:pPr>
              <w:jc w:val="center"/>
              <w:rPr>
                <w:rFonts w:ascii="宋体" w:hAnsi="宋体"/>
                <w:bCs/>
                <w:sz w:val="24"/>
                <w:szCs w:val="24"/>
              </w:rPr>
            </w:pPr>
          </w:p>
        </w:tc>
        <w:tc>
          <w:tcPr>
            <w:tcW w:w="1091" w:type="dxa"/>
            <w:vAlign w:val="center"/>
          </w:tcPr>
          <w:p w14:paraId="6E48A29D">
            <w:pPr>
              <w:jc w:val="center"/>
              <w:rPr>
                <w:rFonts w:ascii="宋体" w:hAnsi="宋体"/>
                <w:bCs/>
                <w:sz w:val="24"/>
                <w:szCs w:val="24"/>
              </w:rPr>
            </w:pPr>
          </w:p>
        </w:tc>
        <w:tc>
          <w:tcPr>
            <w:tcW w:w="1821" w:type="dxa"/>
            <w:vAlign w:val="center"/>
          </w:tcPr>
          <w:p w14:paraId="49AF22A0">
            <w:pPr>
              <w:jc w:val="center"/>
              <w:rPr>
                <w:rFonts w:ascii="宋体" w:hAnsi="宋体"/>
                <w:bCs/>
                <w:sz w:val="24"/>
                <w:szCs w:val="24"/>
              </w:rPr>
            </w:pPr>
          </w:p>
        </w:tc>
      </w:tr>
      <w:tr w14:paraId="1667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D79B6A6">
            <w:pPr>
              <w:jc w:val="center"/>
              <w:rPr>
                <w:rFonts w:ascii="宋体" w:hAnsi="宋体"/>
                <w:bCs/>
                <w:sz w:val="24"/>
                <w:szCs w:val="24"/>
              </w:rPr>
            </w:pPr>
          </w:p>
        </w:tc>
        <w:tc>
          <w:tcPr>
            <w:tcW w:w="4078" w:type="dxa"/>
            <w:vAlign w:val="center"/>
          </w:tcPr>
          <w:p w14:paraId="7E57ED4F">
            <w:pPr>
              <w:jc w:val="center"/>
              <w:rPr>
                <w:rFonts w:ascii="宋体" w:hAnsi="宋体"/>
                <w:bCs/>
                <w:sz w:val="24"/>
                <w:szCs w:val="24"/>
              </w:rPr>
            </w:pPr>
            <w:r>
              <w:rPr>
                <w:rFonts w:ascii="宋体" w:hAnsi="宋体"/>
                <w:bCs/>
                <w:sz w:val="24"/>
                <w:szCs w:val="24"/>
              </w:rPr>
              <w:t>……</w:t>
            </w:r>
          </w:p>
        </w:tc>
        <w:tc>
          <w:tcPr>
            <w:tcW w:w="1214" w:type="dxa"/>
            <w:vAlign w:val="center"/>
          </w:tcPr>
          <w:p w14:paraId="26D00787">
            <w:pPr>
              <w:jc w:val="center"/>
              <w:rPr>
                <w:rFonts w:ascii="宋体" w:hAnsi="宋体"/>
                <w:bCs/>
                <w:sz w:val="24"/>
                <w:szCs w:val="24"/>
              </w:rPr>
            </w:pPr>
          </w:p>
        </w:tc>
        <w:tc>
          <w:tcPr>
            <w:tcW w:w="1091" w:type="dxa"/>
            <w:vAlign w:val="center"/>
          </w:tcPr>
          <w:p w14:paraId="337513A8">
            <w:pPr>
              <w:jc w:val="center"/>
              <w:rPr>
                <w:rFonts w:ascii="宋体" w:hAnsi="宋体"/>
                <w:bCs/>
                <w:sz w:val="24"/>
                <w:szCs w:val="24"/>
              </w:rPr>
            </w:pPr>
          </w:p>
        </w:tc>
        <w:tc>
          <w:tcPr>
            <w:tcW w:w="1821" w:type="dxa"/>
            <w:vAlign w:val="center"/>
          </w:tcPr>
          <w:p w14:paraId="6C23B314">
            <w:pPr>
              <w:jc w:val="center"/>
              <w:rPr>
                <w:rFonts w:ascii="宋体" w:hAnsi="宋体"/>
                <w:bCs/>
                <w:sz w:val="24"/>
                <w:szCs w:val="24"/>
              </w:rPr>
            </w:pPr>
          </w:p>
        </w:tc>
      </w:tr>
      <w:tr w14:paraId="0DFA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68A96BDA">
            <w:pPr>
              <w:jc w:val="center"/>
              <w:rPr>
                <w:rFonts w:hint="eastAsia" w:ascii="宋体" w:hAnsi="宋体" w:eastAsia="宋体"/>
                <w:bCs/>
                <w:sz w:val="24"/>
                <w:szCs w:val="24"/>
                <w:lang w:val="en-US" w:eastAsia="zh-CN"/>
              </w:rPr>
            </w:pPr>
            <w:r>
              <w:rPr>
                <w:rFonts w:hint="eastAsia" w:ascii="宋体" w:hAnsi="宋体"/>
                <w:bCs/>
                <w:sz w:val="24"/>
                <w:szCs w:val="24"/>
              </w:rPr>
              <w:t>合计金额（元）</w:t>
            </w:r>
            <w:r>
              <w:rPr>
                <w:rFonts w:hint="eastAsia" w:ascii="宋体" w:hAnsi="宋体"/>
                <w:bCs/>
                <w:sz w:val="24"/>
                <w:szCs w:val="24"/>
                <w:lang w:eastAsia="zh-CN"/>
              </w:rPr>
              <w:t>：</w:t>
            </w:r>
            <w:r>
              <w:rPr>
                <w:rFonts w:hint="eastAsia" w:ascii="宋体" w:hAnsi="宋体"/>
                <w:bCs/>
                <w:sz w:val="24"/>
                <w:szCs w:val="24"/>
                <w:lang w:val="en-US" w:eastAsia="zh-CN"/>
              </w:rPr>
              <w:t>含税价</w:t>
            </w:r>
          </w:p>
        </w:tc>
        <w:tc>
          <w:tcPr>
            <w:tcW w:w="1821" w:type="dxa"/>
            <w:vAlign w:val="center"/>
          </w:tcPr>
          <w:p w14:paraId="6AA5A85B">
            <w:pPr>
              <w:jc w:val="center"/>
              <w:rPr>
                <w:rFonts w:ascii="宋体" w:hAnsi="宋体"/>
                <w:bCs/>
                <w:sz w:val="24"/>
                <w:szCs w:val="24"/>
              </w:rPr>
            </w:pPr>
          </w:p>
        </w:tc>
      </w:tr>
    </w:tbl>
    <w:p w14:paraId="2838DD5A">
      <w:pPr>
        <w:snapToGrid w:val="0"/>
        <w:spacing w:line="360" w:lineRule="auto"/>
        <w:rPr>
          <w:rFonts w:ascii="宋体" w:hAnsi="宋体"/>
          <w:bCs/>
          <w:sz w:val="24"/>
          <w:szCs w:val="24"/>
        </w:rPr>
      </w:pPr>
    </w:p>
    <w:p w14:paraId="6E286654">
      <w:pPr>
        <w:snapToGrid w:val="0"/>
        <w:spacing w:line="360" w:lineRule="auto"/>
        <w:rPr>
          <w:rFonts w:ascii="宋体" w:hAnsi="宋体"/>
          <w:bCs/>
          <w:sz w:val="24"/>
          <w:szCs w:val="24"/>
        </w:rPr>
      </w:pPr>
    </w:p>
    <w:p w14:paraId="0A392996">
      <w:pPr>
        <w:spacing w:line="560" w:lineRule="exact"/>
        <w:ind w:right="480"/>
        <w:jc w:val="center"/>
        <w:rPr>
          <w:rFonts w:ascii="宋体" w:hAnsi="宋体"/>
          <w:b/>
          <w:bCs/>
          <w:sz w:val="24"/>
          <w:szCs w:val="24"/>
        </w:rPr>
      </w:pPr>
      <w:r>
        <w:rPr>
          <w:rFonts w:hint="eastAsia" w:ascii="宋体" w:hAnsi="宋体"/>
          <w:b/>
          <w:bCs/>
          <w:sz w:val="24"/>
          <w:szCs w:val="24"/>
        </w:rPr>
        <w:t xml:space="preserve">                              供应商</w:t>
      </w:r>
      <w:r>
        <w:rPr>
          <w:rFonts w:hint="eastAsia" w:ascii="宋体" w:hAnsi="宋体"/>
          <w:b/>
          <w:bCs/>
          <w:sz w:val="24"/>
          <w:szCs w:val="24"/>
          <w:lang w:val="en-US" w:eastAsia="zh-CN"/>
        </w:rPr>
        <w:t>盖</w:t>
      </w:r>
      <w:r>
        <w:rPr>
          <w:rFonts w:hint="eastAsia" w:ascii="宋体" w:hAnsi="宋体"/>
          <w:b/>
          <w:bCs/>
          <w:sz w:val="24"/>
          <w:szCs w:val="24"/>
        </w:rPr>
        <w:t>章：</w:t>
      </w:r>
    </w:p>
    <w:p w14:paraId="20C230A4">
      <w:pPr>
        <w:spacing w:line="560" w:lineRule="exact"/>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26F474E0">
      <w:pPr>
        <w:adjustRightInd w:val="0"/>
        <w:snapToGrid w:val="0"/>
        <w:spacing w:line="360" w:lineRule="auto"/>
        <w:rPr>
          <w:rFonts w:ascii="宋体" w:hAnsi="宋体"/>
          <w:b/>
          <w:sz w:val="24"/>
          <w:szCs w:val="24"/>
        </w:rPr>
      </w:pPr>
    </w:p>
    <w:p w14:paraId="35424B9C">
      <w:pPr>
        <w:adjustRightInd w:val="0"/>
        <w:snapToGrid w:val="0"/>
        <w:spacing w:line="360" w:lineRule="auto"/>
        <w:rPr>
          <w:rFonts w:ascii="宋体" w:hAnsi="宋体"/>
          <w:b/>
          <w:sz w:val="24"/>
          <w:szCs w:val="24"/>
        </w:rPr>
      </w:pPr>
    </w:p>
    <w:p w14:paraId="5DFF5F18">
      <w:pPr>
        <w:adjustRightInd w:val="0"/>
        <w:snapToGrid w:val="0"/>
        <w:spacing w:line="360" w:lineRule="auto"/>
        <w:rPr>
          <w:b/>
          <w:sz w:val="24"/>
          <w:szCs w:val="24"/>
        </w:rPr>
      </w:pPr>
      <w:r>
        <w:rPr>
          <w:rFonts w:hint="eastAsia" w:ascii="宋体" w:hAnsi="宋体"/>
          <w:b/>
          <w:sz w:val="24"/>
          <w:szCs w:val="24"/>
        </w:rPr>
        <w:t>注：表中所列服务为对应本项目需求的全部服务内容。如有漏项或缺项，投标供应商承担全部责任。</w:t>
      </w:r>
    </w:p>
    <w:p w14:paraId="6DAC09E4">
      <w:pPr>
        <w:spacing w:line="360" w:lineRule="auto"/>
        <w:rPr>
          <w:sz w:val="24"/>
          <w:szCs w:val="24"/>
        </w:rPr>
      </w:pPr>
    </w:p>
    <w:p w14:paraId="36A12CD6">
      <w:pPr>
        <w:spacing w:line="360" w:lineRule="auto"/>
        <w:rPr>
          <w:sz w:val="24"/>
          <w:szCs w:val="24"/>
        </w:rPr>
      </w:pPr>
    </w:p>
    <w:p w14:paraId="7D6007D7">
      <w:pPr>
        <w:spacing w:line="360" w:lineRule="auto"/>
        <w:rPr>
          <w:sz w:val="24"/>
          <w:szCs w:val="24"/>
        </w:rPr>
      </w:pPr>
    </w:p>
    <w:p w14:paraId="123601E7">
      <w:pPr>
        <w:spacing w:line="360" w:lineRule="auto"/>
        <w:rPr>
          <w:sz w:val="24"/>
          <w:szCs w:val="24"/>
        </w:rPr>
      </w:pPr>
    </w:p>
    <w:p w14:paraId="0B103682">
      <w:pPr>
        <w:spacing w:line="360" w:lineRule="auto"/>
        <w:rPr>
          <w:sz w:val="24"/>
          <w:szCs w:val="24"/>
        </w:rPr>
      </w:pPr>
    </w:p>
    <w:p w14:paraId="6242388E">
      <w:pPr>
        <w:spacing w:line="360" w:lineRule="auto"/>
        <w:rPr>
          <w:sz w:val="24"/>
          <w:szCs w:val="24"/>
        </w:rPr>
      </w:pPr>
    </w:p>
    <w:p w14:paraId="61926871">
      <w:pPr>
        <w:spacing w:line="360" w:lineRule="auto"/>
        <w:rPr>
          <w:sz w:val="24"/>
          <w:szCs w:val="24"/>
        </w:rPr>
      </w:pPr>
    </w:p>
    <w:p w14:paraId="0D76BDE7">
      <w:pPr>
        <w:jc w:val="left"/>
        <w:rPr>
          <w:rFonts w:ascii="宋体" w:hAnsi="宋体"/>
          <w:b/>
          <w:sz w:val="32"/>
          <w:szCs w:val="32"/>
        </w:rPr>
      </w:pPr>
      <w:r>
        <w:rPr>
          <w:rFonts w:hint="eastAsia" w:ascii="宋体" w:hAnsi="宋体"/>
          <w:b/>
          <w:sz w:val="32"/>
          <w:szCs w:val="32"/>
        </w:rPr>
        <w:br w:type="page"/>
      </w:r>
    </w:p>
    <w:p w14:paraId="59BE2C3C">
      <w:pPr>
        <w:pStyle w:val="3"/>
        <w:spacing w:before="0" w:after="0" w:line="560" w:lineRule="exact"/>
        <w:rPr>
          <w:rFonts w:ascii="宋体" w:hAnsi="宋体" w:eastAsia="宋体" w:cs="宋体"/>
          <w:sz w:val="24"/>
          <w:szCs w:val="24"/>
        </w:rPr>
      </w:pPr>
      <w:bookmarkStart w:id="115" w:name="_Toc9164"/>
      <w:r>
        <w:rPr>
          <w:rFonts w:hint="eastAsia" w:ascii="宋体" w:hAnsi="宋体" w:eastAsia="宋体" w:cs="宋体"/>
          <w:sz w:val="24"/>
          <w:szCs w:val="24"/>
        </w:rPr>
        <w:t>附件二</w:t>
      </w:r>
      <w:bookmarkEnd w:id="115"/>
    </w:p>
    <w:p w14:paraId="222E2322">
      <w:pPr>
        <w:pStyle w:val="3"/>
        <w:spacing w:before="0" w:after="0" w:line="560" w:lineRule="exact"/>
        <w:jc w:val="center"/>
        <w:rPr>
          <w:rFonts w:ascii="宋体" w:hAnsi="宋体" w:eastAsia="宋体" w:cs="宋体"/>
          <w:sz w:val="24"/>
          <w:szCs w:val="24"/>
        </w:rPr>
      </w:pPr>
      <w:bookmarkStart w:id="116" w:name="_Toc17280"/>
      <w:bookmarkStart w:id="117" w:name="_Toc4686"/>
      <w:bookmarkStart w:id="118" w:name="_Toc20406"/>
      <w:r>
        <w:rPr>
          <w:rFonts w:hint="eastAsia" w:ascii="宋体" w:hAnsi="宋体" w:eastAsia="宋体" w:cs="宋体"/>
          <w:sz w:val="24"/>
          <w:szCs w:val="24"/>
        </w:rPr>
        <w:t>供应商基本信息</w:t>
      </w:r>
      <w:bookmarkEnd w:id="116"/>
      <w:bookmarkEnd w:id="117"/>
      <w:bookmarkEnd w:id="118"/>
    </w:p>
    <w:p w14:paraId="6D8F57E1">
      <w:pPr>
        <w:spacing w:line="360" w:lineRule="auto"/>
        <w:jc w:val="center"/>
      </w:pPr>
      <w:r>
        <w:rPr>
          <w:rFonts w:hint="eastAsia"/>
          <w:sz w:val="24"/>
          <w:szCs w:val="24"/>
        </w:rPr>
        <w:t>（</w:t>
      </w:r>
      <w:r>
        <w:rPr>
          <w:rFonts w:hint="eastAsia"/>
          <w:sz w:val="24"/>
          <w:szCs w:val="24"/>
          <w:lang w:eastAsia="zh-CN"/>
        </w:rPr>
        <w:t>营业执照等相关材料</w:t>
      </w:r>
      <w:r>
        <w:rPr>
          <w:rFonts w:hint="eastAsia"/>
          <w:sz w:val="24"/>
          <w:szCs w:val="24"/>
        </w:rPr>
        <w:t>）</w:t>
      </w:r>
    </w:p>
    <w:p w14:paraId="5C549F2F">
      <w:pPr>
        <w:pStyle w:val="3"/>
        <w:spacing w:before="0" w:after="0" w:line="560" w:lineRule="exact"/>
        <w:rPr>
          <w:rFonts w:ascii="宋体" w:hAnsi="宋体" w:eastAsia="宋体" w:cs="宋体"/>
          <w:sz w:val="24"/>
          <w:szCs w:val="24"/>
        </w:rPr>
      </w:pPr>
      <w:bookmarkStart w:id="119" w:name="_Toc18794"/>
      <w:r>
        <w:rPr>
          <w:rFonts w:hint="eastAsia" w:ascii="宋体" w:hAnsi="宋体" w:eastAsia="宋体" w:cs="宋体"/>
          <w:sz w:val="24"/>
          <w:szCs w:val="24"/>
        </w:rPr>
        <w:t>附件三</w:t>
      </w:r>
      <w:bookmarkEnd w:id="119"/>
    </w:p>
    <w:p w14:paraId="7EFCF1F6">
      <w:pPr>
        <w:pStyle w:val="3"/>
        <w:spacing w:before="0" w:after="0" w:line="560" w:lineRule="exact"/>
        <w:jc w:val="center"/>
        <w:rPr>
          <w:rFonts w:ascii="宋体" w:hAnsi="宋体" w:eastAsia="宋体" w:cs="宋体"/>
          <w:sz w:val="24"/>
          <w:szCs w:val="24"/>
        </w:rPr>
      </w:pPr>
      <w:bookmarkStart w:id="120" w:name="_Toc10696"/>
      <w:bookmarkStart w:id="121" w:name="_Toc2697"/>
      <w:bookmarkStart w:id="122" w:name="_Toc25318"/>
      <w:r>
        <w:rPr>
          <w:rFonts w:hint="eastAsia" w:ascii="宋体" w:hAnsi="宋体" w:eastAsia="宋体" w:cs="宋体"/>
          <w:sz w:val="24"/>
          <w:szCs w:val="24"/>
        </w:rPr>
        <w:t>谈判授权书</w:t>
      </w:r>
      <w:bookmarkEnd w:id="120"/>
      <w:bookmarkEnd w:id="121"/>
      <w:bookmarkEnd w:id="122"/>
    </w:p>
    <w:p w14:paraId="39A79380">
      <w:pPr>
        <w:rPr>
          <w:rFonts w:ascii="宋体" w:hAnsi="宋体"/>
          <w:sz w:val="24"/>
          <w:szCs w:val="24"/>
        </w:rPr>
      </w:pPr>
    </w:p>
    <w:p w14:paraId="57FCB6E4">
      <w:pPr>
        <w:spacing w:line="480" w:lineRule="auto"/>
        <w:jc w:val="left"/>
        <w:rPr>
          <w:rFonts w:ascii="宋体" w:hAnsi="宋体"/>
          <w:sz w:val="24"/>
          <w:szCs w:val="24"/>
        </w:rPr>
      </w:pPr>
      <w:r>
        <w:rPr>
          <w:rFonts w:hint="eastAsia" w:ascii="宋体" w:hAnsi="宋体"/>
          <w:sz w:val="24"/>
          <w:szCs w:val="24"/>
        </w:rPr>
        <w:t>致：_________________</w:t>
      </w:r>
    </w:p>
    <w:p w14:paraId="528F78B5">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14:paraId="6F2EDD8D">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61102428">
      <w:pPr>
        <w:spacing w:line="360" w:lineRule="auto"/>
        <w:jc w:val="left"/>
        <w:rPr>
          <w:rFonts w:ascii="宋体" w:hAnsi="宋体"/>
          <w:sz w:val="24"/>
          <w:szCs w:val="24"/>
        </w:rPr>
      </w:pPr>
    </w:p>
    <w:p w14:paraId="0752DE81">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b/>
          <w:bCs/>
          <w:sz w:val="24"/>
          <w:szCs w:val="24"/>
          <w:lang w:eastAsia="zh-CN"/>
        </w:rPr>
        <w:t>或盖章</w:t>
      </w:r>
      <w:r>
        <w:rPr>
          <w:rFonts w:hint="eastAsia" w:ascii="宋体" w:hAnsi="宋体"/>
          <w:b/>
          <w:bCs/>
          <w:sz w:val="24"/>
          <w:szCs w:val="24"/>
        </w:rPr>
        <w:t>：</w:t>
      </w:r>
      <w:r>
        <w:rPr>
          <w:rFonts w:hint="eastAsia" w:ascii="宋体" w:hAnsi="宋体"/>
          <w:sz w:val="24"/>
          <w:szCs w:val="24"/>
          <w:u w:val="single"/>
        </w:rPr>
        <w:t xml:space="preserve">                            </w:t>
      </w:r>
    </w:p>
    <w:p w14:paraId="2D91A3F6">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061B7D54">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A97A40D">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27894604">
      <w:pPr>
        <w:spacing w:line="360" w:lineRule="auto"/>
        <w:ind w:firstLine="1084" w:firstLineChars="450"/>
        <w:jc w:val="left"/>
        <w:rPr>
          <w:rFonts w:ascii="宋体" w:hAnsi="宋体"/>
          <w:b/>
          <w:bCs/>
          <w:sz w:val="24"/>
          <w:szCs w:val="24"/>
        </w:rPr>
      </w:pPr>
    </w:p>
    <w:p w14:paraId="1BBFCFCD">
      <w:pPr>
        <w:spacing w:line="360" w:lineRule="auto"/>
        <w:ind w:firstLine="1084" w:firstLineChars="450"/>
        <w:jc w:val="left"/>
        <w:rPr>
          <w:rFonts w:ascii="宋体" w:hAnsi="宋体"/>
          <w:sz w:val="24"/>
          <w:szCs w:val="24"/>
        </w:rPr>
      </w:pPr>
      <w:r>
        <w:rPr>
          <w:rFonts w:hint="eastAsia" w:ascii="宋体" w:hAnsi="宋体"/>
          <w:b/>
          <w:bCs/>
          <w:sz w:val="24"/>
          <w:szCs w:val="24"/>
        </w:rPr>
        <w:t>代理人（被授权人）签字</w:t>
      </w:r>
      <w:r>
        <w:rPr>
          <w:rFonts w:hint="eastAsia" w:ascii="宋体" w:hAnsi="宋体"/>
          <w:b/>
          <w:bCs/>
          <w:sz w:val="24"/>
          <w:szCs w:val="24"/>
          <w:lang w:eastAsia="zh-CN"/>
        </w:rPr>
        <w:t>或盖章</w:t>
      </w:r>
      <w:r>
        <w:rPr>
          <w:rFonts w:hint="eastAsia" w:ascii="宋体" w:hAnsi="宋体"/>
          <w:b/>
          <w:bCs/>
          <w:sz w:val="24"/>
          <w:szCs w:val="24"/>
        </w:rPr>
        <w:t>：</w:t>
      </w:r>
      <w:r>
        <w:rPr>
          <w:rFonts w:hint="eastAsia" w:ascii="宋体" w:hAnsi="宋体"/>
          <w:sz w:val="24"/>
          <w:szCs w:val="24"/>
          <w:u w:val="single"/>
        </w:rPr>
        <w:t xml:space="preserve">                     </w:t>
      </w:r>
    </w:p>
    <w:p w14:paraId="2D87CEB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46E6074">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5813B09">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50783EE7">
      <w:pPr>
        <w:spacing w:line="360" w:lineRule="auto"/>
        <w:jc w:val="left"/>
        <w:rPr>
          <w:rFonts w:ascii="宋体" w:hAnsi="宋体"/>
          <w:sz w:val="24"/>
          <w:szCs w:val="24"/>
        </w:rPr>
      </w:pPr>
    </w:p>
    <w:p w14:paraId="33424774">
      <w:pPr>
        <w:wordWrap w:val="0"/>
        <w:spacing w:line="360" w:lineRule="auto"/>
        <w:jc w:val="right"/>
        <w:rPr>
          <w:rFonts w:ascii="宋体" w:hAnsi="宋体"/>
          <w:sz w:val="24"/>
          <w:szCs w:val="24"/>
        </w:rPr>
      </w:pPr>
      <w:r>
        <w:rPr>
          <w:rFonts w:hint="eastAsia" w:ascii="宋体" w:hAnsi="宋体"/>
          <w:sz w:val="24"/>
          <w:szCs w:val="24"/>
        </w:rPr>
        <w:t xml:space="preserve">                                                      </w:t>
      </w:r>
    </w:p>
    <w:p w14:paraId="52100E7F">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cs="宋体"/>
          <w:b/>
          <w:bCs/>
          <w:sz w:val="24"/>
          <w:szCs w:val="24"/>
        </w:rPr>
        <w:t>盖章</w:t>
      </w:r>
      <w:r>
        <w:rPr>
          <w:rFonts w:hint="eastAsia" w:ascii="宋体" w:hAnsi="宋体"/>
          <w:b/>
          <w:bCs/>
          <w:sz w:val="24"/>
          <w:szCs w:val="24"/>
        </w:rPr>
        <w:t>：</w:t>
      </w:r>
    </w:p>
    <w:p w14:paraId="1CF9939E">
      <w:pPr>
        <w:tabs>
          <w:tab w:val="left" w:pos="630"/>
        </w:tabs>
        <w:spacing w:line="360" w:lineRule="auto"/>
        <w:ind w:firstLine="4245" w:firstLineChars="1762"/>
        <w:rPr>
          <w:rFonts w:hint="eastAsia" w:ascii="宋体" w:hAnsi="宋体"/>
          <w:b/>
          <w:bCs/>
          <w:sz w:val="24"/>
          <w:szCs w:val="24"/>
        </w:rPr>
      </w:pPr>
      <w:r>
        <w:rPr>
          <w:rFonts w:hint="eastAsia" w:ascii="宋体" w:hAnsi="宋体"/>
          <w:b/>
          <w:bCs/>
          <w:sz w:val="24"/>
          <w:szCs w:val="24"/>
        </w:rPr>
        <w:t>日期：</w:t>
      </w:r>
    </w:p>
    <w:p w14:paraId="2370F6F3">
      <w:pPr>
        <w:pStyle w:val="28"/>
        <w:rPr>
          <w:rFonts w:hint="eastAsia" w:ascii="宋体" w:hAnsi="宋体"/>
          <w:b/>
          <w:bCs/>
          <w:sz w:val="24"/>
          <w:szCs w:val="24"/>
        </w:rPr>
      </w:pPr>
    </w:p>
    <w:p w14:paraId="3D053715">
      <w:pPr>
        <w:pStyle w:val="28"/>
        <w:rPr>
          <w:rFonts w:hint="eastAsia" w:ascii="宋体" w:hAnsi="宋体"/>
          <w:b/>
          <w:bCs/>
          <w:sz w:val="24"/>
          <w:szCs w:val="24"/>
        </w:rPr>
        <w:sectPr>
          <w:headerReference r:id="rId7" w:type="default"/>
          <w:footerReference r:id="rId9" w:type="default"/>
          <w:headerReference r:id="rId8" w:type="even"/>
          <w:footerReference r:id="rId10" w:type="even"/>
          <w:pgSz w:w="11906" w:h="16838"/>
          <w:pgMar w:top="1440" w:right="1531" w:bottom="1440" w:left="1531" w:header="851" w:footer="992" w:gutter="0"/>
          <w:pgNumType w:fmt="decimal"/>
          <w:cols w:space="425" w:num="1"/>
          <w:docGrid w:type="lines" w:linePitch="312" w:charSpace="0"/>
        </w:sectPr>
      </w:pPr>
    </w:p>
    <w:p w14:paraId="66170475">
      <w:pPr>
        <w:spacing w:line="360" w:lineRule="auto"/>
        <w:rPr>
          <w:rFonts w:ascii="宋体" w:hAnsi="宋体" w:cs="宋体"/>
          <w:b/>
          <w:sz w:val="24"/>
          <w:szCs w:val="24"/>
        </w:rPr>
      </w:pPr>
      <w:r>
        <w:rPr>
          <w:rFonts w:hint="eastAsia" w:ascii="宋体" w:hAnsi="宋体" w:cs="宋体"/>
          <w:b/>
          <w:sz w:val="24"/>
          <w:szCs w:val="24"/>
        </w:rPr>
        <w:t>法定代表人身份证复印件</w:t>
      </w:r>
    </w:p>
    <w:tbl>
      <w:tblPr>
        <w:tblStyle w:val="35"/>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7FAD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jc w:val="center"/>
        </w:trPr>
        <w:tc>
          <w:tcPr>
            <w:tcW w:w="7578" w:type="dxa"/>
          </w:tcPr>
          <w:p w14:paraId="6214F4CF">
            <w:pPr>
              <w:spacing w:line="240" w:lineRule="atLeast"/>
              <w:rPr>
                <w:rFonts w:ascii="宋体" w:hAnsi="宋体" w:cs="宋体"/>
                <w:b/>
                <w:sz w:val="24"/>
                <w:szCs w:val="24"/>
              </w:rPr>
            </w:pPr>
          </w:p>
          <w:p w14:paraId="2658456A">
            <w:pPr>
              <w:spacing w:line="240" w:lineRule="atLeast"/>
              <w:rPr>
                <w:rFonts w:ascii="宋体" w:hAnsi="宋体" w:cs="宋体"/>
                <w:b/>
                <w:sz w:val="24"/>
                <w:szCs w:val="24"/>
              </w:rPr>
            </w:pPr>
            <w:r>
              <w:rPr>
                <w:rFonts w:hint="eastAsia" w:ascii="宋体" w:hAnsi="宋体" w:cs="宋体"/>
                <w:b/>
                <w:sz w:val="24"/>
                <w:szCs w:val="24"/>
              </w:rPr>
              <w:t>此处贴法人代表身份证正面</w:t>
            </w:r>
          </w:p>
          <w:p w14:paraId="02127355">
            <w:pPr>
              <w:spacing w:line="240" w:lineRule="atLeast"/>
              <w:rPr>
                <w:rFonts w:ascii="宋体" w:hAnsi="宋体" w:cs="宋体"/>
                <w:b/>
                <w:sz w:val="24"/>
                <w:szCs w:val="24"/>
              </w:rPr>
            </w:pPr>
          </w:p>
          <w:p w14:paraId="0E28B778">
            <w:pPr>
              <w:spacing w:line="240" w:lineRule="atLeast"/>
              <w:rPr>
                <w:rFonts w:ascii="宋体" w:hAnsi="宋体" w:cs="宋体"/>
                <w:b/>
                <w:sz w:val="24"/>
                <w:szCs w:val="24"/>
              </w:rPr>
            </w:pPr>
          </w:p>
          <w:p w14:paraId="55BA763D">
            <w:pPr>
              <w:spacing w:line="240" w:lineRule="atLeast"/>
              <w:rPr>
                <w:rFonts w:ascii="宋体" w:hAnsi="宋体" w:cs="宋体"/>
                <w:b/>
                <w:sz w:val="24"/>
                <w:szCs w:val="24"/>
              </w:rPr>
            </w:pPr>
          </w:p>
        </w:tc>
      </w:tr>
    </w:tbl>
    <w:p w14:paraId="0BDCACBD">
      <w:pPr>
        <w:spacing w:line="240" w:lineRule="atLeast"/>
        <w:rPr>
          <w:rFonts w:ascii="宋体" w:hAnsi="宋体" w:cs="宋体"/>
          <w:b/>
          <w:sz w:val="24"/>
          <w:szCs w:val="24"/>
        </w:rPr>
      </w:pPr>
    </w:p>
    <w:tbl>
      <w:tblPr>
        <w:tblStyle w:val="35"/>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2BAB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7578" w:type="dxa"/>
          </w:tcPr>
          <w:p w14:paraId="12655779">
            <w:pPr>
              <w:spacing w:line="240" w:lineRule="atLeast"/>
              <w:rPr>
                <w:rFonts w:ascii="宋体" w:hAnsi="宋体" w:cs="宋体"/>
                <w:b/>
                <w:sz w:val="24"/>
                <w:szCs w:val="24"/>
              </w:rPr>
            </w:pPr>
          </w:p>
          <w:p w14:paraId="7686443C">
            <w:pPr>
              <w:spacing w:line="240" w:lineRule="atLeast"/>
              <w:rPr>
                <w:rFonts w:ascii="宋体" w:hAnsi="宋体" w:cs="宋体"/>
                <w:b/>
                <w:sz w:val="24"/>
                <w:szCs w:val="24"/>
              </w:rPr>
            </w:pPr>
            <w:r>
              <w:rPr>
                <w:rFonts w:hint="eastAsia" w:ascii="宋体" w:hAnsi="宋体" w:cs="宋体"/>
                <w:b/>
                <w:sz w:val="24"/>
                <w:szCs w:val="24"/>
              </w:rPr>
              <w:t>此处贴法人代表身份证背面</w:t>
            </w:r>
          </w:p>
          <w:p w14:paraId="3F5A1092">
            <w:pPr>
              <w:spacing w:line="240" w:lineRule="atLeast"/>
              <w:rPr>
                <w:rFonts w:ascii="宋体" w:hAnsi="宋体" w:cs="宋体"/>
                <w:b/>
                <w:sz w:val="24"/>
                <w:szCs w:val="24"/>
              </w:rPr>
            </w:pPr>
          </w:p>
          <w:p w14:paraId="6C818FC3">
            <w:pPr>
              <w:spacing w:line="240" w:lineRule="atLeast"/>
              <w:rPr>
                <w:rFonts w:ascii="宋体" w:hAnsi="宋体" w:cs="宋体"/>
                <w:b/>
                <w:sz w:val="24"/>
                <w:szCs w:val="24"/>
              </w:rPr>
            </w:pPr>
          </w:p>
          <w:p w14:paraId="799B9357">
            <w:pPr>
              <w:spacing w:line="240" w:lineRule="atLeast"/>
              <w:rPr>
                <w:rFonts w:ascii="宋体" w:hAnsi="宋体" w:cs="宋体"/>
                <w:b/>
                <w:sz w:val="24"/>
                <w:szCs w:val="24"/>
              </w:rPr>
            </w:pPr>
          </w:p>
          <w:p w14:paraId="2577799D">
            <w:pPr>
              <w:spacing w:line="240" w:lineRule="atLeast"/>
              <w:rPr>
                <w:rFonts w:ascii="宋体" w:hAnsi="宋体" w:cs="宋体"/>
                <w:b/>
                <w:sz w:val="24"/>
                <w:szCs w:val="24"/>
              </w:rPr>
            </w:pPr>
          </w:p>
        </w:tc>
      </w:tr>
    </w:tbl>
    <w:p w14:paraId="52DE7CC8">
      <w:pPr>
        <w:spacing w:line="240" w:lineRule="atLeast"/>
        <w:rPr>
          <w:rFonts w:ascii="宋体" w:hAnsi="宋体" w:cs="宋体"/>
          <w:b/>
          <w:sz w:val="24"/>
          <w:szCs w:val="24"/>
        </w:rPr>
      </w:pPr>
    </w:p>
    <w:p w14:paraId="341F749C">
      <w:pPr>
        <w:spacing w:line="360" w:lineRule="auto"/>
        <w:ind w:firstLine="540" w:firstLineChars="224"/>
        <w:rPr>
          <w:rFonts w:ascii="宋体" w:hAnsi="宋体" w:cs="宋体"/>
          <w:b/>
          <w:sz w:val="24"/>
          <w:szCs w:val="24"/>
          <w:u w:val="single"/>
        </w:rPr>
      </w:pPr>
      <w:r>
        <w:rPr>
          <w:rFonts w:hint="eastAsia" w:ascii="宋体" w:hAnsi="宋体" w:cs="宋体"/>
          <w:b/>
          <w:sz w:val="24"/>
          <w:szCs w:val="24"/>
        </w:rPr>
        <w:t>法定代表人手机号码：</w:t>
      </w:r>
      <w:r>
        <w:rPr>
          <w:rFonts w:hint="eastAsia" w:ascii="宋体" w:hAnsi="宋体" w:cs="宋体"/>
          <w:b/>
          <w:sz w:val="24"/>
          <w:szCs w:val="24"/>
          <w:u w:val="single"/>
        </w:rPr>
        <w:t xml:space="preserve">                             </w:t>
      </w:r>
      <w:r>
        <w:rPr>
          <w:rFonts w:hint="eastAsia" w:ascii="宋体" w:hAnsi="宋体" w:cs="宋体"/>
          <w:b/>
          <w:sz w:val="24"/>
          <w:szCs w:val="24"/>
        </w:rPr>
        <w:t>；</w:t>
      </w:r>
    </w:p>
    <w:p w14:paraId="2F1A2796">
      <w:pPr>
        <w:spacing w:line="360" w:lineRule="auto"/>
        <w:ind w:firstLine="540" w:firstLineChars="224"/>
        <w:rPr>
          <w:rFonts w:ascii="宋体" w:hAnsi="宋体" w:cs="宋体"/>
          <w:b/>
          <w:sz w:val="24"/>
          <w:szCs w:val="24"/>
        </w:rPr>
      </w:pPr>
      <w:r>
        <w:rPr>
          <w:rFonts w:hint="eastAsia" w:ascii="宋体" w:hAnsi="宋体" w:cs="宋体"/>
          <w:b/>
          <w:sz w:val="24"/>
          <w:szCs w:val="24"/>
        </w:rPr>
        <w:t>法定代表人办公电话：</w:t>
      </w:r>
      <w:r>
        <w:rPr>
          <w:rFonts w:hint="eastAsia" w:ascii="宋体" w:hAnsi="宋体" w:cs="宋体"/>
          <w:b/>
          <w:sz w:val="24"/>
          <w:szCs w:val="24"/>
          <w:u w:val="single"/>
        </w:rPr>
        <w:t xml:space="preserve">                             </w:t>
      </w:r>
      <w:r>
        <w:rPr>
          <w:rFonts w:hint="eastAsia" w:ascii="宋体" w:hAnsi="宋体" w:cs="宋体"/>
          <w:b/>
          <w:sz w:val="24"/>
          <w:szCs w:val="24"/>
        </w:rPr>
        <w:t xml:space="preserve">。  </w:t>
      </w:r>
    </w:p>
    <w:p w14:paraId="037C70A0">
      <w:pPr>
        <w:spacing w:line="360" w:lineRule="auto"/>
        <w:rPr>
          <w:rFonts w:ascii="宋体" w:hAnsi="宋体" w:cs="宋体"/>
          <w:b/>
          <w:sz w:val="24"/>
          <w:szCs w:val="24"/>
        </w:rPr>
      </w:pPr>
    </w:p>
    <w:p w14:paraId="65115B78">
      <w:pPr>
        <w:pStyle w:val="28"/>
        <w:rPr>
          <w:rFonts w:ascii="宋体" w:hAnsi="宋体" w:cs="宋体"/>
          <w:sz w:val="24"/>
          <w:szCs w:val="24"/>
        </w:rPr>
      </w:pPr>
    </w:p>
    <w:p w14:paraId="3FE67280">
      <w:pPr>
        <w:pStyle w:val="28"/>
        <w:rPr>
          <w:rFonts w:ascii="宋体" w:hAnsi="宋体" w:cs="宋体"/>
          <w:sz w:val="24"/>
          <w:szCs w:val="24"/>
        </w:rPr>
      </w:pPr>
    </w:p>
    <w:p w14:paraId="345D40FA">
      <w:pPr>
        <w:rPr>
          <w:rFonts w:ascii="宋体" w:hAnsi="宋体" w:cs="宋体"/>
          <w:sz w:val="24"/>
          <w:szCs w:val="24"/>
        </w:rPr>
      </w:pPr>
    </w:p>
    <w:p w14:paraId="75081A98">
      <w:pPr>
        <w:rPr>
          <w:rFonts w:ascii="宋体" w:hAnsi="宋体" w:cs="宋体"/>
          <w:sz w:val="24"/>
          <w:szCs w:val="24"/>
        </w:rPr>
      </w:pPr>
    </w:p>
    <w:p w14:paraId="402056D3">
      <w:pPr>
        <w:rPr>
          <w:rFonts w:ascii="宋体" w:hAnsi="宋体" w:cs="宋体"/>
          <w:sz w:val="24"/>
          <w:szCs w:val="24"/>
        </w:rPr>
      </w:pPr>
    </w:p>
    <w:p w14:paraId="6A24531E">
      <w:pPr>
        <w:spacing w:line="360" w:lineRule="auto"/>
        <w:rPr>
          <w:rFonts w:ascii="宋体" w:hAnsi="宋体" w:cs="宋体"/>
          <w:b/>
          <w:sz w:val="24"/>
          <w:szCs w:val="24"/>
        </w:rPr>
      </w:pPr>
      <w:r>
        <w:rPr>
          <w:rFonts w:hint="eastAsia" w:ascii="宋体" w:hAnsi="宋体" w:cs="宋体"/>
          <w:b/>
          <w:sz w:val="24"/>
          <w:szCs w:val="24"/>
        </w:rPr>
        <w:t>代理人（被授权人）身份证复印件</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0DF7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jc w:val="center"/>
        </w:trPr>
        <w:tc>
          <w:tcPr>
            <w:tcW w:w="7938" w:type="dxa"/>
          </w:tcPr>
          <w:p w14:paraId="69CEE8D7">
            <w:pPr>
              <w:spacing w:line="240" w:lineRule="atLeast"/>
              <w:rPr>
                <w:rFonts w:ascii="宋体" w:hAnsi="宋体" w:cs="宋体"/>
                <w:b/>
                <w:sz w:val="24"/>
                <w:szCs w:val="24"/>
              </w:rPr>
            </w:pPr>
          </w:p>
          <w:p w14:paraId="51516B6E">
            <w:pPr>
              <w:spacing w:line="240" w:lineRule="atLeast"/>
              <w:rPr>
                <w:rFonts w:ascii="宋体" w:hAnsi="宋体" w:cs="宋体"/>
                <w:b/>
                <w:sz w:val="24"/>
                <w:szCs w:val="24"/>
              </w:rPr>
            </w:pPr>
            <w:r>
              <w:rPr>
                <w:rFonts w:hint="eastAsia" w:ascii="宋体" w:hAnsi="宋体" w:cs="宋体"/>
                <w:b/>
                <w:sz w:val="24"/>
                <w:szCs w:val="24"/>
              </w:rPr>
              <w:t>此处贴代理人（被授权人）身份证正面</w:t>
            </w:r>
          </w:p>
          <w:p w14:paraId="4A5D4A19">
            <w:pPr>
              <w:spacing w:line="240" w:lineRule="atLeast"/>
              <w:rPr>
                <w:rFonts w:ascii="宋体" w:hAnsi="宋体" w:cs="宋体"/>
                <w:b/>
                <w:sz w:val="24"/>
                <w:szCs w:val="24"/>
              </w:rPr>
            </w:pPr>
          </w:p>
          <w:p w14:paraId="049D4A66">
            <w:pPr>
              <w:spacing w:line="240" w:lineRule="atLeast"/>
              <w:rPr>
                <w:rFonts w:ascii="宋体" w:hAnsi="宋体" w:cs="宋体"/>
                <w:b/>
                <w:sz w:val="24"/>
                <w:szCs w:val="24"/>
              </w:rPr>
            </w:pPr>
          </w:p>
          <w:p w14:paraId="12D954FC">
            <w:pPr>
              <w:spacing w:line="240" w:lineRule="atLeast"/>
              <w:rPr>
                <w:rFonts w:ascii="宋体" w:hAnsi="宋体" w:cs="宋体"/>
                <w:b/>
                <w:sz w:val="24"/>
                <w:szCs w:val="24"/>
              </w:rPr>
            </w:pPr>
          </w:p>
        </w:tc>
      </w:tr>
    </w:tbl>
    <w:p w14:paraId="16EDFDCA">
      <w:pPr>
        <w:spacing w:line="240" w:lineRule="atLeast"/>
        <w:rPr>
          <w:rFonts w:ascii="宋体" w:hAnsi="宋体" w:cs="宋体"/>
          <w:b/>
          <w:sz w:val="24"/>
          <w:szCs w:val="24"/>
        </w:rPr>
      </w:pP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5251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7938" w:type="dxa"/>
          </w:tcPr>
          <w:p w14:paraId="3A3A3DEE">
            <w:pPr>
              <w:spacing w:line="240" w:lineRule="atLeast"/>
              <w:rPr>
                <w:rFonts w:ascii="宋体" w:hAnsi="宋体" w:cs="宋体"/>
                <w:b/>
                <w:sz w:val="24"/>
                <w:szCs w:val="24"/>
              </w:rPr>
            </w:pPr>
          </w:p>
          <w:p w14:paraId="630A24AB">
            <w:pPr>
              <w:spacing w:line="240" w:lineRule="atLeast"/>
              <w:rPr>
                <w:rFonts w:ascii="宋体" w:hAnsi="宋体" w:cs="宋体"/>
                <w:b/>
                <w:sz w:val="24"/>
                <w:szCs w:val="24"/>
              </w:rPr>
            </w:pPr>
            <w:r>
              <w:rPr>
                <w:rFonts w:hint="eastAsia" w:ascii="宋体" w:hAnsi="宋体" w:cs="宋体"/>
                <w:b/>
                <w:sz w:val="24"/>
                <w:szCs w:val="24"/>
              </w:rPr>
              <w:t>此处贴代理人（被授权人）身份证背面</w:t>
            </w:r>
          </w:p>
          <w:p w14:paraId="11D2B89D">
            <w:pPr>
              <w:spacing w:line="240" w:lineRule="atLeast"/>
              <w:rPr>
                <w:rFonts w:ascii="宋体" w:hAnsi="宋体" w:cs="宋体"/>
                <w:b/>
                <w:sz w:val="24"/>
                <w:szCs w:val="24"/>
              </w:rPr>
            </w:pPr>
          </w:p>
          <w:p w14:paraId="7BEA1ADC">
            <w:pPr>
              <w:spacing w:line="240" w:lineRule="atLeast"/>
              <w:rPr>
                <w:rFonts w:ascii="宋体" w:hAnsi="宋体" w:cs="宋体"/>
                <w:b/>
                <w:sz w:val="24"/>
                <w:szCs w:val="24"/>
              </w:rPr>
            </w:pPr>
          </w:p>
          <w:p w14:paraId="755B423D">
            <w:pPr>
              <w:spacing w:line="240" w:lineRule="atLeast"/>
              <w:rPr>
                <w:rFonts w:ascii="宋体" w:hAnsi="宋体" w:cs="宋体"/>
                <w:b/>
                <w:sz w:val="24"/>
                <w:szCs w:val="24"/>
              </w:rPr>
            </w:pPr>
          </w:p>
        </w:tc>
      </w:tr>
    </w:tbl>
    <w:p w14:paraId="0BEB33EE">
      <w:pPr>
        <w:spacing w:line="240" w:lineRule="atLeast"/>
        <w:rPr>
          <w:rFonts w:ascii="宋体" w:hAnsi="宋体" w:cs="宋体"/>
          <w:b/>
          <w:sz w:val="24"/>
          <w:szCs w:val="24"/>
        </w:rPr>
      </w:pPr>
    </w:p>
    <w:p w14:paraId="41DA800B">
      <w:pPr>
        <w:spacing w:line="360" w:lineRule="auto"/>
        <w:ind w:firstLine="482" w:firstLineChars="200"/>
        <w:rPr>
          <w:rFonts w:ascii="宋体" w:hAnsi="宋体" w:cs="宋体"/>
          <w:b/>
          <w:sz w:val="24"/>
          <w:szCs w:val="24"/>
          <w:u w:val="single"/>
        </w:rPr>
      </w:pPr>
      <w:r>
        <w:rPr>
          <w:rFonts w:hint="eastAsia" w:ascii="宋体" w:hAnsi="宋体" w:cs="宋体"/>
          <w:b/>
          <w:sz w:val="24"/>
          <w:szCs w:val="24"/>
        </w:rPr>
        <w:t>代理人（被授权人）手机号码：</w:t>
      </w:r>
      <w:r>
        <w:rPr>
          <w:rFonts w:hint="eastAsia" w:ascii="宋体" w:hAnsi="宋体" w:cs="宋体"/>
          <w:b/>
          <w:sz w:val="24"/>
          <w:szCs w:val="24"/>
          <w:u w:val="single"/>
        </w:rPr>
        <w:t xml:space="preserve">                             </w:t>
      </w:r>
      <w:r>
        <w:rPr>
          <w:rFonts w:hint="eastAsia" w:ascii="宋体" w:hAnsi="宋体" w:cs="宋体"/>
          <w:b/>
          <w:sz w:val="24"/>
          <w:szCs w:val="24"/>
        </w:rPr>
        <w:t>；</w:t>
      </w:r>
    </w:p>
    <w:p w14:paraId="2E18AEB7">
      <w:pPr>
        <w:spacing w:line="360" w:lineRule="auto"/>
        <w:ind w:firstLine="482" w:firstLineChars="200"/>
        <w:rPr>
          <w:rFonts w:ascii="宋体" w:hAnsi="宋体" w:cs="宋体"/>
          <w:sz w:val="24"/>
          <w:szCs w:val="24"/>
        </w:rPr>
      </w:pPr>
      <w:r>
        <w:rPr>
          <w:rFonts w:hint="eastAsia" w:ascii="宋体" w:hAnsi="宋体" w:cs="宋体"/>
          <w:b/>
          <w:sz w:val="24"/>
          <w:szCs w:val="24"/>
        </w:rPr>
        <w:t>代理人（被授权人）办公电话：</w:t>
      </w:r>
      <w:r>
        <w:rPr>
          <w:rFonts w:hint="eastAsia" w:ascii="宋体" w:hAnsi="宋体" w:cs="宋体"/>
          <w:b/>
          <w:sz w:val="24"/>
          <w:szCs w:val="24"/>
          <w:u w:val="single"/>
        </w:rPr>
        <w:t xml:space="preserve">                             </w:t>
      </w:r>
      <w:r>
        <w:rPr>
          <w:rFonts w:hint="eastAsia" w:ascii="宋体" w:hAnsi="宋体" w:cs="宋体"/>
          <w:b/>
          <w:sz w:val="24"/>
          <w:szCs w:val="24"/>
        </w:rPr>
        <w:t xml:space="preserve">。  </w:t>
      </w:r>
    </w:p>
    <w:p w14:paraId="1678E96C">
      <w:pPr>
        <w:spacing w:line="360" w:lineRule="auto"/>
        <w:rPr>
          <w:rFonts w:ascii="宋体" w:hAnsi="宋体" w:cs="宋体"/>
          <w:b/>
          <w:sz w:val="24"/>
          <w:szCs w:val="24"/>
        </w:rPr>
      </w:pPr>
      <w:r>
        <w:rPr>
          <w:rFonts w:hint="eastAsia" w:ascii="宋体" w:hAnsi="宋体" w:cs="宋体"/>
          <w:b/>
          <w:sz w:val="24"/>
          <w:szCs w:val="24"/>
        </w:rPr>
        <w:t>特殊说明：</w:t>
      </w:r>
    </w:p>
    <w:p w14:paraId="5BB99A83">
      <w:pPr>
        <w:spacing w:line="360" w:lineRule="auto"/>
        <w:rPr>
          <w:rFonts w:ascii="宋体" w:hAnsi="宋体" w:cs="宋体"/>
          <w:b/>
          <w:sz w:val="24"/>
          <w:szCs w:val="24"/>
        </w:rPr>
      </w:pPr>
      <w:r>
        <w:rPr>
          <w:rFonts w:hint="eastAsia" w:ascii="宋体" w:hAnsi="宋体" w:cs="宋体"/>
          <w:b/>
          <w:sz w:val="24"/>
          <w:szCs w:val="24"/>
        </w:rPr>
        <w:t>1、上述身份证复印件必须清晰；</w:t>
      </w:r>
    </w:p>
    <w:p w14:paraId="07CB7F11">
      <w:pPr>
        <w:spacing w:line="360" w:lineRule="auto"/>
        <w:rPr>
          <w:rFonts w:ascii="宋体" w:hAnsi="宋体" w:cs="宋体"/>
          <w:b/>
          <w:sz w:val="24"/>
          <w:szCs w:val="24"/>
        </w:rPr>
      </w:pPr>
      <w:r>
        <w:rPr>
          <w:rFonts w:hint="eastAsia" w:ascii="宋体" w:hAnsi="宋体" w:cs="宋体"/>
          <w:b/>
          <w:sz w:val="24"/>
          <w:szCs w:val="24"/>
        </w:rPr>
        <w:t>2、法定代表人参加投标的无需提供谈判授权书，仅提供法定代表人身份证明及联系方式即可。</w:t>
      </w:r>
    </w:p>
    <w:p w14:paraId="7F47931F">
      <w:pPr>
        <w:pStyle w:val="28"/>
        <w:rPr>
          <w:rFonts w:hint="eastAsia" w:ascii="宋体" w:hAnsi="宋体"/>
          <w:b/>
          <w:bCs/>
          <w:sz w:val="24"/>
          <w:szCs w:val="24"/>
        </w:rPr>
        <w:sectPr>
          <w:pgSz w:w="11906" w:h="16838"/>
          <w:pgMar w:top="1440" w:right="1531" w:bottom="1440" w:left="1531" w:header="851" w:footer="992" w:gutter="0"/>
          <w:pgNumType w:fmt="decimal"/>
          <w:cols w:space="425" w:num="1"/>
          <w:docGrid w:type="lines" w:linePitch="312" w:charSpace="0"/>
        </w:sectPr>
      </w:pPr>
    </w:p>
    <w:p w14:paraId="7C4DD901">
      <w:pPr>
        <w:pStyle w:val="3"/>
        <w:spacing w:before="0" w:after="0" w:line="560" w:lineRule="exact"/>
        <w:rPr>
          <w:rFonts w:ascii="宋体" w:hAnsi="宋体" w:eastAsia="宋体" w:cs="宋体"/>
          <w:sz w:val="24"/>
          <w:szCs w:val="24"/>
        </w:rPr>
      </w:pPr>
      <w:bookmarkStart w:id="123" w:name="_Toc17885"/>
      <w:r>
        <w:rPr>
          <w:rFonts w:hint="eastAsia" w:ascii="宋体" w:hAnsi="宋体" w:eastAsia="宋体" w:cs="宋体"/>
          <w:sz w:val="24"/>
          <w:szCs w:val="24"/>
        </w:rPr>
        <w:t>附件四</w:t>
      </w:r>
      <w:bookmarkEnd w:id="123"/>
    </w:p>
    <w:p w14:paraId="3FC664E4">
      <w:pPr>
        <w:pStyle w:val="3"/>
        <w:spacing w:before="0" w:after="0" w:line="560" w:lineRule="exact"/>
        <w:jc w:val="center"/>
        <w:rPr>
          <w:rFonts w:ascii="宋体" w:hAnsi="宋体" w:eastAsia="宋体" w:cs="宋体"/>
          <w:sz w:val="24"/>
          <w:szCs w:val="24"/>
        </w:rPr>
      </w:pPr>
      <w:bookmarkStart w:id="124" w:name="_Toc1318"/>
      <w:bookmarkStart w:id="125" w:name="_Toc9758"/>
      <w:bookmarkStart w:id="126" w:name="_Toc417045478"/>
      <w:r>
        <w:rPr>
          <w:rFonts w:hint="eastAsia" w:ascii="宋体" w:hAnsi="宋体" w:eastAsia="宋体" w:cs="宋体"/>
          <w:sz w:val="24"/>
          <w:szCs w:val="24"/>
        </w:rPr>
        <w:t>谈判响应函</w:t>
      </w:r>
      <w:bookmarkEnd w:id="124"/>
      <w:bookmarkEnd w:id="125"/>
    </w:p>
    <w:p w14:paraId="06E955B3">
      <w:pPr>
        <w:spacing w:line="360" w:lineRule="auto"/>
        <w:rPr>
          <w:rFonts w:ascii="宋体" w:hAnsi="宋体"/>
          <w:sz w:val="24"/>
          <w:szCs w:val="24"/>
        </w:rPr>
      </w:pPr>
      <w:r>
        <w:rPr>
          <w:rFonts w:hint="eastAsia" w:ascii="宋体" w:hAnsi="宋体"/>
          <w:sz w:val="24"/>
          <w:szCs w:val="24"/>
        </w:rPr>
        <w:t>致：XXX（代理机构名称）</w:t>
      </w:r>
    </w:p>
    <w:p w14:paraId="26960A76">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（供应商的名称）全权处理本项目谈判的有关事宜。</w:t>
      </w:r>
    </w:p>
    <w:p w14:paraId="52D9CA36">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2、我方愿意按照采购书规定的各项要求，向采购人提供所需的服务。</w:t>
      </w:r>
    </w:p>
    <w:p w14:paraId="06FAA70A">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3、一旦我方中标，我方将严格履行合同规定的责任和义务，保证于采购人要求的日期内完成服务，并交付买方验收、使用。</w:t>
      </w:r>
    </w:p>
    <w:p w14:paraId="647C56EF">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4、如我公司成交，我公司承诺愿意按谈判文件规定缴纳履约保证金。</w:t>
      </w:r>
    </w:p>
    <w:p w14:paraId="14A00571">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5、我方愿意提供贵方可能另外要求的、与谈判有关的文件资料，并保证我方已提供和将要提供的文件是真实的、准确的。</w:t>
      </w:r>
    </w:p>
    <w:p w14:paraId="7D942DC3">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4E3DD137">
      <w:pPr>
        <w:tabs>
          <w:tab w:val="left" w:pos="0"/>
          <w:tab w:val="left" w:pos="840"/>
        </w:tabs>
        <w:spacing w:line="360" w:lineRule="auto"/>
        <w:jc w:val="left"/>
        <w:rPr>
          <w:rFonts w:ascii="宋体" w:hAnsi="宋体"/>
          <w:sz w:val="24"/>
          <w:szCs w:val="24"/>
        </w:rPr>
      </w:pPr>
    </w:p>
    <w:p w14:paraId="5274730E">
      <w:pPr>
        <w:tabs>
          <w:tab w:val="left" w:pos="0"/>
          <w:tab w:val="left" w:pos="840"/>
        </w:tabs>
        <w:rPr>
          <w:rFonts w:ascii="宋体" w:hAnsi="宋体"/>
          <w:sz w:val="24"/>
          <w:szCs w:val="24"/>
        </w:rPr>
      </w:pPr>
    </w:p>
    <w:p w14:paraId="12DC10A9">
      <w:pPr>
        <w:tabs>
          <w:tab w:val="left" w:pos="0"/>
          <w:tab w:val="left" w:pos="840"/>
        </w:tabs>
        <w:rPr>
          <w:rFonts w:ascii="宋体" w:hAnsi="宋体"/>
          <w:sz w:val="24"/>
          <w:szCs w:val="24"/>
        </w:rPr>
      </w:pPr>
    </w:p>
    <w:p w14:paraId="2C4F8D53">
      <w:pPr>
        <w:tabs>
          <w:tab w:val="left" w:pos="0"/>
          <w:tab w:val="left" w:pos="840"/>
        </w:tabs>
        <w:rPr>
          <w:rFonts w:ascii="宋体" w:hAnsi="宋体"/>
          <w:sz w:val="24"/>
          <w:szCs w:val="24"/>
        </w:rPr>
      </w:pPr>
    </w:p>
    <w:p w14:paraId="7EEF8171">
      <w:pPr>
        <w:tabs>
          <w:tab w:val="left" w:pos="0"/>
          <w:tab w:val="left" w:pos="840"/>
        </w:tabs>
        <w:rPr>
          <w:rFonts w:ascii="宋体" w:hAnsi="宋体"/>
          <w:sz w:val="24"/>
          <w:szCs w:val="24"/>
        </w:rPr>
      </w:pPr>
    </w:p>
    <w:p w14:paraId="16DE8CA9">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cs="宋体"/>
          <w:b/>
          <w:bCs/>
          <w:sz w:val="24"/>
          <w:szCs w:val="24"/>
        </w:rPr>
        <w:t>盖章</w:t>
      </w:r>
      <w:r>
        <w:rPr>
          <w:rFonts w:hint="eastAsia" w:ascii="宋体" w:hAnsi="宋体"/>
          <w:b/>
          <w:bCs/>
          <w:sz w:val="24"/>
          <w:szCs w:val="24"/>
        </w:rPr>
        <w:t>：</w:t>
      </w:r>
    </w:p>
    <w:p w14:paraId="6F666F4C">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63B38977">
      <w:pPr>
        <w:pStyle w:val="4"/>
        <w:rPr>
          <w:sz w:val="24"/>
          <w:szCs w:val="24"/>
          <w:lang w:val="en-US"/>
        </w:rPr>
      </w:pPr>
    </w:p>
    <w:p w14:paraId="48596994"/>
    <w:p w14:paraId="7673753A"/>
    <w:p w14:paraId="7E5E363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1E2CF78B">
      <w:pPr>
        <w:pStyle w:val="3"/>
        <w:spacing w:before="0" w:after="0" w:line="560" w:lineRule="exact"/>
        <w:rPr>
          <w:rFonts w:ascii="宋体" w:hAnsi="宋体" w:eastAsia="宋体" w:cs="宋体"/>
          <w:sz w:val="24"/>
          <w:szCs w:val="24"/>
        </w:rPr>
      </w:pPr>
      <w:bookmarkStart w:id="127" w:name="_Toc27501"/>
      <w:r>
        <w:rPr>
          <w:rFonts w:hint="eastAsia" w:ascii="宋体" w:hAnsi="宋体" w:eastAsia="宋体" w:cs="宋体"/>
          <w:sz w:val="24"/>
          <w:szCs w:val="24"/>
        </w:rPr>
        <w:t>附件</w:t>
      </w:r>
      <w:bookmarkEnd w:id="126"/>
      <w:r>
        <w:rPr>
          <w:rFonts w:hint="eastAsia" w:ascii="宋体" w:hAnsi="宋体" w:eastAsia="宋体" w:cs="宋体"/>
          <w:sz w:val="24"/>
          <w:szCs w:val="24"/>
        </w:rPr>
        <w:t>五</w:t>
      </w:r>
      <w:bookmarkEnd w:id="127"/>
    </w:p>
    <w:p w14:paraId="2EA00900">
      <w:pPr>
        <w:pStyle w:val="33"/>
        <w:ind w:firstLine="2891" w:firstLineChars="1200"/>
        <w:rPr>
          <w:rFonts w:ascii="宋体" w:hAnsi="宋体" w:cs="宋体"/>
          <w:b/>
          <w:szCs w:val="24"/>
          <w:lang w:val="zh-CN"/>
        </w:rPr>
      </w:pPr>
      <w:bookmarkStart w:id="128" w:name="_Toc363199274"/>
      <w:r>
        <w:rPr>
          <w:rFonts w:hint="eastAsia" w:ascii="宋体" w:hAnsi="宋体" w:cs="宋体"/>
          <w:b/>
          <w:szCs w:val="24"/>
          <w:lang w:val="zh-CN"/>
        </w:rPr>
        <w:t>无重大违法记录声明函</w:t>
      </w:r>
    </w:p>
    <w:p w14:paraId="2B9C0DB3">
      <w:pPr>
        <w:pStyle w:val="33"/>
        <w:ind w:firstLine="480" w:firstLineChars="200"/>
        <w:rPr>
          <w:rFonts w:ascii="宋体" w:hAnsi="宋体"/>
          <w:szCs w:val="24"/>
        </w:rPr>
      </w:pPr>
      <w:bookmarkStart w:id="129"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614CC645">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8D59C2B">
      <w:pPr>
        <w:spacing w:line="360" w:lineRule="auto"/>
        <w:ind w:firstLine="435"/>
        <w:rPr>
          <w:rFonts w:ascii="宋体" w:hAnsi="宋体"/>
          <w:sz w:val="24"/>
          <w:szCs w:val="24"/>
        </w:rPr>
      </w:pPr>
    </w:p>
    <w:p w14:paraId="6DE85446">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cs="宋体"/>
          <w:b/>
          <w:bCs/>
          <w:sz w:val="24"/>
          <w:szCs w:val="24"/>
        </w:rPr>
        <w:t>盖章</w:t>
      </w:r>
      <w:r>
        <w:rPr>
          <w:rFonts w:hint="eastAsia" w:ascii="宋体" w:hAnsi="宋体"/>
          <w:bCs/>
          <w:sz w:val="24"/>
          <w:szCs w:val="24"/>
        </w:rPr>
        <w:t>：</w:t>
      </w:r>
    </w:p>
    <w:p w14:paraId="7BCD63D4">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129"/>
    <w:p w14:paraId="207B82DD">
      <w:pPr>
        <w:pStyle w:val="33"/>
        <w:ind w:firstLine="210"/>
      </w:pPr>
    </w:p>
    <w:p w14:paraId="3046BA94">
      <w:pPr>
        <w:pStyle w:val="33"/>
        <w:ind w:firstLine="210"/>
      </w:pPr>
    </w:p>
    <w:p w14:paraId="451A8DCF">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61D12094">
      <w:pPr>
        <w:spacing w:line="360" w:lineRule="auto"/>
        <w:ind w:firstLine="435"/>
        <w:rPr>
          <w:rFonts w:ascii="宋体" w:hAnsi="宋体"/>
          <w:sz w:val="24"/>
          <w:szCs w:val="24"/>
        </w:rPr>
      </w:pPr>
      <w:bookmarkStart w:id="130" w:name="_Hlk77794010"/>
      <w:r>
        <w:rPr>
          <w:rFonts w:hint="eastAsia" w:ascii="宋体" w:hAnsi="宋体"/>
          <w:sz w:val="24"/>
          <w:szCs w:val="24"/>
        </w:rPr>
        <w:t>本公司郑重承诺，我公司无以下不良信用记录情形：</w:t>
      </w:r>
    </w:p>
    <w:p w14:paraId="18A37BA9">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6ED80704">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4B5000A0">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2AED1758">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5C85709E">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D1E5F5E">
      <w:pPr>
        <w:tabs>
          <w:tab w:val="left" w:pos="630"/>
        </w:tabs>
        <w:spacing w:line="360" w:lineRule="auto"/>
        <w:ind w:firstLine="630"/>
        <w:rPr>
          <w:rFonts w:ascii="宋体" w:hAnsi="宋体"/>
          <w:sz w:val="24"/>
          <w:szCs w:val="24"/>
        </w:rPr>
      </w:pPr>
    </w:p>
    <w:p w14:paraId="0FB6DCCE">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cs="宋体"/>
          <w:b/>
          <w:bCs/>
          <w:sz w:val="24"/>
          <w:szCs w:val="24"/>
        </w:rPr>
        <w:t>盖章</w:t>
      </w:r>
      <w:r>
        <w:rPr>
          <w:rFonts w:hint="eastAsia" w:ascii="宋体" w:hAnsi="宋体"/>
          <w:bCs/>
          <w:sz w:val="24"/>
          <w:szCs w:val="24"/>
        </w:rPr>
        <w:t>：</w:t>
      </w:r>
    </w:p>
    <w:p w14:paraId="3DC27C28">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130"/>
    <w:p w14:paraId="5D1C5D25">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573616B3">
      <w:pPr>
        <w:pStyle w:val="3"/>
        <w:spacing w:before="0" w:after="0" w:line="560" w:lineRule="exact"/>
        <w:rPr>
          <w:rFonts w:ascii="宋体" w:hAnsi="宋体" w:eastAsia="宋体" w:cs="宋体"/>
          <w:sz w:val="24"/>
          <w:szCs w:val="24"/>
        </w:rPr>
      </w:pPr>
      <w:bookmarkStart w:id="131" w:name="_Toc30242"/>
      <w:r>
        <w:rPr>
          <w:rFonts w:hint="eastAsia" w:ascii="宋体" w:hAnsi="宋体" w:eastAsia="宋体" w:cs="宋体"/>
          <w:sz w:val="24"/>
          <w:szCs w:val="24"/>
        </w:rPr>
        <w:t>附件</w:t>
      </w:r>
      <w:bookmarkEnd w:id="128"/>
      <w:r>
        <w:rPr>
          <w:rFonts w:hint="eastAsia" w:ascii="宋体" w:hAnsi="宋体" w:eastAsia="宋体" w:cs="宋体"/>
          <w:sz w:val="24"/>
          <w:szCs w:val="24"/>
        </w:rPr>
        <w:t>六</w:t>
      </w:r>
      <w:bookmarkEnd w:id="131"/>
    </w:p>
    <w:p w14:paraId="257F743D">
      <w:pPr>
        <w:pStyle w:val="3"/>
        <w:spacing w:before="0" w:after="0" w:line="560" w:lineRule="exact"/>
        <w:jc w:val="center"/>
        <w:rPr>
          <w:rFonts w:ascii="宋体" w:hAnsi="宋体" w:eastAsia="宋体" w:cs="宋体"/>
          <w:sz w:val="24"/>
          <w:szCs w:val="24"/>
          <w:lang w:val="zh-CN"/>
        </w:rPr>
      </w:pPr>
      <w:bookmarkStart w:id="132" w:name="_Toc25238"/>
      <w:bookmarkStart w:id="133" w:name="_Toc24468"/>
      <w:bookmarkStart w:id="134" w:name="_Toc12738"/>
      <w:r>
        <w:rPr>
          <w:rFonts w:hint="eastAsia" w:ascii="宋体" w:hAnsi="宋体" w:eastAsia="宋体" w:cs="宋体"/>
          <w:sz w:val="24"/>
          <w:szCs w:val="24"/>
          <w:lang w:val="zh-CN"/>
        </w:rPr>
        <w:t>响应情况表</w:t>
      </w:r>
      <w:bookmarkEnd w:id="132"/>
      <w:bookmarkEnd w:id="133"/>
      <w:bookmarkEnd w:id="134"/>
    </w:p>
    <w:p w14:paraId="778E6521">
      <w:pPr>
        <w:jc w:val="center"/>
        <w:rPr>
          <w:bCs/>
          <w:sz w:val="24"/>
          <w:szCs w:val="24"/>
          <w:lang w:val="zh-CN"/>
        </w:rPr>
      </w:pPr>
    </w:p>
    <w:tbl>
      <w:tblPr>
        <w:tblStyle w:val="3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3970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362FAB26">
            <w:pPr>
              <w:jc w:val="center"/>
              <w:rPr>
                <w:rFonts w:ascii="宋体" w:cs="宋体"/>
                <w:b/>
                <w:sz w:val="24"/>
                <w:szCs w:val="21"/>
              </w:rPr>
            </w:pPr>
            <w:bookmarkStart w:id="135" w:name="_Toc471299110"/>
            <w:r>
              <w:rPr>
                <w:rFonts w:hint="eastAsia" w:ascii="宋体" w:hAnsi="宋体" w:cs="宋体"/>
                <w:b/>
                <w:sz w:val="24"/>
                <w:szCs w:val="21"/>
              </w:rPr>
              <w:t>按谈判文件规定填写</w:t>
            </w:r>
          </w:p>
        </w:tc>
        <w:tc>
          <w:tcPr>
            <w:tcW w:w="4200" w:type="dxa"/>
            <w:gridSpan w:val="2"/>
            <w:vAlign w:val="center"/>
          </w:tcPr>
          <w:p w14:paraId="602F65FA">
            <w:pPr>
              <w:jc w:val="center"/>
              <w:rPr>
                <w:rFonts w:ascii="宋体" w:cs="宋体"/>
                <w:b/>
                <w:sz w:val="24"/>
                <w:szCs w:val="21"/>
              </w:rPr>
            </w:pPr>
            <w:r>
              <w:rPr>
                <w:rFonts w:hint="eastAsia" w:ascii="宋体" w:hAnsi="宋体" w:cs="宋体"/>
                <w:b/>
                <w:sz w:val="24"/>
                <w:szCs w:val="21"/>
              </w:rPr>
              <w:t>按供应商所投内容填写</w:t>
            </w:r>
          </w:p>
        </w:tc>
      </w:tr>
      <w:tr w14:paraId="3142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45CFD208">
            <w:pPr>
              <w:jc w:val="center"/>
              <w:rPr>
                <w:rFonts w:ascii="宋体" w:cs="宋体"/>
                <w:b/>
                <w:sz w:val="24"/>
                <w:szCs w:val="21"/>
              </w:rPr>
            </w:pPr>
            <w:r>
              <w:rPr>
                <w:rFonts w:hint="eastAsia" w:ascii="宋体" w:hAnsi="宋体" w:cs="宋体"/>
                <w:b/>
                <w:sz w:val="24"/>
                <w:szCs w:val="21"/>
              </w:rPr>
              <w:t>序号</w:t>
            </w:r>
          </w:p>
        </w:tc>
        <w:tc>
          <w:tcPr>
            <w:tcW w:w="1794" w:type="dxa"/>
            <w:vAlign w:val="center"/>
          </w:tcPr>
          <w:p w14:paraId="6F27D07F">
            <w:pPr>
              <w:jc w:val="center"/>
              <w:rPr>
                <w:rFonts w:ascii="宋体" w:cs="宋体"/>
                <w:b/>
                <w:sz w:val="24"/>
                <w:szCs w:val="21"/>
              </w:rPr>
            </w:pPr>
            <w:r>
              <w:rPr>
                <w:rFonts w:hint="eastAsia" w:ascii="宋体" w:hAnsi="宋体" w:cs="宋体"/>
                <w:b/>
                <w:sz w:val="24"/>
                <w:szCs w:val="21"/>
              </w:rPr>
              <w:t>内容</w:t>
            </w:r>
          </w:p>
        </w:tc>
        <w:tc>
          <w:tcPr>
            <w:tcW w:w="2196" w:type="dxa"/>
            <w:vAlign w:val="center"/>
          </w:tcPr>
          <w:p w14:paraId="6ED051E9">
            <w:pPr>
              <w:jc w:val="center"/>
              <w:rPr>
                <w:rFonts w:ascii="宋体" w:cs="宋体"/>
                <w:b/>
                <w:sz w:val="24"/>
                <w:szCs w:val="21"/>
              </w:rPr>
            </w:pPr>
            <w:r>
              <w:rPr>
                <w:rFonts w:hint="eastAsia" w:ascii="宋体" w:hAnsi="宋体" w:cs="宋体"/>
                <w:b/>
                <w:sz w:val="24"/>
                <w:szCs w:val="21"/>
              </w:rPr>
              <w:t>谈判文件要求</w:t>
            </w:r>
          </w:p>
        </w:tc>
        <w:tc>
          <w:tcPr>
            <w:tcW w:w="2222" w:type="dxa"/>
            <w:vAlign w:val="center"/>
          </w:tcPr>
          <w:p w14:paraId="09981CFA">
            <w:pPr>
              <w:jc w:val="center"/>
              <w:rPr>
                <w:rFonts w:ascii="宋体" w:cs="宋体"/>
                <w:b/>
                <w:sz w:val="24"/>
                <w:szCs w:val="21"/>
              </w:rPr>
            </w:pPr>
            <w:r>
              <w:rPr>
                <w:rFonts w:hint="eastAsia" w:ascii="宋体" w:hAnsi="宋体" w:cs="宋体"/>
                <w:b/>
                <w:sz w:val="24"/>
                <w:szCs w:val="21"/>
              </w:rPr>
              <w:t>响应承诺</w:t>
            </w:r>
          </w:p>
        </w:tc>
        <w:tc>
          <w:tcPr>
            <w:tcW w:w="1978" w:type="dxa"/>
            <w:vAlign w:val="center"/>
          </w:tcPr>
          <w:p w14:paraId="103800A6">
            <w:pPr>
              <w:jc w:val="center"/>
              <w:rPr>
                <w:rFonts w:ascii="宋体" w:cs="宋体"/>
                <w:b/>
                <w:sz w:val="24"/>
                <w:szCs w:val="21"/>
              </w:rPr>
            </w:pPr>
            <w:r>
              <w:rPr>
                <w:rFonts w:hint="eastAsia" w:ascii="宋体" w:hAnsi="宋体" w:cs="宋体"/>
                <w:b/>
                <w:sz w:val="24"/>
                <w:szCs w:val="21"/>
              </w:rPr>
              <w:t>偏离说明</w:t>
            </w:r>
          </w:p>
        </w:tc>
      </w:tr>
      <w:tr w14:paraId="7379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9E75FDA">
            <w:pPr>
              <w:jc w:val="center"/>
              <w:rPr>
                <w:rFonts w:ascii="宋体" w:cs="宋体"/>
                <w:sz w:val="24"/>
                <w:szCs w:val="24"/>
              </w:rPr>
            </w:pPr>
            <w:r>
              <w:rPr>
                <w:rFonts w:ascii="宋体" w:hAnsi="宋体" w:cs="宋体"/>
                <w:sz w:val="24"/>
                <w:szCs w:val="24"/>
              </w:rPr>
              <w:t>1</w:t>
            </w:r>
          </w:p>
        </w:tc>
        <w:tc>
          <w:tcPr>
            <w:tcW w:w="1794" w:type="dxa"/>
            <w:vAlign w:val="center"/>
          </w:tcPr>
          <w:p w14:paraId="5089FD05">
            <w:pPr>
              <w:jc w:val="center"/>
              <w:rPr>
                <w:rFonts w:ascii="宋体" w:cs="宋体"/>
                <w:sz w:val="24"/>
                <w:szCs w:val="24"/>
              </w:rPr>
            </w:pPr>
            <w:r>
              <w:rPr>
                <w:rFonts w:hint="eastAsia" w:ascii="宋体" w:hAnsi="宋体"/>
                <w:sz w:val="24"/>
                <w:szCs w:val="28"/>
              </w:rPr>
              <w:t>技术响应</w:t>
            </w:r>
          </w:p>
        </w:tc>
        <w:tc>
          <w:tcPr>
            <w:tcW w:w="2196" w:type="dxa"/>
            <w:vAlign w:val="center"/>
          </w:tcPr>
          <w:p w14:paraId="4B7F59E2">
            <w:pPr>
              <w:rPr>
                <w:rFonts w:ascii="宋体" w:cs="宋体"/>
                <w:sz w:val="24"/>
                <w:szCs w:val="24"/>
              </w:rPr>
            </w:pPr>
          </w:p>
        </w:tc>
        <w:tc>
          <w:tcPr>
            <w:tcW w:w="2222" w:type="dxa"/>
            <w:vAlign w:val="center"/>
          </w:tcPr>
          <w:p w14:paraId="4FBC2BAD">
            <w:pPr>
              <w:rPr>
                <w:rFonts w:ascii="宋体" w:cs="宋体"/>
                <w:sz w:val="24"/>
                <w:szCs w:val="24"/>
              </w:rPr>
            </w:pPr>
          </w:p>
        </w:tc>
        <w:tc>
          <w:tcPr>
            <w:tcW w:w="1978" w:type="dxa"/>
            <w:vAlign w:val="center"/>
          </w:tcPr>
          <w:p w14:paraId="0B7747A7">
            <w:pPr>
              <w:rPr>
                <w:rFonts w:ascii="宋体" w:cs="宋体"/>
                <w:sz w:val="24"/>
                <w:szCs w:val="24"/>
              </w:rPr>
            </w:pPr>
          </w:p>
        </w:tc>
      </w:tr>
      <w:tr w14:paraId="485A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20BF9B4">
            <w:pPr>
              <w:jc w:val="center"/>
              <w:rPr>
                <w:rFonts w:ascii="宋体" w:cs="宋体"/>
                <w:sz w:val="24"/>
                <w:szCs w:val="24"/>
              </w:rPr>
            </w:pPr>
            <w:r>
              <w:rPr>
                <w:rFonts w:ascii="宋体" w:hAnsi="宋体" w:cs="宋体"/>
                <w:sz w:val="24"/>
                <w:szCs w:val="24"/>
              </w:rPr>
              <w:t>2</w:t>
            </w:r>
          </w:p>
        </w:tc>
        <w:tc>
          <w:tcPr>
            <w:tcW w:w="1794" w:type="dxa"/>
            <w:vAlign w:val="center"/>
          </w:tcPr>
          <w:p w14:paraId="2FE1D7FA">
            <w:pPr>
              <w:jc w:val="center"/>
              <w:rPr>
                <w:rFonts w:ascii="宋体" w:cs="宋体"/>
                <w:sz w:val="24"/>
                <w:szCs w:val="24"/>
              </w:rPr>
            </w:pPr>
            <w:r>
              <w:rPr>
                <w:rFonts w:hint="eastAsia" w:ascii="宋体" w:hAnsi="宋体"/>
                <w:sz w:val="24"/>
                <w:szCs w:val="28"/>
              </w:rPr>
              <w:t>付款响应</w:t>
            </w:r>
          </w:p>
        </w:tc>
        <w:tc>
          <w:tcPr>
            <w:tcW w:w="2196" w:type="dxa"/>
            <w:vAlign w:val="center"/>
          </w:tcPr>
          <w:p w14:paraId="15E41A88">
            <w:pPr>
              <w:rPr>
                <w:rFonts w:ascii="宋体" w:cs="宋体"/>
                <w:sz w:val="24"/>
                <w:szCs w:val="24"/>
              </w:rPr>
            </w:pPr>
          </w:p>
        </w:tc>
        <w:tc>
          <w:tcPr>
            <w:tcW w:w="2222" w:type="dxa"/>
            <w:vAlign w:val="center"/>
          </w:tcPr>
          <w:p w14:paraId="3A1E750E">
            <w:pPr>
              <w:rPr>
                <w:rFonts w:ascii="宋体" w:cs="宋体"/>
                <w:sz w:val="24"/>
                <w:szCs w:val="24"/>
              </w:rPr>
            </w:pPr>
          </w:p>
        </w:tc>
        <w:tc>
          <w:tcPr>
            <w:tcW w:w="1978" w:type="dxa"/>
            <w:vAlign w:val="center"/>
          </w:tcPr>
          <w:p w14:paraId="54B1A1B9">
            <w:pPr>
              <w:rPr>
                <w:rFonts w:ascii="宋体" w:cs="宋体"/>
                <w:sz w:val="24"/>
                <w:szCs w:val="24"/>
              </w:rPr>
            </w:pPr>
          </w:p>
        </w:tc>
      </w:tr>
      <w:tr w14:paraId="1BF4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1A64416">
            <w:pPr>
              <w:jc w:val="center"/>
              <w:rPr>
                <w:rFonts w:ascii="宋体" w:cs="宋体"/>
                <w:sz w:val="24"/>
                <w:szCs w:val="24"/>
              </w:rPr>
            </w:pPr>
            <w:r>
              <w:rPr>
                <w:rFonts w:ascii="宋体" w:hAnsi="宋体" w:cs="宋体"/>
                <w:sz w:val="24"/>
                <w:szCs w:val="24"/>
              </w:rPr>
              <w:t>3</w:t>
            </w:r>
          </w:p>
        </w:tc>
        <w:tc>
          <w:tcPr>
            <w:tcW w:w="1794" w:type="dxa"/>
            <w:vAlign w:val="center"/>
          </w:tcPr>
          <w:p w14:paraId="650E6C0B">
            <w:pPr>
              <w:jc w:val="center"/>
              <w:rPr>
                <w:rFonts w:ascii="宋体" w:cs="宋体"/>
                <w:sz w:val="24"/>
                <w:szCs w:val="24"/>
              </w:rPr>
            </w:pPr>
            <w:r>
              <w:rPr>
                <w:rFonts w:hint="eastAsia" w:ascii="宋体" w:hAnsi="宋体"/>
                <w:sz w:val="24"/>
                <w:szCs w:val="28"/>
              </w:rPr>
              <w:t>服务期响应</w:t>
            </w:r>
          </w:p>
        </w:tc>
        <w:tc>
          <w:tcPr>
            <w:tcW w:w="2196" w:type="dxa"/>
            <w:vAlign w:val="center"/>
          </w:tcPr>
          <w:p w14:paraId="1F769C6A">
            <w:pPr>
              <w:rPr>
                <w:rFonts w:ascii="宋体" w:cs="宋体"/>
                <w:sz w:val="24"/>
                <w:szCs w:val="24"/>
              </w:rPr>
            </w:pPr>
          </w:p>
        </w:tc>
        <w:tc>
          <w:tcPr>
            <w:tcW w:w="2222" w:type="dxa"/>
            <w:vAlign w:val="center"/>
          </w:tcPr>
          <w:p w14:paraId="55446F9A">
            <w:pPr>
              <w:rPr>
                <w:rFonts w:ascii="宋体" w:cs="宋体"/>
                <w:sz w:val="24"/>
                <w:szCs w:val="24"/>
              </w:rPr>
            </w:pPr>
          </w:p>
        </w:tc>
        <w:tc>
          <w:tcPr>
            <w:tcW w:w="1978" w:type="dxa"/>
            <w:vAlign w:val="center"/>
          </w:tcPr>
          <w:p w14:paraId="38E23904">
            <w:pPr>
              <w:rPr>
                <w:rFonts w:ascii="宋体" w:cs="宋体"/>
                <w:sz w:val="24"/>
                <w:szCs w:val="24"/>
              </w:rPr>
            </w:pPr>
          </w:p>
        </w:tc>
      </w:tr>
      <w:tr w14:paraId="2F27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DA142DC">
            <w:pPr>
              <w:jc w:val="center"/>
              <w:rPr>
                <w:rFonts w:ascii="宋体" w:cs="宋体"/>
                <w:sz w:val="24"/>
                <w:szCs w:val="24"/>
              </w:rPr>
            </w:pPr>
            <w:r>
              <w:rPr>
                <w:rFonts w:hint="eastAsia" w:ascii="宋体" w:cs="宋体"/>
                <w:sz w:val="24"/>
                <w:szCs w:val="24"/>
              </w:rPr>
              <w:t>4</w:t>
            </w:r>
          </w:p>
        </w:tc>
        <w:tc>
          <w:tcPr>
            <w:tcW w:w="1794" w:type="dxa"/>
            <w:vAlign w:val="center"/>
          </w:tcPr>
          <w:p w14:paraId="5EE107EC">
            <w:pPr>
              <w:jc w:val="center"/>
              <w:rPr>
                <w:rFonts w:ascii="宋体" w:cs="宋体"/>
                <w:sz w:val="24"/>
                <w:szCs w:val="24"/>
              </w:rPr>
            </w:pPr>
            <w:r>
              <w:rPr>
                <w:rFonts w:hint="eastAsia" w:ascii="宋体" w:hAnsi="宋体" w:cs="宋体"/>
                <w:sz w:val="24"/>
                <w:szCs w:val="24"/>
              </w:rPr>
              <w:t>其他</w:t>
            </w:r>
          </w:p>
        </w:tc>
        <w:tc>
          <w:tcPr>
            <w:tcW w:w="2196" w:type="dxa"/>
            <w:vAlign w:val="center"/>
          </w:tcPr>
          <w:p w14:paraId="2D9ED47E">
            <w:pPr>
              <w:rPr>
                <w:rFonts w:ascii="宋体" w:cs="宋体"/>
                <w:sz w:val="24"/>
                <w:szCs w:val="24"/>
              </w:rPr>
            </w:pPr>
          </w:p>
        </w:tc>
        <w:tc>
          <w:tcPr>
            <w:tcW w:w="2222" w:type="dxa"/>
            <w:vAlign w:val="center"/>
          </w:tcPr>
          <w:p w14:paraId="1F58B8C0">
            <w:pPr>
              <w:rPr>
                <w:rFonts w:ascii="宋体" w:cs="宋体"/>
                <w:sz w:val="24"/>
                <w:szCs w:val="24"/>
              </w:rPr>
            </w:pPr>
          </w:p>
        </w:tc>
        <w:tc>
          <w:tcPr>
            <w:tcW w:w="1978" w:type="dxa"/>
            <w:vAlign w:val="center"/>
          </w:tcPr>
          <w:p w14:paraId="7B19912F">
            <w:pPr>
              <w:rPr>
                <w:rFonts w:ascii="宋体" w:cs="宋体"/>
                <w:sz w:val="24"/>
                <w:szCs w:val="24"/>
              </w:rPr>
            </w:pPr>
          </w:p>
        </w:tc>
      </w:tr>
    </w:tbl>
    <w:p w14:paraId="2BAA51CA">
      <w:pPr>
        <w:spacing w:after="312" w:afterLines="100" w:line="520" w:lineRule="exact"/>
        <w:ind w:firstLine="482" w:firstLineChars="200"/>
        <w:rPr>
          <w:rFonts w:ascii="宋体" w:hAnsi="宋体"/>
          <w:sz w:val="24"/>
          <w:szCs w:val="28"/>
        </w:rPr>
      </w:pPr>
      <w:r>
        <w:rPr>
          <w:rFonts w:hint="eastAsia" w:ascii="宋体" w:hAnsi="宋体" w:cs="宋体"/>
          <w:b/>
          <w:sz w:val="24"/>
          <w:szCs w:val="24"/>
        </w:rPr>
        <w:t>注：</w:t>
      </w:r>
      <w:r>
        <w:rPr>
          <w:rFonts w:hint="eastAsia" w:ascii="宋体" w:hAnsi="宋体"/>
          <w:sz w:val="24"/>
          <w:szCs w:val="28"/>
        </w:rPr>
        <w:t>提供的服务满足采购需求；付款及服务期等均应响应谈判文件要求。</w:t>
      </w:r>
    </w:p>
    <w:p w14:paraId="19AB4D7B">
      <w:pPr>
        <w:spacing w:after="312" w:afterLines="100" w:line="520" w:lineRule="exact"/>
        <w:rPr>
          <w:rFonts w:ascii="宋体" w:hAnsi="宋体"/>
          <w:sz w:val="24"/>
          <w:szCs w:val="28"/>
        </w:rPr>
      </w:pPr>
    </w:p>
    <w:p w14:paraId="598913F5">
      <w:pPr>
        <w:rPr>
          <w:rFonts w:ascii="宋体" w:hAnsi="宋体"/>
          <w:sz w:val="24"/>
          <w:szCs w:val="24"/>
        </w:rPr>
      </w:pPr>
    </w:p>
    <w:p w14:paraId="3A14DEFA">
      <w:pPr>
        <w:rPr>
          <w:rFonts w:ascii="宋体" w:hAnsi="宋体"/>
          <w:sz w:val="24"/>
          <w:szCs w:val="24"/>
        </w:rPr>
      </w:pPr>
    </w:p>
    <w:p w14:paraId="7A420E8B">
      <w:pPr>
        <w:spacing w:line="360" w:lineRule="auto"/>
        <w:ind w:right="480"/>
        <w:jc w:val="center"/>
        <w:rPr>
          <w:rFonts w:ascii="宋体" w:hAnsi="宋体"/>
          <w:b/>
          <w:bCs/>
          <w:sz w:val="24"/>
          <w:szCs w:val="24"/>
        </w:rPr>
      </w:pPr>
      <w:r>
        <w:rPr>
          <w:rFonts w:hint="eastAsia" w:ascii="宋体" w:hAnsi="宋体"/>
          <w:b/>
          <w:bCs/>
          <w:sz w:val="24"/>
          <w:szCs w:val="24"/>
        </w:rPr>
        <w:t xml:space="preserve">                              供应商</w:t>
      </w:r>
      <w:r>
        <w:rPr>
          <w:rFonts w:hint="eastAsia" w:ascii="宋体" w:hAnsi="宋体" w:cs="宋体"/>
          <w:b/>
          <w:bCs/>
          <w:sz w:val="24"/>
          <w:szCs w:val="24"/>
        </w:rPr>
        <w:t>盖章</w:t>
      </w:r>
      <w:r>
        <w:rPr>
          <w:rFonts w:hint="eastAsia" w:ascii="宋体" w:hAnsi="宋体"/>
          <w:b/>
          <w:bCs/>
          <w:sz w:val="24"/>
          <w:szCs w:val="24"/>
        </w:rPr>
        <w:t>：</w:t>
      </w:r>
    </w:p>
    <w:p w14:paraId="1CA449C5">
      <w:pPr>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3925771D">
      <w:pPr>
        <w:pStyle w:val="4"/>
        <w:spacing w:before="0" w:after="0"/>
        <w:rPr>
          <w:sz w:val="24"/>
          <w:szCs w:val="24"/>
        </w:rPr>
      </w:pPr>
      <w:r>
        <w:rPr>
          <w:rFonts w:hint="eastAsia"/>
          <w:sz w:val="24"/>
          <w:szCs w:val="24"/>
        </w:rPr>
        <w:br w:type="page"/>
      </w:r>
    </w:p>
    <w:p w14:paraId="0D22BB83">
      <w:pPr>
        <w:pStyle w:val="3"/>
        <w:bidi w:val="0"/>
        <w:rPr>
          <w:rFonts w:hint="eastAsia" w:ascii="宋体" w:hAnsi="宋体" w:eastAsia="宋体" w:cs="宋体"/>
          <w:sz w:val="24"/>
          <w:szCs w:val="16"/>
        </w:rPr>
      </w:pPr>
      <w:bookmarkStart w:id="136" w:name="_Toc32767"/>
      <w:bookmarkStart w:id="137" w:name="_Toc19848"/>
      <w:r>
        <w:rPr>
          <w:rFonts w:hint="eastAsia" w:ascii="宋体" w:hAnsi="宋体" w:eastAsia="宋体" w:cs="宋体"/>
          <w:sz w:val="24"/>
          <w:szCs w:val="16"/>
        </w:rPr>
        <w:t>附件</w:t>
      </w:r>
      <w:bookmarkEnd w:id="135"/>
      <w:r>
        <w:rPr>
          <w:rFonts w:hint="eastAsia" w:ascii="宋体" w:hAnsi="宋体" w:eastAsia="宋体" w:cs="宋体"/>
          <w:sz w:val="24"/>
          <w:szCs w:val="16"/>
        </w:rPr>
        <w:t>七</w:t>
      </w:r>
      <w:bookmarkEnd w:id="136"/>
      <w:bookmarkEnd w:id="137"/>
    </w:p>
    <w:p w14:paraId="3D3F6833">
      <w:pPr>
        <w:ind w:firstLine="3373" w:firstLineChars="1400"/>
        <w:rPr>
          <w:rFonts w:hint="eastAsia" w:ascii="仿宋_GB2312" w:hAnsi="仿宋_GB2312" w:eastAsia="宋体"/>
          <w:sz w:val="28"/>
          <w:szCs w:val="28"/>
          <w:lang w:eastAsia="zh-CN"/>
        </w:rPr>
      </w:pPr>
      <w:bookmarkStart w:id="138" w:name="_Toc4135"/>
      <w:bookmarkStart w:id="139" w:name="_Toc23594"/>
      <w:r>
        <w:rPr>
          <w:rStyle w:val="56"/>
          <w:rFonts w:hint="eastAsia" w:ascii="宋体" w:hAnsi="宋体" w:eastAsia="宋体" w:cs="宋体"/>
          <w:bCs/>
          <w:kern w:val="2"/>
          <w:sz w:val="24"/>
          <w:szCs w:val="24"/>
        </w:rPr>
        <w:t>中小企业声明函</w:t>
      </w:r>
      <w:bookmarkEnd w:id="138"/>
      <w:bookmarkEnd w:id="139"/>
    </w:p>
    <w:p w14:paraId="302CA279">
      <w:pPr>
        <w:autoSpaceDE w:val="0"/>
        <w:spacing w:line="480" w:lineRule="exact"/>
        <w:rPr>
          <w:rFonts w:ascii="仿宋_GB2312" w:hAnsi="仿宋_GB2312"/>
          <w:sz w:val="28"/>
          <w:szCs w:val="28"/>
        </w:rPr>
      </w:pPr>
      <w:r>
        <w:rPr>
          <w:rFonts w:ascii="仿宋_GB2312" w:hAnsi="仿宋_GB2312"/>
          <w:sz w:val="28"/>
          <w:szCs w:val="28"/>
        </w:rPr>
        <w:t xml:space="preserve"> </w:t>
      </w:r>
    </w:p>
    <w:p w14:paraId="3F489D95">
      <w:pPr>
        <w:autoSpaceDE w:val="0"/>
        <w:spacing w:line="50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 xml:space="preserve"> 采购活动</w:t>
      </w:r>
      <w:r>
        <w:rPr>
          <w:rFonts w:hint="eastAsia" w:ascii="宋体" w:hAnsi="宋体" w:cs="宋体"/>
          <w:sz w:val="24"/>
          <w:szCs w:val="24"/>
          <w:lang w:eastAsia="zh-CN"/>
        </w:rPr>
        <w:t>，</w:t>
      </w:r>
      <w:r>
        <w:rPr>
          <w:rFonts w:hint="eastAsia" w:ascii="宋体" w:hAnsi="宋体" w:cs="宋体"/>
          <w:sz w:val="24"/>
          <w:szCs w:val="24"/>
        </w:rPr>
        <w:t>工程的施工单位全部为符合政策要求的中小企业（或者：服务全部由符合政策要求的中小企业承接）。相关企业（含联合体中的中小企业、签订分包意向协议的中小企业）的具体情况如下：</w:t>
      </w:r>
    </w:p>
    <w:p w14:paraId="368F2BB1">
      <w:pPr>
        <w:autoSpaceDE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44037406">
      <w:pPr>
        <w:autoSpaceDE w:val="0"/>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72B8F042">
      <w:pPr>
        <w:autoSpaceDE w:val="0"/>
        <w:spacing w:line="500" w:lineRule="exact"/>
        <w:ind w:firstLine="480" w:firstLineChars="200"/>
        <w:rPr>
          <w:rFonts w:ascii="宋体" w:hAnsi="宋体" w:cs="宋体"/>
          <w:sz w:val="24"/>
          <w:szCs w:val="24"/>
        </w:rPr>
      </w:pPr>
      <w:r>
        <w:rPr>
          <w:rFonts w:hint="eastAsia" w:ascii="宋体" w:hAnsi="宋体" w:cs="宋体"/>
          <w:sz w:val="24"/>
          <w:szCs w:val="24"/>
        </w:rPr>
        <w:t>......</w:t>
      </w:r>
    </w:p>
    <w:p w14:paraId="3857B730">
      <w:pPr>
        <w:pStyle w:val="10"/>
        <w:autoSpaceDE w:val="0"/>
        <w:spacing w:after="0" w:line="5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288378BB">
      <w:pPr>
        <w:pStyle w:val="10"/>
        <w:autoSpaceDE w:val="0"/>
        <w:spacing w:after="0" w:line="500" w:lineRule="exact"/>
        <w:ind w:firstLine="480" w:firstLineChars="200"/>
        <w:rPr>
          <w:rFonts w:ascii="宋体" w:hAnsi="宋体" w:cs="宋体"/>
          <w:bCs/>
          <w:sz w:val="24"/>
        </w:rPr>
      </w:pPr>
      <w:r>
        <w:rPr>
          <w:rFonts w:hint="eastAsia" w:ascii="宋体" w:hAnsi="宋体" w:cs="宋体"/>
          <w:sz w:val="24"/>
        </w:rPr>
        <w:t>本企业对上述声明内容的真实性负责。</w:t>
      </w:r>
      <w:r>
        <w:rPr>
          <w:rFonts w:hint="eastAsia" w:ascii="宋体" w:hAnsi="宋体" w:cs="宋体"/>
          <w:color w:val="auto"/>
          <w:sz w:val="24"/>
          <w:lang w:eastAsia="zh-CN"/>
        </w:rPr>
        <w:t xml:space="preserve"> </w:t>
      </w:r>
      <w:r>
        <w:rPr>
          <w:rFonts w:hint="default" w:ascii="宋体" w:hAnsi="宋体" w:cs="宋体"/>
          <w:bCs/>
          <w:color w:val="auto"/>
          <w:sz w:val="24"/>
          <w:lang w:val="en-US"/>
        </w:rPr>
        <w:t>如有虚假，</w:t>
      </w:r>
      <w:r>
        <w:rPr>
          <w:rFonts w:hint="default" w:ascii="宋体" w:hAnsi="宋体" w:cs="宋体"/>
          <w:bCs/>
          <w:color w:val="auto"/>
          <w:sz w:val="24"/>
          <w:lang w:val="en-US" w:eastAsia="zh-CN"/>
        </w:rPr>
        <w:t>将依法承担相应责任</w:t>
      </w:r>
      <w:r>
        <w:rPr>
          <w:rFonts w:hint="eastAsia" w:ascii="宋体" w:hAnsi="宋体" w:cs="宋体"/>
          <w:bCs/>
          <w:color w:val="auto"/>
          <w:sz w:val="24"/>
        </w:rPr>
        <w:t>。</w:t>
      </w:r>
    </w:p>
    <w:p w14:paraId="5B43181F">
      <w:pPr>
        <w:spacing w:line="480" w:lineRule="exact"/>
        <w:rPr>
          <w:rFonts w:ascii="宋体" w:hAnsi="宋体"/>
          <w:b/>
          <w:sz w:val="24"/>
          <w:szCs w:val="24"/>
        </w:rPr>
      </w:pPr>
    </w:p>
    <w:p w14:paraId="3C3C506C">
      <w:pPr>
        <w:spacing w:line="480" w:lineRule="exact"/>
        <w:ind w:firstLine="5060" w:firstLineChars="2100"/>
        <w:rPr>
          <w:rFonts w:ascii="宋体"/>
          <w:b/>
          <w:sz w:val="24"/>
          <w:szCs w:val="24"/>
          <w:u w:val="single"/>
        </w:rPr>
      </w:pPr>
      <w:r>
        <w:rPr>
          <w:rFonts w:hint="eastAsia" w:ascii="宋体" w:hAnsi="宋体"/>
          <w:b/>
          <w:sz w:val="24"/>
          <w:szCs w:val="24"/>
        </w:rPr>
        <w:t>供应商</w:t>
      </w:r>
      <w:r>
        <w:rPr>
          <w:rFonts w:hint="eastAsia" w:ascii="宋体" w:hAnsi="宋体" w:cs="宋体"/>
          <w:b/>
          <w:bCs/>
          <w:sz w:val="24"/>
          <w:szCs w:val="24"/>
        </w:rPr>
        <w:t>盖</w:t>
      </w:r>
      <w:r>
        <w:rPr>
          <w:rFonts w:hint="eastAsia" w:ascii="宋体" w:hAnsi="宋体"/>
          <w:b/>
          <w:sz w:val="24"/>
          <w:szCs w:val="24"/>
        </w:rPr>
        <w:t>章：</w:t>
      </w:r>
      <w:r>
        <w:rPr>
          <w:rFonts w:ascii="宋体" w:hAnsi="宋体"/>
          <w:b/>
          <w:sz w:val="24"/>
          <w:szCs w:val="24"/>
          <w:u w:val="single"/>
        </w:rPr>
        <w:t xml:space="preserve">              </w:t>
      </w:r>
    </w:p>
    <w:p w14:paraId="6F10AF47">
      <w:pPr>
        <w:pStyle w:val="33"/>
        <w:ind w:firstLine="5180" w:firstLineChars="2150"/>
        <w:rPr>
          <w:rFonts w:ascii="宋体" w:hAnsi="宋体" w:cs="宋体"/>
          <w:szCs w:val="24"/>
        </w:rPr>
      </w:pPr>
      <w:r>
        <w:rPr>
          <w:rFonts w:hint="eastAsia" w:ascii="宋体" w:hAnsi="宋体"/>
          <w:b/>
          <w:szCs w:val="24"/>
        </w:rPr>
        <w:t xml:space="preserve">日 </w:t>
      </w:r>
      <w:r>
        <w:rPr>
          <w:rFonts w:ascii="宋体" w:hAnsi="宋体"/>
          <w:b/>
          <w:szCs w:val="24"/>
        </w:rPr>
        <w:t xml:space="preserve">  </w:t>
      </w:r>
      <w:r>
        <w:rPr>
          <w:rFonts w:hint="eastAsia" w:ascii="宋体" w:hAnsi="宋体"/>
          <w:b/>
          <w:szCs w:val="24"/>
        </w:rPr>
        <w:t xml:space="preserve"> 期：</w:t>
      </w:r>
    </w:p>
    <w:p w14:paraId="0D9361A8">
      <w:pPr>
        <w:pStyle w:val="33"/>
      </w:pPr>
    </w:p>
    <w:p w14:paraId="0B1DA173">
      <w:pPr>
        <w:spacing w:line="500" w:lineRule="exac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1、从业人员、营业收入、资产总额填报上一年度数据，无上一年度数据的新成立企业可不填报。</w:t>
      </w:r>
    </w:p>
    <w:p w14:paraId="442F275A">
      <w:pPr>
        <w:pStyle w:val="33"/>
        <w:spacing w:after="0" w:line="500" w:lineRule="exact"/>
        <w:ind w:firstLine="480" w:firstLineChars="200"/>
      </w:pPr>
      <w:r>
        <w:rPr>
          <w:rFonts w:hint="eastAsia"/>
        </w:rPr>
        <w:t>2、企业划型标准按照《关于印发中小企业划型标准规定的通知》（工信部联企业〔2011〕300号）规定执行。</w:t>
      </w:r>
    </w:p>
    <w:p w14:paraId="6803BB70">
      <w:pPr>
        <w:rPr>
          <w:rFonts w:ascii="宋体" w:hAnsi="宋体"/>
          <w:b/>
          <w:bCs/>
          <w:sz w:val="24"/>
          <w:szCs w:val="24"/>
        </w:rPr>
      </w:pPr>
      <w:r>
        <w:rPr>
          <w:rFonts w:hint="eastAsia" w:ascii="宋体" w:hAnsi="宋体"/>
          <w:b/>
          <w:bCs/>
          <w:sz w:val="24"/>
          <w:szCs w:val="24"/>
        </w:rPr>
        <w:br w:type="page"/>
      </w:r>
    </w:p>
    <w:p w14:paraId="743170C4">
      <w:pPr>
        <w:pStyle w:val="3"/>
        <w:bidi w:val="0"/>
        <w:ind w:left="0" w:leftChars="0" w:right="0" w:rightChars="0" w:firstLine="0" w:firstLineChars="0"/>
        <w:jc w:val="center"/>
        <w:rPr>
          <w:rFonts w:hint="eastAsia" w:ascii="宋体" w:hAnsi="宋体" w:eastAsia="宋体" w:cs="宋体"/>
          <w:sz w:val="24"/>
          <w:szCs w:val="16"/>
        </w:rPr>
      </w:pPr>
      <w:bookmarkStart w:id="140" w:name="_Toc21587"/>
      <w:r>
        <w:rPr>
          <w:rFonts w:hint="eastAsia" w:ascii="宋体" w:hAnsi="宋体" w:eastAsia="宋体" w:cs="宋体"/>
          <w:sz w:val="24"/>
          <w:szCs w:val="16"/>
        </w:rPr>
        <w:t>残疾人福利性单位声明函</w:t>
      </w:r>
      <w:bookmarkEnd w:id="140"/>
    </w:p>
    <w:p w14:paraId="4431EB48">
      <w:pPr>
        <w:pStyle w:val="17"/>
        <w:spacing w:line="480" w:lineRule="exact"/>
        <w:jc w:val="center"/>
        <w:rPr>
          <w:rFonts w:ascii="宋体" w:hAnsi="宋体" w:eastAsia="宋体" w:cs="宋体"/>
          <w:bCs/>
          <w:sz w:val="24"/>
          <w:szCs w:val="24"/>
        </w:rPr>
      </w:pPr>
      <w:r>
        <w:rPr>
          <w:rFonts w:hint="eastAsia" w:ascii="宋体" w:hAnsi="宋体" w:eastAsia="宋体" w:cs="宋体"/>
          <w:bCs/>
          <w:sz w:val="24"/>
          <w:szCs w:val="24"/>
        </w:rPr>
        <w:t>（非残疾人福利性单位不需此件）</w:t>
      </w:r>
    </w:p>
    <w:p w14:paraId="4066019A">
      <w:pPr>
        <w:spacing w:line="480" w:lineRule="exact"/>
      </w:pPr>
    </w:p>
    <w:p w14:paraId="5EB96ECA">
      <w:pPr>
        <w:autoSpaceDE w:val="0"/>
        <w:autoSpaceDN w:val="0"/>
        <w:spacing w:line="480" w:lineRule="exact"/>
        <w:ind w:right="40" w:firstLine="480" w:firstLineChars="200"/>
        <w:rPr>
          <w:rFonts w:ascii="宋体" w:hAnsi="宋体"/>
          <w:bCs/>
          <w:sz w:val="24"/>
          <w:szCs w:val="24"/>
          <w:lang w:val="zh-CN"/>
        </w:rPr>
      </w:pPr>
      <w:r>
        <w:rPr>
          <w:rFonts w:hint="eastAsia" w:ascii="宋体" w:hAnsi="宋体"/>
          <w:bCs/>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sz w:val="24"/>
          <w:szCs w:val="24"/>
          <w:u w:val="single"/>
        </w:rPr>
        <w:t xml:space="preserve">     </w:t>
      </w:r>
      <w:r>
        <w:rPr>
          <w:rFonts w:hint="eastAsia" w:ascii="宋体" w:hAnsi="宋体"/>
          <w:bCs/>
          <w:sz w:val="24"/>
          <w:szCs w:val="24"/>
          <w:lang w:val="zh-CN"/>
        </w:rPr>
        <w:t>项目（项目编号：</w:t>
      </w:r>
      <w:r>
        <w:rPr>
          <w:rFonts w:hint="eastAsia" w:ascii="宋体" w:hAnsi="宋体"/>
          <w:bCs/>
          <w:sz w:val="24"/>
          <w:szCs w:val="24"/>
          <w:u w:val="single"/>
        </w:rPr>
        <w:t xml:space="preserve">     </w:t>
      </w:r>
      <w:r>
        <w:rPr>
          <w:rFonts w:hint="eastAsia" w:ascii="宋体" w:hAnsi="宋体"/>
          <w:bCs/>
          <w:sz w:val="24"/>
          <w:szCs w:val="24"/>
          <w:lang w:val="zh-CN"/>
        </w:rPr>
        <w:t>）采购活动由本单位提供服务。</w:t>
      </w:r>
    </w:p>
    <w:p w14:paraId="3B0F6A06">
      <w:pPr>
        <w:autoSpaceDE w:val="0"/>
        <w:autoSpaceDN w:val="0"/>
        <w:spacing w:line="480" w:lineRule="exact"/>
        <w:ind w:right="40" w:firstLine="480" w:firstLineChars="200"/>
        <w:rPr>
          <w:rFonts w:ascii="宋体" w:hAnsi="宋体"/>
          <w:bCs/>
          <w:sz w:val="24"/>
          <w:szCs w:val="24"/>
          <w:lang w:val="zh-CN"/>
        </w:rPr>
      </w:pPr>
      <w:r>
        <w:rPr>
          <w:rFonts w:hint="eastAsia" w:ascii="宋体" w:hAnsi="宋体"/>
          <w:bCs/>
          <w:sz w:val="24"/>
          <w:szCs w:val="24"/>
          <w:lang w:val="zh-CN"/>
        </w:rPr>
        <w:t>本单位对上述声明的真实性负责。如有虚假，将依法承担相应责任。</w:t>
      </w:r>
    </w:p>
    <w:p w14:paraId="044C237C">
      <w:pPr>
        <w:spacing w:line="480" w:lineRule="exact"/>
        <w:rPr>
          <w:rFonts w:ascii="宋体" w:hAnsi="宋体"/>
          <w:bCs/>
          <w:sz w:val="24"/>
          <w:szCs w:val="24"/>
        </w:rPr>
      </w:pPr>
    </w:p>
    <w:p w14:paraId="012E7366">
      <w:pPr>
        <w:spacing w:line="480" w:lineRule="exact"/>
        <w:ind w:firstLine="5060" w:firstLineChars="2100"/>
        <w:rPr>
          <w:rFonts w:ascii="宋体"/>
          <w:b/>
          <w:sz w:val="24"/>
          <w:szCs w:val="24"/>
          <w:u w:val="single"/>
        </w:rPr>
      </w:pPr>
      <w:r>
        <w:rPr>
          <w:rFonts w:hint="eastAsia" w:ascii="宋体" w:hAnsi="宋体"/>
          <w:b/>
          <w:sz w:val="24"/>
          <w:szCs w:val="24"/>
        </w:rPr>
        <w:t>供应商</w:t>
      </w:r>
      <w:r>
        <w:rPr>
          <w:rFonts w:hint="eastAsia" w:ascii="宋体" w:hAnsi="宋体" w:cs="宋体"/>
          <w:b/>
          <w:bCs/>
          <w:sz w:val="24"/>
          <w:szCs w:val="24"/>
        </w:rPr>
        <w:t>盖章</w:t>
      </w:r>
      <w:r>
        <w:rPr>
          <w:rFonts w:hint="eastAsia" w:ascii="宋体" w:hAnsi="宋体"/>
          <w:b/>
          <w:sz w:val="24"/>
          <w:szCs w:val="24"/>
        </w:rPr>
        <w:t>：</w:t>
      </w:r>
      <w:r>
        <w:rPr>
          <w:rFonts w:ascii="宋体" w:hAnsi="宋体"/>
          <w:b/>
          <w:sz w:val="24"/>
          <w:szCs w:val="24"/>
          <w:u w:val="single"/>
        </w:rPr>
        <w:t xml:space="preserve">              </w:t>
      </w:r>
    </w:p>
    <w:p w14:paraId="67954AFF">
      <w:pPr>
        <w:tabs>
          <w:tab w:val="left" w:pos="4620"/>
        </w:tabs>
        <w:spacing w:line="480" w:lineRule="exact"/>
        <w:ind w:firstLine="5060" w:firstLineChars="2100"/>
        <w:rPr>
          <w:rFonts w:ascii="宋体" w:hAnsi="宋体"/>
          <w:b/>
          <w:bCs/>
          <w:sz w:val="24"/>
          <w:szCs w:val="24"/>
        </w:rPr>
      </w:pPr>
      <w:r>
        <w:rPr>
          <w:rFonts w:hint="eastAsia" w:ascii="宋体" w:hAnsi="宋体"/>
          <w:b/>
          <w:sz w:val="24"/>
          <w:szCs w:val="24"/>
        </w:rPr>
        <w:t xml:space="preserve">日 </w:t>
      </w:r>
      <w:r>
        <w:rPr>
          <w:rFonts w:ascii="宋体" w:hAnsi="宋体"/>
          <w:b/>
          <w:sz w:val="24"/>
          <w:szCs w:val="24"/>
        </w:rPr>
        <w:t xml:space="preserve">  </w:t>
      </w:r>
      <w:r>
        <w:rPr>
          <w:rFonts w:hint="eastAsia" w:ascii="宋体" w:hAnsi="宋体"/>
          <w:b/>
          <w:sz w:val="24"/>
          <w:szCs w:val="24"/>
        </w:rPr>
        <w:t xml:space="preserve"> 期：</w:t>
      </w:r>
      <w:r>
        <w:rPr>
          <w:rFonts w:ascii="宋体" w:hAnsi="宋体"/>
          <w:b/>
          <w:sz w:val="24"/>
          <w:szCs w:val="24"/>
          <w:u w:val="single"/>
        </w:rPr>
        <w:t xml:space="preserve">                     </w:t>
      </w:r>
    </w:p>
    <w:p w14:paraId="30CE31C0">
      <w:pPr>
        <w:pStyle w:val="3"/>
        <w:spacing w:before="0" w:after="0" w:line="560" w:lineRule="exact"/>
        <w:rPr>
          <w:rFonts w:hint="eastAsia" w:ascii="宋体" w:hAnsi="宋体" w:eastAsia="宋体" w:cs="宋体"/>
          <w:sz w:val="24"/>
          <w:szCs w:val="24"/>
        </w:rPr>
      </w:pPr>
      <w:bookmarkStart w:id="141" w:name="_Toc14089"/>
    </w:p>
    <w:p w14:paraId="4DB43D13">
      <w:pPr>
        <w:pStyle w:val="3"/>
        <w:spacing w:before="0" w:after="0" w:line="560" w:lineRule="exact"/>
        <w:rPr>
          <w:rFonts w:hint="eastAsia" w:ascii="宋体" w:hAnsi="宋体" w:eastAsia="宋体" w:cs="宋体"/>
          <w:sz w:val="24"/>
          <w:szCs w:val="24"/>
        </w:rPr>
      </w:pPr>
    </w:p>
    <w:p w14:paraId="03CFB030">
      <w:pPr>
        <w:pStyle w:val="3"/>
        <w:spacing w:before="0" w:after="0" w:line="560" w:lineRule="exact"/>
        <w:rPr>
          <w:rFonts w:hint="eastAsia" w:ascii="宋体" w:hAnsi="宋体" w:eastAsia="宋体" w:cs="宋体"/>
          <w:sz w:val="24"/>
          <w:szCs w:val="24"/>
        </w:rPr>
      </w:pPr>
    </w:p>
    <w:p w14:paraId="2E2B6E13">
      <w:pPr>
        <w:pStyle w:val="3"/>
        <w:spacing w:before="0" w:after="0" w:line="560" w:lineRule="exact"/>
        <w:rPr>
          <w:rFonts w:hint="eastAsia" w:ascii="宋体" w:hAnsi="宋体" w:eastAsia="宋体" w:cs="宋体"/>
          <w:sz w:val="24"/>
          <w:szCs w:val="24"/>
          <w:lang w:eastAsia="zh-CN"/>
        </w:rPr>
      </w:pPr>
      <w:r>
        <w:rPr>
          <w:rFonts w:hint="eastAsia" w:ascii="宋体" w:hAnsi="宋体" w:eastAsia="宋体" w:cs="宋体"/>
          <w:sz w:val="24"/>
          <w:szCs w:val="24"/>
        </w:rPr>
        <w:t>附件</w:t>
      </w:r>
      <w:r>
        <w:rPr>
          <w:rFonts w:hint="eastAsia" w:ascii="宋体" w:hAnsi="宋体" w:eastAsia="宋体" w:cs="宋体"/>
          <w:sz w:val="24"/>
          <w:szCs w:val="24"/>
          <w:lang w:eastAsia="zh-CN"/>
        </w:rPr>
        <w:t>八</w:t>
      </w:r>
      <w:bookmarkEnd w:id="141"/>
    </w:p>
    <w:p w14:paraId="71DC5A83">
      <w:pPr>
        <w:rPr>
          <w:rFonts w:ascii="宋体" w:hAnsi="宋体"/>
          <w:b/>
          <w:sz w:val="24"/>
          <w:szCs w:val="28"/>
        </w:rPr>
      </w:pPr>
    </w:p>
    <w:p w14:paraId="76FC6C81">
      <w:pPr>
        <w:rPr>
          <w:rFonts w:ascii="宋体" w:hAnsi="宋体"/>
          <w:b/>
          <w:sz w:val="24"/>
          <w:szCs w:val="28"/>
        </w:rPr>
      </w:pPr>
    </w:p>
    <w:p w14:paraId="0C5D7840">
      <w:pPr>
        <w:jc w:val="center"/>
        <w:rPr>
          <w:rFonts w:ascii="宋体" w:hAnsi="宋体" w:eastAsia="宋体" w:cs="宋体"/>
          <w:b w:val="0"/>
          <w:bCs/>
          <w:sz w:val="24"/>
          <w:szCs w:val="24"/>
        </w:rPr>
      </w:pPr>
      <w:bookmarkStart w:id="142" w:name="_Toc28850"/>
      <w:bookmarkStart w:id="143" w:name="_Toc28453"/>
      <w:bookmarkStart w:id="144" w:name="_Toc30670"/>
      <w:r>
        <w:rPr>
          <w:rFonts w:hint="eastAsia" w:ascii="宋体" w:hAnsi="宋体" w:eastAsia="宋体" w:cs="宋体"/>
          <w:b w:val="0"/>
          <w:bCs/>
          <w:sz w:val="24"/>
          <w:szCs w:val="24"/>
        </w:rPr>
        <w:t>谈判文件要求和供应商认为需要提供的其它说明和资料</w:t>
      </w:r>
      <w:bookmarkEnd w:id="142"/>
      <w:bookmarkEnd w:id="143"/>
      <w:bookmarkEnd w:id="144"/>
    </w:p>
    <w:p w14:paraId="1A520255">
      <w:pPr>
        <w:rPr>
          <w:rFonts w:hAnsi="宋体" w:cs="宋体"/>
          <w:sz w:val="24"/>
          <w:szCs w:val="32"/>
        </w:rPr>
        <w:sectPr>
          <w:pgSz w:w="11906" w:h="16838"/>
          <w:pgMar w:top="1440" w:right="1531" w:bottom="1440" w:left="1531" w:header="851" w:footer="992" w:gutter="0"/>
          <w:pgNumType w:fmt="decimal"/>
          <w:cols w:space="425" w:num="1"/>
          <w:docGrid w:type="lines" w:linePitch="312" w:charSpace="0"/>
        </w:sectPr>
      </w:pPr>
    </w:p>
    <w:p w14:paraId="3A667222">
      <w:pPr>
        <w:pStyle w:val="3"/>
        <w:pageBreakBefore w:val="0"/>
        <w:kinsoku/>
        <w:overflowPunct/>
        <w:topLinePunct w:val="0"/>
        <w:bidi w:val="0"/>
        <w:spacing w:before="0" w:after="0" w:line="500" w:lineRule="exact"/>
        <w:rPr>
          <w:rStyle w:val="108"/>
          <w:rFonts w:ascii="宋体" w:hAnsi="宋体" w:eastAsia="宋体" w:cs="宋体"/>
          <w:b/>
          <w:sz w:val="24"/>
          <w:szCs w:val="24"/>
        </w:rPr>
      </w:pPr>
      <w:bookmarkStart w:id="145" w:name="_Toc5314"/>
      <w:bookmarkStart w:id="146" w:name="_Toc23763"/>
      <w:r>
        <w:rPr>
          <w:rFonts w:hint="eastAsia" w:ascii="宋体" w:hAnsi="宋体" w:eastAsia="宋体" w:cs="宋体"/>
          <w:sz w:val="24"/>
          <w:szCs w:val="24"/>
        </w:rPr>
        <w:t>附件九</w:t>
      </w:r>
      <w:bookmarkEnd w:id="145"/>
      <w:bookmarkEnd w:id="146"/>
      <w:r>
        <w:rPr>
          <w:rFonts w:hint="eastAsia" w:ascii="宋体" w:hAnsi="宋体" w:eastAsia="宋体" w:cs="宋体"/>
          <w:sz w:val="24"/>
          <w:szCs w:val="24"/>
          <w:lang w:val="en-US" w:eastAsia="zh-CN"/>
        </w:rPr>
        <w:t xml:space="preserve">                      </w:t>
      </w:r>
    </w:p>
    <w:p w14:paraId="45DDF4F3">
      <w:pPr>
        <w:pageBreakBefore w:val="0"/>
        <w:kinsoku/>
        <w:overflowPunct/>
        <w:topLinePunct w:val="0"/>
        <w:bidi w:val="0"/>
        <w:spacing w:line="500" w:lineRule="exact"/>
        <w:jc w:val="center"/>
        <w:rPr>
          <w:rFonts w:hint="eastAsia" w:ascii="宋体" w:hAnsi="宋体"/>
          <w:b/>
          <w:color w:val="auto"/>
          <w:sz w:val="28"/>
          <w:szCs w:val="28"/>
        </w:rPr>
      </w:pPr>
      <w:r>
        <w:rPr>
          <w:rFonts w:hint="eastAsia" w:ascii="宋体" w:hAnsi="宋体"/>
          <w:b/>
          <w:color w:val="auto"/>
          <w:sz w:val="28"/>
          <w:szCs w:val="28"/>
        </w:rPr>
        <w:t>最终承包报价书</w:t>
      </w:r>
    </w:p>
    <w:p w14:paraId="2B9A0737">
      <w:pPr>
        <w:pageBreakBefore w:val="0"/>
        <w:widowControl w:val="0"/>
        <w:tabs>
          <w:tab w:val="left" w:pos="1663"/>
        </w:tabs>
        <w:kinsoku/>
        <w:overflowPunct/>
        <w:topLinePunct w:val="0"/>
        <w:autoSpaceDE w:val="0"/>
        <w:autoSpaceDN w:val="0"/>
        <w:bidi w:val="0"/>
        <w:spacing w:before="0" w:after="0" w:line="500" w:lineRule="exact"/>
        <w:ind w:left="96" w:right="0"/>
        <w:jc w:val="center"/>
        <w:outlineLvl w:val="3"/>
        <w:rPr>
          <w:rFonts w:ascii="宋体" w:hAnsi="宋体" w:eastAsia="宋体" w:cs="宋体"/>
          <w:b/>
          <w:sz w:val="12"/>
          <w:szCs w:val="24"/>
          <w:lang w:val="zh-CN" w:eastAsia="zh-CN" w:bidi="zh-CN"/>
        </w:rPr>
      </w:pPr>
      <w:r>
        <w:rPr>
          <w:rFonts w:hint="eastAsia" w:ascii="宋体" w:hAnsi="宋体" w:cs="宋体"/>
          <w:b w:val="0"/>
          <w:bCs w:val="0"/>
          <w:sz w:val="24"/>
          <w:szCs w:val="24"/>
          <w:lang w:val="en-US" w:eastAsia="zh-CN" w:bidi="zh-CN"/>
        </w:rPr>
        <w:t>(</w:t>
      </w:r>
      <w:r>
        <w:rPr>
          <w:rFonts w:ascii="宋体" w:hAnsi="宋体" w:eastAsia="宋体" w:cs="宋体"/>
          <w:b w:val="0"/>
          <w:bCs w:val="0"/>
          <w:sz w:val="24"/>
          <w:szCs w:val="24"/>
          <w:lang w:val="zh-CN" w:eastAsia="zh-CN" w:bidi="zh-CN"/>
        </w:rPr>
        <w:t>第</w:t>
      </w:r>
      <w:r>
        <w:rPr>
          <w:rFonts w:ascii="宋体" w:hAnsi="宋体" w:eastAsia="宋体" w:cs="宋体"/>
          <w:b w:val="0"/>
          <w:bCs w:val="0"/>
          <w:sz w:val="24"/>
          <w:szCs w:val="24"/>
          <w:u w:val="single"/>
          <w:lang w:val="zh-CN" w:eastAsia="zh-CN" w:bidi="zh-CN"/>
        </w:rPr>
        <w:t xml:space="preserve"> </w:t>
      </w:r>
      <w:r>
        <w:rPr>
          <w:rFonts w:hint="eastAsia" w:ascii="宋体" w:hAnsi="宋体" w:cs="宋体"/>
          <w:b w:val="0"/>
          <w:bCs w:val="0"/>
          <w:sz w:val="24"/>
          <w:szCs w:val="24"/>
          <w:u w:val="single"/>
          <w:lang w:val="en-US" w:eastAsia="zh-CN" w:bidi="zh-CN"/>
        </w:rPr>
        <w:t xml:space="preserve">   </w:t>
      </w:r>
      <w:r>
        <w:rPr>
          <w:rFonts w:ascii="宋体" w:hAnsi="宋体" w:eastAsia="宋体" w:cs="宋体"/>
          <w:b w:val="0"/>
          <w:bCs w:val="0"/>
          <w:sz w:val="24"/>
          <w:szCs w:val="24"/>
          <w:u w:val="single"/>
          <w:lang w:val="zh-CN" w:eastAsia="zh-CN" w:bidi="zh-CN"/>
        </w:rPr>
        <w:tab/>
      </w:r>
      <w:r>
        <w:rPr>
          <w:rFonts w:ascii="宋体" w:hAnsi="宋体" w:eastAsia="宋体" w:cs="宋体"/>
          <w:b w:val="0"/>
          <w:bCs w:val="0"/>
          <w:sz w:val="24"/>
          <w:szCs w:val="24"/>
          <w:lang w:val="zh-CN" w:eastAsia="zh-CN" w:bidi="zh-CN"/>
        </w:rPr>
        <w:t>次报价书）</w:t>
      </w:r>
    </w:p>
    <w:p w14:paraId="58C9B0CC">
      <w:pPr>
        <w:pageBreakBefore w:val="0"/>
        <w:widowControl w:val="0"/>
        <w:tabs>
          <w:tab w:val="left" w:pos="2992"/>
        </w:tabs>
        <w:kinsoku/>
        <w:overflowPunct/>
        <w:topLinePunct w:val="0"/>
        <w:autoSpaceDE w:val="0"/>
        <w:autoSpaceDN w:val="0"/>
        <w:bidi w:val="0"/>
        <w:spacing w:before="74" w:after="0" w:line="500" w:lineRule="exact"/>
        <w:ind w:left="220" w:right="5891"/>
        <w:jc w:val="left"/>
        <w:outlineLvl w:val="3"/>
        <w:rPr>
          <w:rFonts w:ascii="宋体" w:hAnsi="宋体" w:eastAsia="宋体" w:cs="宋体"/>
          <w:b/>
          <w:bCs/>
          <w:sz w:val="24"/>
          <w:szCs w:val="24"/>
          <w:u w:val="single"/>
          <w:lang w:val="zh-CN" w:eastAsia="zh-CN" w:bidi="zh-CN"/>
        </w:rPr>
      </w:pPr>
      <w:r>
        <w:rPr>
          <w:rFonts w:ascii="宋体" w:hAnsi="宋体" w:eastAsia="宋体" w:cs="宋体"/>
          <w:b/>
          <w:bCs/>
          <w:sz w:val="24"/>
          <w:szCs w:val="24"/>
          <w:lang w:val="zh-CN" w:eastAsia="zh-CN" w:bidi="zh-CN"/>
        </w:rPr>
        <w:t>项目名称：</w:t>
      </w:r>
      <w:r>
        <w:rPr>
          <w:rFonts w:ascii="宋体" w:hAnsi="宋体" w:eastAsia="宋体" w:cs="宋体"/>
          <w:b/>
          <w:bCs/>
          <w:spacing w:val="119"/>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u w:val="single"/>
          <w:lang w:val="zh-CN" w:eastAsia="zh-CN" w:bidi="zh-CN"/>
        </w:rPr>
        <w:tab/>
      </w:r>
    </w:p>
    <w:p w14:paraId="0FC30A04">
      <w:pPr>
        <w:pageBreakBefore w:val="0"/>
        <w:widowControl w:val="0"/>
        <w:tabs>
          <w:tab w:val="left" w:pos="2992"/>
        </w:tabs>
        <w:kinsoku/>
        <w:overflowPunct/>
        <w:topLinePunct w:val="0"/>
        <w:autoSpaceDE w:val="0"/>
        <w:autoSpaceDN w:val="0"/>
        <w:bidi w:val="0"/>
        <w:spacing w:before="74" w:after="0" w:line="500" w:lineRule="exact"/>
        <w:ind w:left="220" w:right="5891"/>
        <w:jc w:val="left"/>
        <w:outlineLvl w:val="3"/>
        <w:rPr>
          <w:rFonts w:ascii="宋体" w:hAnsi="宋体" w:eastAsia="宋体" w:cs="宋体"/>
          <w:b/>
          <w:sz w:val="12"/>
          <w:szCs w:val="24"/>
          <w:lang w:val="zh-CN" w:eastAsia="zh-CN" w:bidi="zh-CN"/>
        </w:rPr>
      </w:pPr>
      <w:r>
        <w:rPr>
          <w:rFonts w:ascii="宋体" w:hAnsi="宋体" w:eastAsia="宋体" w:cs="宋体"/>
          <w:b/>
          <w:bCs/>
          <w:sz w:val="24"/>
          <w:szCs w:val="24"/>
          <w:lang w:val="zh-CN" w:eastAsia="zh-CN" w:bidi="zh-CN"/>
        </w:rPr>
        <w:t>项目编号：</w:t>
      </w:r>
      <w:r>
        <w:rPr>
          <w:rFonts w:ascii="宋体" w:hAnsi="宋体" w:eastAsia="宋体" w:cs="宋体"/>
          <w:b/>
          <w:bCs/>
          <w:spacing w:val="119"/>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u w:val="single"/>
          <w:lang w:val="zh-CN" w:eastAsia="zh-CN" w:bidi="zh-CN"/>
        </w:rPr>
        <w:tab/>
      </w:r>
    </w:p>
    <w:tbl>
      <w:tblPr>
        <w:tblStyle w:val="35"/>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41071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103C3620">
            <w:pPr>
              <w:keepNext w:val="0"/>
              <w:keepLines w:val="0"/>
              <w:pageBreakBefore w:val="0"/>
              <w:widowControl w:val="0"/>
              <w:suppressLineNumbers w:val="0"/>
              <w:kinsoku/>
              <w:overflowPunct/>
              <w:topLinePunct w:val="0"/>
              <w:autoSpaceDE w:val="0"/>
              <w:autoSpaceDN w:val="0"/>
              <w:bidi w:val="0"/>
              <w:spacing w:before="177" w:beforeAutospacing="0" w:after="0" w:afterAutospacing="0" w:line="500" w:lineRule="exact"/>
              <w:ind w:left="243" w:right="238"/>
              <w:jc w:val="center"/>
              <w:rPr>
                <w:rFonts w:hint="eastAsia" w:ascii="宋体" w:hAnsi="宋体" w:eastAsia="宋体" w:cs="宋体"/>
                <w:b/>
                <w:sz w:val="24"/>
                <w:szCs w:val="24"/>
                <w:lang w:val="zh-CN" w:eastAsia="zh-CN" w:bidi="zh-CN"/>
              </w:rPr>
            </w:pPr>
            <w:r>
              <w:rPr>
                <w:rFonts w:hint="eastAsia" w:ascii="宋体" w:hAnsi="宋体" w:eastAsia="宋体" w:cs="宋体"/>
                <w:b/>
                <w:sz w:val="24"/>
                <w:szCs w:val="24"/>
                <w:lang w:val="zh-CN" w:eastAsia="zh-CN" w:bidi="zh-CN"/>
              </w:rPr>
              <w:t>供应商名称</w:t>
            </w:r>
          </w:p>
        </w:tc>
        <w:tc>
          <w:tcPr>
            <w:tcW w:w="6064" w:type="dxa"/>
            <w:noWrap w:val="0"/>
            <w:vAlign w:val="top"/>
          </w:tcPr>
          <w:p w14:paraId="5F5115C6">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0" w:right="0"/>
              <w:jc w:val="left"/>
              <w:rPr>
                <w:rFonts w:hint="eastAsia" w:ascii="宋体" w:hAnsi="宋体" w:eastAsia="宋体" w:cs="宋体"/>
                <w:sz w:val="24"/>
                <w:szCs w:val="24"/>
                <w:lang w:val="zh-CN" w:eastAsia="zh-CN" w:bidi="zh-CN"/>
              </w:rPr>
            </w:pPr>
          </w:p>
        </w:tc>
      </w:tr>
      <w:tr w14:paraId="4968B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40D5D830">
            <w:pPr>
              <w:keepNext w:val="0"/>
              <w:keepLines w:val="0"/>
              <w:pageBreakBefore w:val="0"/>
              <w:widowControl w:val="0"/>
              <w:suppressLineNumbers w:val="0"/>
              <w:kinsoku/>
              <w:overflowPunct/>
              <w:topLinePunct w:val="0"/>
              <w:autoSpaceDE w:val="0"/>
              <w:autoSpaceDN w:val="0"/>
              <w:bidi w:val="0"/>
              <w:spacing w:before="11" w:beforeAutospacing="0" w:after="0" w:afterAutospacing="0" w:line="500" w:lineRule="exact"/>
              <w:ind w:left="0" w:right="0"/>
              <w:jc w:val="left"/>
              <w:rPr>
                <w:rFonts w:hint="eastAsia" w:ascii="宋体" w:hAnsi="宋体" w:eastAsia="宋体" w:cs="宋体"/>
                <w:b/>
                <w:sz w:val="24"/>
                <w:szCs w:val="24"/>
                <w:lang w:val="zh-CN" w:eastAsia="zh-CN" w:bidi="zh-CN"/>
              </w:rPr>
            </w:pPr>
          </w:p>
          <w:p w14:paraId="2A8A4556">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245" w:right="237"/>
              <w:jc w:val="center"/>
              <w:rPr>
                <w:rFonts w:hint="eastAsia" w:ascii="宋体" w:hAnsi="宋体" w:eastAsia="宋体" w:cs="宋体"/>
                <w:b/>
                <w:sz w:val="24"/>
                <w:szCs w:val="24"/>
                <w:lang w:val="zh-CN" w:eastAsia="zh-CN" w:bidi="zh-CN"/>
              </w:rPr>
            </w:pPr>
            <w:r>
              <w:rPr>
                <w:rFonts w:hint="eastAsia" w:ascii="宋体" w:hAnsi="宋体" w:eastAsia="宋体" w:cs="宋体"/>
                <w:b/>
                <w:sz w:val="24"/>
                <w:szCs w:val="24"/>
                <w:lang w:val="en-US" w:eastAsia="zh-CN" w:bidi="zh-CN"/>
              </w:rPr>
              <w:t>谈判</w:t>
            </w:r>
            <w:r>
              <w:rPr>
                <w:rFonts w:hint="eastAsia" w:ascii="宋体" w:hAnsi="宋体" w:eastAsia="宋体" w:cs="宋体"/>
                <w:b/>
                <w:sz w:val="24"/>
                <w:szCs w:val="24"/>
                <w:lang w:val="zh-CN" w:eastAsia="zh-CN" w:bidi="zh-CN"/>
              </w:rPr>
              <w:t>范围</w:t>
            </w:r>
          </w:p>
        </w:tc>
        <w:tc>
          <w:tcPr>
            <w:tcW w:w="6064" w:type="dxa"/>
            <w:noWrap w:val="0"/>
            <w:vAlign w:val="top"/>
          </w:tcPr>
          <w:p w14:paraId="048BE9C2">
            <w:pPr>
              <w:keepNext w:val="0"/>
              <w:keepLines w:val="0"/>
              <w:pageBreakBefore w:val="0"/>
              <w:widowControl w:val="0"/>
              <w:suppressLineNumbers w:val="0"/>
              <w:kinsoku/>
              <w:overflowPunct/>
              <w:topLinePunct w:val="0"/>
              <w:autoSpaceDE w:val="0"/>
              <w:autoSpaceDN w:val="0"/>
              <w:bidi w:val="0"/>
              <w:spacing w:before="11" w:beforeAutospacing="0" w:after="0" w:afterAutospacing="0" w:line="500" w:lineRule="exact"/>
              <w:ind w:left="0" w:right="0"/>
              <w:jc w:val="left"/>
              <w:rPr>
                <w:rFonts w:hint="eastAsia" w:ascii="宋体" w:hAnsi="宋体" w:eastAsia="宋体" w:cs="宋体"/>
                <w:b/>
                <w:sz w:val="24"/>
                <w:szCs w:val="24"/>
                <w:lang w:val="zh-CN" w:eastAsia="zh-CN" w:bidi="zh-CN"/>
              </w:rPr>
            </w:pPr>
          </w:p>
          <w:p w14:paraId="02497361">
            <w:pPr>
              <w:keepNext w:val="0"/>
              <w:keepLines w:val="0"/>
              <w:pageBreakBefore w:val="0"/>
              <w:widowControl w:val="0"/>
              <w:suppressLineNumbers w:val="0"/>
              <w:tabs>
                <w:tab w:val="left" w:pos="1547"/>
              </w:tabs>
              <w:kinsoku/>
              <w:overflowPunct/>
              <w:topLinePunct w:val="0"/>
              <w:autoSpaceDE w:val="0"/>
              <w:autoSpaceDN w:val="0"/>
              <w:bidi w:val="0"/>
              <w:spacing w:before="0" w:beforeAutospacing="0" w:after="0" w:afterAutospacing="0" w:line="500" w:lineRule="exact"/>
              <w:ind w:left="107" w:right="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全部 </w:t>
            </w:r>
          </w:p>
        </w:tc>
      </w:tr>
      <w:tr w14:paraId="0B7A1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461" w:type="dxa"/>
            <w:vMerge w:val="restart"/>
            <w:noWrap w:val="0"/>
            <w:vAlign w:val="top"/>
          </w:tcPr>
          <w:p w14:paraId="325E9ECC">
            <w:pPr>
              <w:keepNext w:val="0"/>
              <w:keepLines w:val="0"/>
              <w:pageBreakBefore w:val="0"/>
              <w:widowControl w:val="0"/>
              <w:suppressLineNumbers w:val="0"/>
              <w:kinsoku/>
              <w:overflowPunct/>
              <w:topLinePunct w:val="0"/>
              <w:autoSpaceDE w:val="0"/>
              <w:autoSpaceDN w:val="0"/>
              <w:bidi w:val="0"/>
              <w:spacing w:before="161" w:beforeAutospacing="0" w:after="0" w:afterAutospacing="0" w:line="500" w:lineRule="exact"/>
              <w:ind w:left="245" w:right="238"/>
              <w:jc w:val="center"/>
              <w:rPr>
                <w:rFonts w:hint="eastAsia" w:ascii="宋体" w:hAnsi="宋体" w:cs="宋体"/>
                <w:b/>
                <w:sz w:val="24"/>
                <w:szCs w:val="24"/>
                <w:lang w:val="en-US" w:eastAsia="zh-CN" w:bidi="zh-CN"/>
              </w:rPr>
            </w:pPr>
            <w:r>
              <w:rPr>
                <w:rFonts w:hint="eastAsia" w:ascii="宋体" w:hAnsi="宋体" w:cs="宋体"/>
                <w:b/>
                <w:sz w:val="24"/>
                <w:szCs w:val="24"/>
                <w:lang w:val="en-US" w:eastAsia="zh-CN" w:bidi="zh-CN"/>
              </w:rPr>
              <w:t>分项报价（元）</w:t>
            </w:r>
          </w:p>
          <w:p w14:paraId="7E490D73">
            <w:pPr>
              <w:keepNext w:val="0"/>
              <w:keepLines w:val="0"/>
              <w:pageBreakBefore w:val="0"/>
              <w:widowControl w:val="0"/>
              <w:suppressLineNumbers w:val="0"/>
              <w:kinsoku/>
              <w:overflowPunct/>
              <w:topLinePunct w:val="0"/>
              <w:autoSpaceDE w:val="0"/>
              <w:autoSpaceDN w:val="0"/>
              <w:bidi w:val="0"/>
              <w:spacing w:before="161" w:beforeAutospacing="0" w:after="0" w:afterAutospacing="0" w:line="500" w:lineRule="exact"/>
              <w:ind w:left="245" w:right="238"/>
              <w:jc w:val="center"/>
              <w:rPr>
                <w:rFonts w:hint="default" w:ascii="宋体" w:hAnsi="宋体" w:cs="宋体"/>
                <w:b/>
                <w:sz w:val="24"/>
                <w:szCs w:val="24"/>
                <w:lang w:val="en-US" w:eastAsia="zh-CN" w:bidi="zh-CN"/>
              </w:rPr>
            </w:pPr>
          </w:p>
        </w:tc>
        <w:tc>
          <w:tcPr>
            <w:tcW w:w="6064" w:type="dxa"/>
            <w:noWrap w:val="0"/>
            <w:vAlign w:val="center"/>
          </w:tcPr>
          <w:p w14:paraId="095EE6AC">
            <w:pPr>
              <w:keepNext w:val="0"/>
              <w:keepLines w:val="0"/>
              <w:widowControl/>
              <w:suppressLineNumbers w:val="0"/>
              <w:jc w:val="left"/>
              <w:textAlignment w:val="center"/>
              <w:rPr>
                <w:rFonts w:hint="default" w:ascii="宋体" w:hAnsi="宋体" w:eastAsia="宋体" w:cs="宋体"/>
                <w:sz w:val="24"/>
                <w:szCs w:val="24"/>
                <w:lang w:val="en-US" w:eastAsia="zh-CN" w:bidi="zh-CN"/>
              </w:rPr>
            </w:pPr>
            <w:r>
              <w:rPr>
                <w:rFonts w:hint="eastAsia" w:ascii="宋体" w:hAnsi="宋体" w:eastAsia="宋体" w:cs="宋体"/>
                <w:i w:val="0"/>
                <w:iCs w:val="0"/>
                <w:color w:val="000000"/>
                <w:spacing w:val="68"/>
                <w:kern w:val="0"/>
                <w:sz w:val="24"/>
                <w:szCs w:val="24"/>
                <w:u w:val="none"/>
                <w:fitText w:val="2880" w:id="2012416615"/>
                <w:lang w:val="en-US" w:eastAsia="zh-CN" w:bidi="ar"/>
              </w:rPr>
              <w:t>中央级媒体宣传</w:t>
            </w:r>
            <w:r>
              <w:rPr>
                <w:rFonts w:hint="eastAsia" w:ascii="宋体" w:hAnsi="宋体" w:eastAsia="宋体" w:cs="宋体"/>
                <w:i w:val="0"/>
                <w:iCs w:val="0"/>
                <w:color w:val="000000"/>
                <w:spacing w:val="4"/>
                <w:kern w:val="0"/>
                <w:sz w:val="24"/>
                <w:szCs w:val="24"/>
                <w:u w:val="none"/>
                <w:fitText w:val="2880" w:id="2012416615"/>
                <w:lang w:val="en-US" w:eastAsia="zh-CN" w:bidi="ar"/>
              </w:rPr>
              <w:t>：</w:t>
            </w:r>
            <w:r>
              <w:rPr>
                <w:rFonts w:hint="eastAsia" w:ascii="宋体" w:hAnsi="宋体" w:eastAsia="宋体" w:cs="宋体"/>
                <w:i w:val="0"/>
                <w:iCs w:val="0"/>
                <w:color w:val="000000"/>
                <w:kern w:val="0"/>
                <w:sz w:val="24"/>
                <w:szCs w:val="24"/>
                <w:u w:val="none"/>
                <w:lang w:val="en-US" w:eastAsia="zh-CN" w:bidi="ar"/>
              </w:rPr>
              <w:t>（       ）元</w:t>
            </w:r>
          </w:p>
        </w:tc>
      </w:tr>
      <w:tr w14:paraId="5852F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461" w:type="dxa"/>
            <w:vMerge w:val="continue"/>
            <w:noWrap w:val="0"/>
            <w:vAlign w:val="top"/>
          </w:tcPr>
          <w:p w14:paraId="102DF11E">
            <w:pPr>
              <w:keepNext w:val="0"/>
              <w:keepLines w:val="0"/>
              <w:pageBreakBefore w:val="0"/>
              <w:widowControl w:val="0"/>
              <w:suppressLineNumbers w:val="0"/>
              <w:kinsoku/>
              <w:overflowPunct/>
              <w:topLinePunct w:val="0"/>
              <w:autoSpaceDE w:val="0"/>
              <w:autoSpaceDN w:val="0"/>
              <w:bidi w:val="0"/>
              <w:spacing w:before="161" w:beforeAutospacing="0" w:after="0" w:afterAutospacing="0" w:line="500" w:lineRule="exact"/>
              <w:ind w:left="245" w:right="238"/>
              <w:jc w:val="center"/>
              <w:rPr>
                <w:rFonts w:hint="eastAsia" w:ascii="宋体" w:hAnsi="宋体" w:cs="宋体"/>
                <w:b/>
                <w:sz w:val="24"/>
                <w:szCs w:val="24"/>
                <w:lang w:val="en-US" w:eastAsia="zh-CN" w:bidi="zh-CN"/>
              </w:rPr>
            </w:pPr>
          </w:p>
        </w:tc>
        <w:tc>
          <w:tcPr>
            <w:tcW w:w="6064" w:type="dxa"/>
            <w:noWrap w:val="0"/>
            <w:vAlign w:val="center"/>
          </w:tcPr>
          <w:p w14:paraId="4E90B755">
            <w:pPr>
              <w:keepNext w:val="0"/>
              <w:keepLines w:val="0"/>
              <w:widowControl/>
              <w:suppressLineNumbers w:val="0"/>
              <w:jc w:val="left"/>
              <w:textAlignment w:val="center"/>
              <w:rPr>
                <w:rFonts w:hint="eastAsia" w:ascii="宋体" w:hAnsi="宋体" w:eastAsia="宋体" w:cs="宋体"/>
                <w:sz w:val="24"/>
                <w:szCs w:val="24"/>
                <w:lang w:val="en-US" w:eastAsia="zh-CN" w:bidi="zh-CN"/>
              </w:rPr>
            </w:pPr>
            <w:r>
              <w:rPr>
                <w:rFonts w:hint="eastAsia" w:ascii="宋体" w:hAnsi="宋体" w:eastAsia="宋体" w:cs="宋体"/>
                <w:i w:val="0"/>
                <w:iCs w:val="0"/>
                <w:color w:val="000000"/>
                <w:spacing w:val="100"/>
                <w:kern w:val="0"/>
                <w:sz w:val="24"/>
                <w:szCs w:val="24"/>
                <w:u w:val="none"/>
                <w:fitText w:val="2880" w:id="1660104259"/>
                <w:lang w:val="en-US" w:eastAsia="zh-CN" w:bidi="ar"/>
              </w:rPr>
              <w:t>省级媒体宣传</w:t>
            </w:r>
            <w:r>
              <w:rPr>
                <w:rFonts w:hint="eastAsia" w:ascii="宋体" w:hAnsi="宋体" w:eastAsia="宋体" w:cs="宋体"/>
                <w:i w:val="0"/>
                <w:iCs w:val="0"/>
                <w:color w:val="000000"/>
                <w:spacing w:val="0"/>
                <w:kern w:val="0"/>
                <w:sz w:val="24"/>
                <w:szCs w:val="24"/>
                <w:u w:val="none"/>
                <w:fitText w:val="2880" w:id="1660104259"/>
                <w:lang w:val="en-US" w:eastAsia="zh-CN" w:bidi="ar"/>
              </w:rPr>
              <w:t>：</w:t>
            </w:r>
            <w:r>
              <w:rPr>
                <w:rFonts w:hint="eastAsia" w:ascii="宋体" w:hAnsi="宋体" w:eastAsia="宋体" w:cs="宋体"/>
                <w:i w:val="0"/>
                <w:iCs w:val="0"/>
                <w:color w:val="000000"/>
                <w:kern w:val="0"/>
                <w:sz w:val="24"/>
                <w:szCs w:val="24"/>
                <w:u w:val="none"/>
                <w:lang w:val="en-US" w:eastAsia="zh-CN" w:bidi="ar"/>
              </w:rPr>
              <w:t>（       ）元</w:t>
            </w:r>
          </w:p>
        </w:tc>
      </w:tr>
      <w:tr w14:paraId="6176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461" w:type="dxa"/>
            <w:vMerge w:val="continue"/>
            <w:noWrap w:val="0"/>
            <w:vAlign w:val="top"/>
          </w:tcPr>
          <w:p w14:paraId="5834B22D">
            <w:pPr>
              <w:keepNext w:val="0"/>
              <w:keepLines w:val="0"/>
              <w:pageBreakBefore w:val="0"/>
              <w:widowControl w:val="0"/>
              <w:suppressLineNumbers w:val="0"/>
              <w:kinsoku/>
              <w:overflowPunct/>
              <w:topLinePunct w:val="0"/>
              <w:autoSpaceDE w:val="0"/>
              <w:autoSpaceDN w:val="0"/>
              <w:bidi w:val="0"/>
              <w:spacing w:before="161" w:beforeAutospacing="0" w:after="0" w:afterAutospacing="0" w:line="500" w:lineRule="exact"/>
              <w:ind w:left="245" w:right="238"/>
              <w:jc w:val="center"/>
              <w:rPr>
                <w:rFonts w:hint="eastAsia" w:ascii="宋体" w:hAnsi="宋体" w:cs="宋体"/>
                <w:b/>
                <w:sz w:val="24"/>
                <w:szCs w:val="24"/>
                <w:lang w:val="en-US" w:eastAsia="zh-CN" w:bidi="zh-CN"/>
              </w:rPr>
            </w:pPr>
          </w:p>
        </w:tc>
        <w:tc>
          <w:tcPr>
            <w:tcW w:w="6064" w:type="dxa"/>
            <w:noWrap w:val="0"/>
            <w:vAlign w:val="center"/>
          </w:tcPr>
          <w:p w14:paraId="5AF7FE0D">
            <w:pPr>
              <w:keepNext w:val="0"/>
              <w:keepLines w:val="0"/>
              <w:widowControl/>
              <w:suppressLineNumbers w:val="0"/>
              <w:jc w:val="left"/>
              <w:textAlignment w:val="center"/>
              <w:rPr>
                <w:rFonts w:hint="eastAsia" w:ascii="宋体" w:hAnsi="宋体" w:eastAsia="宋体" w:cs="宋体"/>
                <w:sz w:val="24"/>
                <w:szCs w:val="24"/>
                <w:lang w:val="en-US" w:eastAsia="zh-CN" w:bidi="zh-CN"/>
              </w:rPr>
            </w:pPr>
            <w:r>
              <w:rPr>
                <w:rFonts w:hint="eastAsia" w:ascii="宋体" w:hAnsi="宋体" w:eastAsia="宋体" w:cs="宋体"/>
                <w:i w:val="0"/>
                <w:iCs w:val="0"/>
                <w:color w:val="000000"/>
                <w:spacing w:val="100"/>
                <w:kern w:val="0"/>
                <w:sz w:val="24"/>
                <w:szCs w:val="24"/>
                <w:u w:val="none"/>
                <w:fitText w:val="2880" w:id="556931325"/>
                <w:lang w:val="en-US" w:eastAsia="zh-CN" w:bidi="ar"/>
              </w:rPr>
              <w:t>市级媒体宣传</w:t>
            </w:r>
            <w:r>
              <w:rPr>
                <w:rFonts w:hint="eastAsia" w:ascii="宋体" w:hAnsi="宋体" w:eastAsia="宋体" w:cs="宋体"/>
                <w:i w:val="0"/>
                <w:iCs w:val="0"/>
                <w:color w:val="000000"/>
                <w:spacing w:val="0"/>
                <w:kern w:val="0"/>
                <w:sz w:val="24"/>
                <w:szCs w:val="24"/>
                <w:u w:val="none"/>
                <w:fitText w:val="2880" w:id="556931325"/>
                <w:lang w:val="en-US" w:eastAsia="zh-CN" w:bidi="ar"/>
              </w:rPr>
              <w:t>：</w:t>
            </w:r>
            <w:r>
              <w:rPr>
                <w:rFonts w:hint="eastAsia" w:ascii="宋体" w:hAnsi="宋体" w:eastAsia="宋体" w:cs="宋体"/>
                <w:i w:val="0"/>
                <w:iCs w:val="0"/>
                <w:color w:val="000000"/>
                <w:kern w:val="0"/>
                <w:sz w:val="24"/>
                <w:szCs w:val="24"/>
                <w:u w:val="none"/>
                <w:lang w:val="en-US" w:eastAsia="zh-CN" w:bidi="ar"/>
              </w:rPr>
              <w:t>（       ）元</w:t>
            </w:r>
          </w:p>
        </w:tc>
      </w:tr>
      <w:tr w14:paraId="7E4F4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61" w:type="dxa"/>
            <w:vMerge w:val="continue"/>
            <w:noWrap w:val="0"/>
            <w:vAlign w:val="top"/>
          </w:tcPr>
          <w:p w14:paraId="0A8654C4">
            <w:pPr>
              <w:keepNext w:val="0"/>
              <w:keepLines w:val="0"/>
              <w:pageBreakBefore w:val="0"/>
              <w:widowControl w:val="0"/>
              <w:suppressLineNumbers w:val="0"/>
              <w:kinsoku/>
              <w:overflowPunct/>
              <w:topLinePunct w:val="0"/>
              <w:autoSpaceDE w:val="0"/>
              <w:autoSpaceDN w:val="0"/>
              <w:bidi w:val="0"/>
              <w:spacing w:before="161" w:beforeAutospacing="0" w:after="0" w:afterAutospacing="0" w:line="500" w:lineRule="exact"/>
              <w:ind w:left="245" w:right="238"/>
              <w:jc w:val="center"/>
              <w:rPr>
                <w:rFonts w:hint="default" w:ascii="宋体" w:hAnsi="宋体" w:eastAsia="宋体" w:cs="宋体"/>
                <w:b/>
                <w:sz w:val="24"/>
                <w:szCs w:val="24"/>
                <w:lang w:val="en-US" w:eastAsia="zh-CN" w:bidi="zh-CN"/>
              </w:rPr>
            </w:pPr>
          </w:p>
        </w:tc>
        <w:tc>
          <w:tcPr>
            <w:tcW w:w="6064" w:type="dxa"/>
            <w:noWrap w:val="0"/>
            <w:vAlign w:val="center"/>
          </w:tcPr>
          <w:p w14:paraId="5AA07116">
            <w:pPr>
              <w:keepNext w:val="0"/>
              <w:keepLines w:val="0"/>
              <w:widowControl/>
              <w:suppressLineNumbers w:val="0"/>
              <w:jc w:val="left"/>
              <w:textAlignment w:val="center"/>
              <w:rPr>
                <w:rFonts w:hint="eastAsia" w:ascii="宋体" w:hAnsi="宋体" w:eastAsia="宋体" w:cs="宋体"/>
                <w:sz w:val="24"/>
                <w:szCs w:val="24"/>
                <w:lang w:val="en-US" w:eastAsia="zh-CN" w:bidi="zh-CN"/>
              </w:rPr>
            </w:pPr>
            <w:r>
              <w:rPr>
                <w:rFonts w:hint="eastAsia" w:ascii="宋体" w:hAnsi="宋体" w:eastAsia="宋体" w:cs="宋体"/>
                <w:i w:val="0"/>
                <w:iCs w:val="0"/>
                <w:color w:val="000000"/>
                <w:spacing w:val="0"/>
                <w:kern w:val="0"/>
                <w:sz w:val="24"/>
                <w:szCs w:val="24"/>
                <w:u w:val="none"/>
                <w:fitText w:val="2880" w:id="241444419"/>
                <w:lang w:val="en-US" w:eastAsia="zh-CN" w:bidi="ar"/>
              </w:rPr>
              <w:t>县融媒体中心各平台宣传：</w:t>
            </w:r>
            <w:r>
              <w:rPr>
                <w:rFonts w:hint="eastAsia" w:ascii="宋体" w:hAnsi="宋体" w:eastAsia="宋体" w:cs="宋体"/>
                <w:i w:val="0"/>
                <w:iCs w:val="0"/>
                <w:color w:val="000000"/>
                <w:kern w:val="0"/>
                <w:sz w:val="24"/>
                <w:szCs w:val="24"/>
                <w:u w:val="none"/>
                <w:lang w:val="en-US" w:eastAsia="zh-CN" w:bidi="ar"/>
              </w:rPr>
              <w:t>（       ）元</w:t>
            </w:r>
          </w:p>
        </w:tc>
      </w:tr>
      <w:tr w14:paraId="67DF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2461" w:type="dxa"/>
            <w:noWrap w:val="0"/>
            <w:vAlign w:val="top"/>
          </w:tcPr>
          <w:p w14:paraId="7B225B6C">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243" w:right="238"/>
              <w:jc w:val="center"/>
              <w:rPr>
                <w:rFonts w:hint="eastAsia" w:ascii="宋体" w:hAnsi="宋体" w:eastAsia="宋体" w:cs="宋体"/>
                <w:b/>
                <w:sz w:val="24"/>
                <w:szCs w:val="24"/>
                <w:lang w:val="zh-CN" w:eastAsia="zh-CN" w:bidi="zh-CN"/>
              </w:rPr>
            </w:pPr>
            <w:r>
              <w:rPr>
                <w:rFonts w:hint="eastAsia" w:ascii="宋体" w:hAnsi="宋体" w:eastAsia="宋体" w:cs="宋体"/>
                <w:b/>
                <w:sz w:val="24"/>
                <w:szCs w:val="24"/>
                <w:lang w:val="zh-CN" w:eastAsia="zh-CN" w:bidi="zh-CN"/>
              </w:rPr>
              <w:t>最后报价</w:t>
            </w:r>
          </w:p>
          <w:p w14:paraId="6CCF49CB">
            <w:pPr>
              <w:keepNext w:val="0"/>
              <w:keepLines w:val="0"/>
              <w:pageBreakBefore w:val="0"/>
              <w:widowControl w:val="0"/>
              <w:suppressLineNumbers w:val="0"/>
              <w:kinsoku/>
              <w:overflowPunct/>
              <w:topLinePunct w:val="0"/>
              <w:autoSpaceDE w:val="0"/>
              <w:autoSpaceDN w:val="0"/>
              <w:bidi w:val="0"/>
              <w:spacing w:before="161" w:beforeAutospacing="0" w:after="0" w:afterAutospacing="0" w:line="500" w:lineRule="exact"/>
              <w:ind w:left="245" w:right="238"/>
              <w:jc w:val="center"/>
              <w:rPr>
                <w:rFonts w:hint="eastAsia" w:ascii="宋体" w:hAnsi="宋体" w:eastAsia="宋体" w:cs="宋体"/>
                <w:b/>
                <w:sz w:val="24"/>
                <w:szCs w:val="24"/>
                <w:lang w:val="zh-CN" w:eastAsia="zh-CN" w:bidi="zh-CN"/>
              </w:rPr>
            </w:pPr>
            <w:r>
              <w:rPr>
                <w:rFonts w:hint="eastAsia" w:ascii="宋体" w:hAnsi="宋体" w:eastAsia="宋体" w:cs="宋体"/>
                <w:b/>
                <w:sz w:val="24"/>
                <w:szCs w:val="24"/>
                <w:lang w:val="zh-CN" w:eastAsia="zh-CN" w:bidi="zh-CN"/>
              </w:rPr>
              <w:t>（详见备注说明）</w:t>
            </w:r>
          </w:p>
        </w:tc>
        <w:tc>
          <w:tcPr>
            <w:tcW w:w="6064" w:type="dxa"/>
            <w:noWrap w:val="0"/>
            <w:vAlign w:val="top"/>
          </w:tcPr>
          <w:p w14:paraId="38F28EA3">
            <w:pPr>
              <w:keepNext w:val="0"/>
              <w:keepLines w:val="0"/>
              <w:pageBreakBefore w:val="0"/>
              <w:widowControl w:val="0"/>
              <w:suppressLineNumbers w:val="0"/>
              <w:tabs>
                <w:tab w:val="left" w:pos="4482"/>
              </w:tabs>
              <w:kinsoku/>
              <w:overflowPunct/>
              <w:topLinePunct w:val="0"/>
              <w:autoSpaceDE w:val="0"/>
              <w:autoSpaceDN w:val="0"/>
              <w:bidi w:val="0"/>
              <w:spacing w:before="0" w:beforeAutospacing="0" w:after="0" w:afterAutospacing="0" w:line="720" w:lineRule="auto"/>
              <w:ind w:left="107" w:right="0"/>
              <w:jc w:val="left"/>
              <w:rPr>
                <w:rFonts w:hint="eastAsia" w:ascii="宋体" w:hAnsi="宋体" w:eastAsia="宋体" w:cs="宋体"/>
                <w:sz w:val="24"/>
                <w:szCs w:val="24"/>
                <w:u w:val="single"/>
                <w:lang w:val="en-US" w:eastAsia="zh-CN" w:bidi="zh-CN"/>
              </w:rPr>
            </w:pPr>
            <w:r>
              <w:rPr>
                <w:rFonts w:hint="eastAsia" w:ascii="宋体" w:hAnsi="宋体" w:eastAsia="宋体" w:cs="宋体"/>
                <w:sz w:val="24"/>
                <w:szCs w:val="24"/>
                <w:lang w:val="zh-CN" w:eastAsia="zh-CN" w:bidi="zh-CN"/>
              </w:rPr>
              <w:t>人民币</w:t>
            </w:r>
            <w:r>
              <w:rPr>
                <w:rFonts w:hint="eastAsia" w:ascii="宋体" w:hAnsi="宋体" w:eastAsia="宋体" w:cs="宋体"/>
                <w:sz w:val="24"/>
                <w:szCs w:val="24"/>
                <w:lang w:val="en-US" w:eastAsia="zh-CN" w:bidi="zh-CN"/>
              </w:rPr>
              <w:t>(</w:t>
            </w:r>
            <w:r>
              <w:rPr>
                <w:rFonts w:hint="eastAsia" w:ascii="宋体" w:hAnsi="宋体" w:eastAsia="宋体" w:cs="宋体"/>
                <w:sz w:val="24"/>
                <w:szCs w:val="24"/>
                <w:lang w:val="zh-CN" w:eastAsia="zh-CN" w:bidi="zh-CN"/>
              </w:rPr>
              <w:t>大写</w:t>
            </w:r>
            <w:r>
              <w:rPr>
                <w:rFonts w:hint="eastAsia" w:ascii="宋体" w:hAnsi="宋体" w:eastAsia="宋体" w:cs="宋体"/>
                <w:sz w:val="24"/>
                <w:szCs w:val="24"/>
                <w:lang w:val="en-US" w:eastAsia="zh-CN" w:bidi="zh-CN"/>
              </w:rPr>
              <w:t>)</w:t>
            </w:r>
            <w:r>
              <w:rPr>
                <w:rFonts w:hint="eastAsia" w:ascii="宋体" w:hAnsi="宋体" w:cs="宋体"/>
                <w:sz w:val="24"/>
                <w:szCs w:val="24"/>
                <w:lang w:val="en-US" w:eastAsia="zh-CN" w:bidi="zh-CN"/>
              </w:rPr>
              <w:t>：</w:t>
            </w:r>
            <w:r>
              <w:rPr>
                <w:rFonts w:hint="eastAsia" w:ascii="宋体" w:hAnsi="宋体" w:eastAsia="宋体" w:cs="宋体"/>
                <w:sz w:val="24"/>
                <w:szCs w:val="24"/>
                <w:u w:val="single"/>
                <w:lang w:val="en-US" w:eastAsia="zh-CN" w:bidi="zh-CN"/>
              </w:rPr>
              <w:t xml:space="preserve">                         .                  </w:t>
            </w:r>
          </w:p>
          <w:p w14:paraId="09363331">
            <w:pPr>
              <w:keepNext w:val="0"/>
              <w:keepLines w:val="0"/>
              <w:pageBreakBefore w:val="0"/>
              <w:widowControl w:val="0"/>
              <w:suppressLineNumbers w:val="0"/>
              <w:tabs>
                <w:tab w:val="left" w:pos="4482"/>
              </w:tabs>
              <w:kinsoku/>
              <w:overflowPunct/>
              <w:topLinePunct w:val="0"/>
              <w:autoSpaceDE w:val="0"/>
              <w:autoSpaceDN w:val="0"/>
              <w:bidi w:val="0"/>
              <w:spacing w:before="0" w:beforeAutospacing="0" w:after="0" w:afterAutospacing="0" w:line="720" w:lineRule="auto"/>
              <w:ind w:right="0" w:firstLine="240" w:firstLineChars="10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bidi="zh-CN"/>
              </w:rPr>
              <w:t>小 写</w:t>
            </w:r>
            <w:r>
              <w:rPr>
                <w:rFonts w:hint="eastAsia" w:ascii="宋体" w:hAnsi="宋体" w:cs="宋体"/>
                <w:sz w:val="24"/>
                <w:szCs w:val="24"/>
                <w:lang w:val="en-US" w:eastAsia="zh-CN" w:bidi="zh-CN"/>
              </w:rPr>
              <w:t>：</w:t>
            </w:r>
            <w:r>
              <w:rPr>
                <w:rFonts w:hint="eastAsia" w:ascii="宋体" w:hAnsi="宋体" w:eastAsia="宋体" w:cs="宋体"/>
                <w:sz w:val="24"/>
                <w:szCs w:val="24"/>
                <w:u w:val="single"/>
                <w:lang w:val="zh-CN" w:eastAsia="zh-CN" w:bidi="zh-CN"/>
              </w:rPr>
              <w:t xml:space="preserve"> </w:t>
            </w:r>
            <w:r>
              <w:rPr>
                <w:rFonts w:hint="eastAsia" w:ascii="宋体" w:hAnsi="宋体" w:cs="宋体"/>
                <w:sz w:val="24"/>
                <w:szCs w:val="24"/>
                <w:u w:val="single"/>
                <w:lang w:val="en-US" w:eastAsia="zh-CN" w:bidi="zh-CN"/>
              </w:rPr>
              <w:t xml:space="preserve">          元</w:t>
            </w:r>
          </w:p>
        </w:tc>
      </w:tr>
      <w:tr w14:paraId="1099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2461" w:type="dxa"/>
            <w:noWrap w:val="0"/>
            <w:vAlign w:val="top"/>
          </w:tcPr>
          <w:p w14:paraId="3AFC75C8">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243" w:right="238"/>
              <w:jc w:val="center"/>
              <w:rPr>
                <w:rFonts w:hint="eastAsia" w:ascii="宋体" w:hAnsi="宋体" w:eastAsia="宋体" w:cs="宋体"/>
                <w:b/>
                <w:sz w:val="24"/>
                <w:szCs w:val="24"/>
                <w:lang w:val="zh-CN" w:eastAsia="zh-CN" w:bidi="zh-CN"/>
              </w:rPr>
            </w:pPr>
          </w:p>
          <w:p w14:paraId="472AEF20">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243" w:right="238"/>
              <w:jc w:val="center"/>
              <w:rPr>
                <w:rFonts w:hint="eastAsia" w:ascii="宋体" w:hAnsi="宋体" w:eastAsia="宋体" w:cs="宋体"/>
                <w:b/>
                <w:sz w:val="24"/>
                <w:szCs w:val="24"/>
                <w:lang w:val="zh-CN" w:eastAsia="zh-CN" w:bidi="zh-CN"/>
              </w:rPr>
            </w:pPr>
            <w:r>
              <w:rPr>
                <w:rFonts w:hint="eastAsia" w:ascii="宋体" w:hAnsi="宋体" w:eastAsia="宋体" w:cs="宋体"/>
                <w:b/>
                <w:sz w:val="24"/>
                <w:szCs w:val="24"/>
                <w:lang w:val="zh-CN" w:eastAsia="zh-CN" w:bidi="zh-CN"/>
              </w:rPr>
              <w:t>备注说明</w:t>
            </w:r>
          </w:p>
        </w:tc>
        <w:tc>
          <w:tcPr>
            <w:tcW w:w="6064" w:type="dxa"/>
            <w:noWrap w:val="0"/>
            <w:vAlign w:val="top"/>
          </w:tcPr>
          <w:p w14:paraId="3957A11C">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0" w:right="0"/>
              <w:jc w:val="left"/>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w:t>
            </w:r>
            <w:r>
              <w:rPr>
                <w:rFonts w:hint="eastAsia" w:ascii="宋体" w:hAnsi="宋体" w:eastAsia="宋体" w:cs="宋体"/>
                <w:sz w:val="24"/>
                <w:szCs w:val="24"/>
                <w:lang w:val="zh-CN" w:eastAsia="zh-CN" w:bidi="zh-CN"/>
              </w:rPr>
              <w:t xml:space="preserve">上述报价包含完成本项目范围内工作内容的全部费用，该费用不再调整。 </w:t>
            </w:r>
          </w:p>
          <w:p w14:paraId="2D43DB7B">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0" w:right="0"/>
              <w:jc w:val="left"/>
              <w:rPr>
                <w:rFonts w:hint="default" w:ascii="宋体" w:hAnsi="宋体" w:eastAsia="宋体" w:cs="宋体"/>
                <w:sz w:val="24"/>
                <w:szCs w:val="24"/>
                <w:lang w:val="en-US" w:eastAsia="zh-CN" w:bidi="zh-CN"/>
              </w:rPr>
            </w:pPr>
            <w:r>
              <w:rPr>
                <w:rFonts w:hint="eastAsia" w:ascii="宋体" w:hAnsi="宋体" w:eastAsia="宋体" w:cs="宋体"/>
                <w:sz w:val="24"/>
                <w:szCs w:val="24"/>
                <w:lang w:val="zh-CN" w:eastAsia="zh-CN" w:bidi="zh-CN"/>
              </w:rPr>
              <w:t>2、</w:t>
            </w:r>
            <w:r>
              <w:rPr>
                <w:rFonts w:hint="eastAsia" w:ascii="宋体" w:hAnsi="宋体" w:cs="宋体"/>
                <w:sz w:val="24"/>
                <w:szCs w:val="24"/>
                <w:lang w:val="en-US" w:eastAsia="zh-CN" w:bidi="zh-CN"/>
              </w:rPr>
              <w:t>上述报价均为含税价。</w:t>
            </w:r>
          </w:p>
          <w:p w14:paraId="65D626C0">
            <w:pPr>
              <w:keepNext w:val="0"/>
              <w:keepLines w:val="0"/>
              <w:pageBreakBefore w:val="0"/>
              <w:widowControl w:val="0"/>
              <w:suppressLineNumbers w:val="0"/>
              <w:kinsoku/>
              <w:overflowPunct/>
              <w:topLinePunct w:val="0"/>
              <w:autoSpaceDE w:val="0"/>
              <w:autoSpaceDN w:val="0"/>
              <w:bidi w:val="0"/>
              <w:spacing w:before="0" w:beforeAutospacing="0" w:after="0" w:afterAutospacing="0" w:line="500" w:lineRule="exact"/>
              <w:ind w:left="0" w:right="0"/>
              <w:jc w:val="left"/>
              <w:rPr>
                <w:rFonts w:hint="default" w:ascii="宋体" w:hAnsi="宋体" w:eastAsia="宋体" w:cs="宋体"/>
                <w:sz w:val="24"/>
                <w:szCs w:val="24"/>
                <w:lang w:val="en-US" w:eastAsia="zh-CN" w:bidi="zh-CN"/>
              </w:rPr>
            </w:pPr>
            <w:r>
              <w:rPr>
                <w:rFonts w:hint="eastAsia" w:ascii="宋体" w:hAnsi="宋体" w:cs="宋体"/>
                <w:sz w:val="24"/>
                <w:szCs w:val="24"/>
                <w:lang w:val="en-US" w:eastAsia="zh-CN" w:bidi="zh-CN"/>
              </w:rPr>
              <w:t>3、</w:t>
            </w:r>
            <w:r>
              <w:rPr>
                <w:rFonts w:hint="eastAsia" w:ascii="宋体" w:hAnsi="宋体" w:eastAsia="宋体" w:cs="宋体"/>
                <w:sz w:val="24"/>
                <w:szCs w:val="24"/>
                <w:lang w:val="zh-CN" w:eastAsia="zh-CN" w:bidi="zh-CN"/>
              </w:rPr>
              <w:t>其他部分与响应文件内容一致。</w:t>
            </w:r>
          </w:p>
        </w:tc>
      </w:tr>
    </w:tbl>
    <w:p w14:paraId="4D60715B">
      <w:pPr>
        <w:pageBreakBefore w:val="0"/>
        <w:widowControl w:val="0"/>
        <w:kinsoku/>
        <w:overflowPunct/>
        <w:topLinePunct w:val="0"/>
        <w:autoSpaceDE w:val="0"/>
        <w:autoSpaceDN w:val="0"/>
        <w:bidi w:val="0"/>
        <w:spacing w:before="79" w:after="0" w:line="500" w:lineRule="exact"/>
        <w:ind w:left="4421" w:right="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供应商公章或授权代表签字：</w:t>
      </w:r>
    </w:p>
    <w:p w14:paraId="046BAF61">
      <w:pPr>
        <w:pageBreakBefore w:val="0"/>
        <w:widowControl w:val="0"/>
        <w:tabs>
          <w:tab w:val="left" w:pos="5861"/>
          <w:tab w:val="left" w:pos="8556"/>
        </w:tabs>
        <w:kinsoku/>
        <w:overflowPunct/>
        <w:topLinePunct w:val="0"/>
        <w:autoSpaceDE w:val="0"/>
        <w:autoSpaceDN w:val="0"/>
        <w:bidi w:val="0"/>
        <w:spacing w:before="160" w:after="0" w:line="500" w:lineRule="exact"/>
        <w:ind w:left="4421" w:right="0"/>
        <w:jc w:val="left"/>
        <w:rPr>
          <w:rFonts w:ascii="Times New Roman" w:hAnsi="宋体" w:eastAsia="Times New Roman" w:cs="宋体"/>
          <w:sz w:val="24"/>
          <w:szCs w:val="24"/>
          <w:lang w:val="zh-CN" w:eastAsia="zh-CN" w:bidi="zh-CN"/>
        </w:rPr>
      </w:pPr>
      <w:r>
        <w:rPr>
          <w:rFonts w:ascii="宋体" w:hAnsi="宋体" w:eastAsia="宋体" w:cs="宋体"/>
          <w:sz w:val="24"/>
          <w:szCs w:val="24"/>
          <w:lang w:val="zh-CN" w:eastAsia="zh-CN" w:bidi="zh-CN"/>
        </w:rPr>
        <w:t>日</w:t>
      </w:r>
      <w:r>
        <w:rPr>
          <w:rFonts w:ascii="宋体" w:hAnsi="宋体" w:eastAsia="宋体" w:cs="宋体"/>
          <w:sz w:val="24"/>
          <w:szCs w:val="24"/>
          <w:lang w:val="zh-CN" w:eastAsia="zh-CN" w:bidi="zh-CN"/>
        </w:rPr>
        <w:tab/>
      </w:r>
      <w:r>
        <w:rPr>
          <w:rFonts w:ascii="宋体" w:hAnsi="宋体" w:eastAsia="宋体" w:cs="宋体"/>
          <w:sz w:val="24"/>
          <w:szCs w:val="24"/>
          <w:lang w:val="zh-CN" w:eastAsia="zh-CN" w:bidi="zh-CN"/>
        </w:rPr>
        <w:t>期：</w:t>
      </w:r>
      <w:r>
        <w:rPr>
          <w:rFonts w:ascii="Times New Roman" w:hAnsi="宋体" w:eastAsia="Times New Roman" w:cs="宋体"/>
          <w:sz w:val="24"/>
          <w:szCs w:val="24"/>
          <w:u w:val="single"/>
          <w:lang w:val="zh-CN" w:eastAsia="zh-CN" w:bidi="zh-CN"/>
        </w:rPr>
        <w:t xml:space="preserve"> </w:t>
      </w:r>
      <w:r>
        <w:rPr>
          <w:rFonts w:ascii="Times New Roman" w:hAnsi="宋体" w:eastAsia="Times New Roman" w:cs="宋体"/>
          <w:sz w:val="24"/>
          <w:szCs w:val="24"/>
          <w:u w:val="single"/>
          <w:lang w:val="zh-CN" w:eastAsia="zh-CN" w:bidi="zh-CN"/>
        </w:rPr>
        <w:tab/>
      </w:r>
    </w:p>
    <w:p w14:paraId="0E5F1D09">
      <w:pPr>
        <w:pageBreakBefore w:val="0"/>
        <w:kinsoku/>
        <w:overflowPunct/>
        <w:topLinePunct w:val="0"/>
        <w:bidi w:val="0"/>
        <w:spacing w:line="500" w:lineRule="exact"/>
        <w:jc w:val="left"/>
        <w:rPr>
          <w:rFonts w:hint="eastAsia" w:asciiTheme="minorEastAsia" w:hAnsiTheme="minorEastAsia" w:eastAsiaTheme="minorEastAsia" w:cstheme="minorEastAsia"/>
          <w:b/>
          <w:bCs/>
          <w:sz w:val="24"/>
          <w:szCs w:val="22"/>
          <w:lang w:val="zh-CN" w:eastAsia="zh-CN"/>
        </w:rPr>
      </w:pPr>
      <w:r>
        <w:rPr>
          <w:rFonts w:hint="eastAsia" w:asciiTheme="minorEastAsia" w:hAnsiTheme="minorEastAsia" w:eastAsiaTheme="minorEastAsia" w:cstheme="minorEastAsia"/>
          <w:b/>
          <w:bCs/>
          <w:sz w:val="24"/>
          <w:szCs w:val="22"/>
          <w:lang w:val="zh-CN" w:eastAsia="zh-CN"/>
        </w:rPr>
        <w:t>注：</w:t>
      </w:r>
      <w:r>
        <w:rPr>
          <w:rFonts w:hint="eastAsia" w:asciiTheme="minorEastAsia" w:hAnsiTheme="minorEastAsia" w:eastAsiaTheme="minorEastAsia" w:cstheme="minorEastAsia"/>
          <w:b/>
          <w:bCs/>
          <w:sz w:val="24"/>
          <w:szCs w:val="22"/>
          <w:lang w:val="en-US" w:eastAsia="zh-CN"/>
        </w:rPr>
        <w:t>1、</w:t>
      </w:r>
      <w:r>
        <w:rPr>
          <w:rFonts w:hint="eastAsia" w:asciiTheme="minorEastAsia" w:hAnsiTheme="minorEastAsia" w:eastAsiaTheme="minorEastAsia" w:cstheme="minorEastAsia"/>
          <w:b/>
          <w:bCs/>
          <w:sz w:val="24"/>
          <w:szCs w:val="22"/>
          <w:lang w:val="zh-CN" w:eastAsia="zh-CN"/>
        </w:rPr>
        <w:t>本页《最终承包报价书（第</w:t>
      </w:r>
      <w:r>
        <w:rPr>
          <w:rFonts w:hint="eastAsia" w:asciiTheme="minorEastAsia" w:hAnsiTheme="minorEastAsia" w:eastAsiaTheme="minorEastAsia" w:cstheme="minorEastAsia"/>
          <w:b/>
          <w:bCs/>
          <w:sz w:val="24"/>
          <w:szCs w:val="22"/>
          <w:u w:val="single"/>
          <w:lang w:val="zh-CN" w:eastAsia="zh-CN"/>
        </w:rPr>
        <w:t xml:space="preserve">    </w:t>
      </w:r>
      <w:r>
        <w:rPr>
          <w:rFonts w:hint="eastAsia" w:asciiTheme="minorEastAsia" w:hAnsiTheme="minorEastAsia" w:eastAsiaTheme="minorEastAsia" w:cstheme="minorEastAsia"/>
          <w:b/>
          <w:bCs/>
          <w:sz w:val="24"/>
          <w:szCs w:val="22"/>
          <w:u w:val="single"/>
          <w:lang w:val="zh-CN" w:eastAsia="zh-CN"/>
        </w:rPr>
        <w:tab/>
      </w:r>
      <w:r>
        <w:rPr>
          <w:rFonts w:hint="eastAsia" w:asciiTheme="minorEastAsia" w:hAnsiTheme="minorEastAsia" w:eastAsiaTheme="minorEastAsia" w:cstheme="minorEastAsia"/>
          <w:b/>
          <w:bCs/>
          <w:sz w:val="24"/>
          <w:szCs w:val="22"/>
          <w:lang w:val="zh-CN" w:eastAsia="zh-CN"/>
        </w:rPr>
        <w:t>次报价书）》由供应商在现场依</w:t>
      </w:r>
      <w:r>
        <w:rPr>
          <w:rFonts w:hint="eastAsia" w:asciiTheme="minorEastAsia" w:hAnsiTheme="minorEastAsia" w:eastAsiaTheme="minorEastAsia" w:cstheme="minorEastAsia"/>
          <w:b/>
          <w:bCs/>
          <w:sz w:val="24"/>
          <w:szCs w:val="22"/>
          <w:lang w:val="en-US" w:eastAsia="zh-CN"/>
        </w:rPr>
        <w:t>谈判</w:t>
      </w:r>
      <w:r>
        <w:rPr>
          <w:rFonts w:hint="eastAsia" w:asciiTheme="minorEastAsia" w:hAnsiTheme="minorEastAsia" w:eastAsiaTheme="minorEastAsia" w:cstheme="minorEastAsia"/>
          <w:b/>
          <w:bCs/>
          <w:sz w:val="24"/>
          <w:szCs w:val="22"/>
          <w:lang w:val="zh-CN" w:eastAsia="zh-CN"/>
        </w:rPr>
        <w:t>情况填写</w:t>
      </w:r>
      <w:r>
        <w:rPr>
          <w:rFonts w:hint="eastAsia" w:ascii="宋体" w:hAnsi="宋体" w:eastAsia="宋体" w:cs="宋体"/>
          <w:b/>
          <w:color w:val="auto"/>
          <w:sz w:val="24"/>
          <w:szCs w:val="24"/>
          <w:highlight w:val="none"/>
        </w:rPr>
        <w:t>（勿需装订在谈判文件内）</w:t>
      </w:r>
      <w:r>
        <w:rPr>
          <w:rFonts w:hint="eastAsia" w:ascii="宋体" w:hAnsi="宋体" w:eastAsia="宋体" w:cs="宋体"/>
          <w:b/>
          <w:color w:val="auto"/>
          <w:sz w:val="24"/>
          <w:szCs w:val="24"/>
          <w:highlight w:val="none"/>
          <w:lang w:eastAsia="zh-CN"/>
        </w:rPr>
        <w:t>，</w:t>
      </w:r>
      <w:r>
        <w:rPr>
          <w:rFonts w:hint="eastAsia" w:asciiTheme="minorEastAsia" w:hAnsiTheme="minorEastAsia" w:eastAsiaTheme="minorEastAsia" w:cstheme="minorEastAsia"/>
          <w:b/>
          <w:bCs/>
          <w:sz w:val="24"/>
          <w:szCs w:val="22"/>
          <w:lang w:val="zh-CN" w:eastAsia="zh-CN"/>
        </w:rPr>
        <w:t>请带至</w:t>
      </w:r>
      <w:r>
        <w:rPr>
          <w:rFonts w:hint="eastAsia" w:asciiTheme="minorEastAsia" w:hAnsiTheme="minorEastAsia" w:eastAsiaTheme="minorEastAsia" w:cstheme="minorEastAsia"/>
          <w:b/>
          <w:bCs/>
          <w:sz w:val="24"/>
          <w:szCs w:val="22"/>
          <w:lang w:val="en-US" w:eastAsia="zh-CN"/>
        </w:rPr>
        <w:t>谈判</w:t>
      </w:r>
      <w:r>
        <w:rPr>
          <w:rFonts w:hint="eastAsia" w:asciiTheme="minorEastAsia" w:hAnsiTheme="minorEastAsia" w:eastAsiaTheme="minorEastAsia" w:cstheme="minorEastAsia"/>
          <w:b/>
          <w:bCs/>
          <w:sz w:val="24"/>
          <w:szCs w:val="22"/>
          <w:lang w:val="zh-CN" w:eastAsia="zh-CN"/>
        </w:rPr>
        <w:t>现场备填。</w:t>
      </w:r>
    </w:p>
    <w:p w14:paraId="62233294">
      <w:pPr>
        <w:pageBreakBefore w:val="0"/>
        <w:numPr>
          <w:ilvl w:val="0"/>
          <w:numId w:val="0"/>
        </w:numPr>
        <w:kinsoku/>
        <w:overflowPunct/>
        <w:topLinePunct w:val="0"/>
        <w:bidi w:val="0"/>
        <w:spacing w:line="500" w:lineRule="exact"/>
        <w:rPr>
          <w:bCs/>
          <w:color w:val="auto"/>
        </w:rPr>
      </w:pPr>
      <w:r>
        <w:rPr>
          <w:rFonts w:hint="eastAsia" w:ascii="宋体" w:hAnsi="宋体" w:eastAsia="宋体" w:cs="宋体"/>
          <w:b/>
          <w:color w:val="auto"/>
          <w:kern w:val="2"/>
          <w:sz w:val="24"/>
          <w:szCs w:val="24"/>
          <w:lang w:val="en-US" w:eastAsia="zh-CN" w:bidi="ar-SA"/>
        </w:rPr>
        <w:t>2、</w:t>
      </w:r>
      <w:r>
        <w:rPr>
          <w:rFonts w:hint="eastAsia" w:ascii="宋体" w:hAnsi="宋体" w:eastAsia="宋体" w:cs="宋体"/>
          <w:b/>
          <w:color w:val="auto"/>
          <w:kern w:val="2"/>
          <w:sz w:val="24"/>
          <w:szCs w:val="24"/>
          <w:highlight w:val="none"/>
          <w:lang w:val="en-US" w:eastAsia="zh-CN" w:bidi="ar-SA"/>
        </w:rPr>
        <w:t>最终报价单位为元，最多保留两位小数。</w:t>
      </w:r>
    </w:p>
    <w:p w14:paraId="3B9B2DDD">
      <w:pPr>
        <w:rPr>
          <w:rFonts w:hAnsi="宋体" w:cs="宋体"/>
          <w:sz w:val="24"/>
          <w:szCs w:val="32"/>
        </w:rPr>
      </w:pPr>
    </w:p>
    <w:sectPr>
      <w:headerReference r:id="rId11" w:type="default"/>
      <w:footerReference r:id="rId13" w:type="default"/>
      <w:headerReference r:id="rId12" w:type="even"/>
      <w:footerReference r:id="rId14" w:type="even"/>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9634">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C91814">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10C91814">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8FD56">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BA4A00">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LBcsoBAACcAwAADgAAAGRycy9lMm9Eb2MueG1srVNLbtswEN0X6B0I&#10;7mvKD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fmPUr1wN/s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zLBcsoBAACcAwAADgAAAAAAAAABACAAAAAeAQAAZHJzL2Uyb0Rv&#10;Yy54bWxQSwUGAAAAAAYABgBZAQAAWgUAAAAA&#10;">
              <v:fill on="f" focussize="0,0"/>
              <v:stroke on="f"/>
              <v:imagedata o:title=""/>
              <o:lock v:ext="edit" aspectratio="f"/>
              <v:textbox inset="0mm,0mm,0mm,0mm" style="mso-fit-shape-to-text:t;">
                <w:txbxContent>
                  <w:p w14:paraId="5ABA4A00">
                    <w:pPr>
                      <w:pStyle w:val="2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2E3C3F">
                          <w:pPr>
                            <w:pStyle w:val="2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562E3C3F">
                    <w:pPr>
                      <w:pStyle w:val="2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6A0F">
    <w:pPr>
      <w:spacing w:line="176" w:lineRule="auto"/>
      <w:ind w:left="43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9F2B1A">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D08s8BAACqAwAADgAAAGRycy9lMm9Eb2MueG1srVPNjtMwEL4j8Q6W&#10;7zRpQ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V5w5YenBL9+/XX78uvz8ypbl&#10;y2VSqPdYUeGdp9I4vIWB9maOIwUT8aENNn2JEqM86Xu+6quGyGS6tF6t1yWlJOVmh/CLh+s+YHyn&#10;wLJk1DzQA2ZdxekDxrF0LkndHNxqY/IjGvdXgDDHiMpbMN1OTMaJkxWH/TDR20NzJnY9bULNHS0+&#10;Z+a9I6HT0sxGmI39bBx90Icub1Xqjv7NMdJIedLUYYQlhsmhJ8xcp3VLO/Knn6sefrH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V0PTyzwEAAKoDAAAOAAAAAAAAAAEAIAAAAB4BAABkcnMv&#10;ZTJvRG9jLnhtbFBLBQYAAAAABgAGAFkBAABfBQAAAAA=&#10;">
              <v:fill on="f" focussize="0,0"/>
              <v:stroke on="f"/>
              <v:imagedata o:title=""/>
              <o:lock v:ext="edit" aspectratio="f"/>
              <v:textbox inset="0mm,0mm,0mm,0mm" style="mso-fit-shape-to-text:t;">
                <w:txbxContent>
                  <w:p w14:paraId="5E9F2B1A">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D3FA">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8B600">
                          <w:pPr>
                            <w:pStyle w:val="20"/>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Y0Hs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QY0HsoBAACcAwAADgAAAAAAAAABACAAAAAeAQAAZHJzL2Uyb0Rv&#10;Yy54bWxQSwUGAAAAAAYABgBZAQAAWgUAAAAA&#10;">
              <v:fill on="f" focussize="0,0"/>
              <v:stroke on="f"/>
              <v:imagedata o:title=""/>
              <o:lock v:ext="edit" aspectratio="f"/>
              <v:textbox inset="0mm,0mm,0mm,0mm" style="mso-fit-shape-to-text:t;">
                <w:txbxContent>
                  <w:p w14:paraId="4078B600">
                    <w:pPr>
                      <w:pStyle w:val="2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B6C3A">
    <w:pPr>
      <w:pStyle w:val="20"/>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09D2216D">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9DB70">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CDC7CC">
                          <w:pPr>
                            <w:pStyle w:val="20"/>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xOKMsBAACc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JYSxy0O/PL92+XHr8vPr2RZ&#10;3dxkhfoANSY+BExNwxs/4N7MfkBnJj6oaPMXKRGMo77nq75ySETkR+vVel1hSGBsviA+e3weIqS3&#10;0luSjYZGHGDRlZ/eQxpT55Rczfl7bUwZonF/ORAze1jufewxW2nYDxOhvW/PyKfH2TfU4apTYt45&#10;lDavyWzE2djPxjFEfejKHuV6EF4f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cTijLAQAAnAMAAA4AAAAAAAAAAQAgAAAAHgEAAGRycy9lMm9E&#10;b2MueG1sUEsFBgAAAAAGAAYAWQEAAFsFAAAAAA==&#10;">
              <v:fill on="f" focussize="0,0"/>
              <v:stroke on="f"/>
              <v:imagedata o:title=""/>
              <o:lock v:ext="edit" aspectratio="f"/>
              <v:textbox inset="0mm,0mm,0mm,0mm" style="mso-fit-shape-to-text:t;">
                <w:txbxContent>
                  <w:p w14:paraId="4BCDC7CC">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6E8B">
    <w:pPr>
      <w:pStyle w:val="20"/>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3AA3FDD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7EF2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55CF">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4E2C">
    <w:pPr>
      <w:pStyle w:val="21"/>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490E6939">
    <w:pPr>
      <w:pStyle w:val="21"/>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3AC1">
    <w:pPr>
      <w:pStyle w:val="2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F56CB">
    <w:pPr>
      <w:pStyle w:val="21"/>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60A7558F">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06AFB53"/>
    <w:multiLevelType w:val="singleLevel"/>
    <w:tmpl w:val="606AFB5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MWI5YmJmY2Y0NTYxYzI5ODYzNmM5YTg1ZWMyYWIifQ=="/>
  </w:docVars>
  <w:rsids>
    <w:rsidRoot w:val="002D677B"/>
    <w:rsid w:val="00004421"/>
    <w:rsid w:val="000145D1"/>
    <w:rsid w:val="00015C71"/>
    <w:rsid w:val="00017F4E"/>
    <w:rsid w:val="00042454"/>
    <w:rsid w:val="00047B18"/>
    <w:rsid w:val="000512E3"/>
    <w:rsid w:val="00055355"/>
    <w:rsid w:val="00057B34"/>
    <w:rsid w:val="00066BCF"/>
    <w:rsid w:val="00083A3D"/>
    <w:rsid w:val="00085013"/>
    <w:rsid w:val="0008734A"/>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6254"/>
    <w:rsid w:val="001723C8"/>
    <w:rsid w:val="001A3254"/>
    <w:rsid w:val="001B57E1"/>
    <w:rsid w:val="001D0C74"/>
    <w:rsid w:val="0021447E"/>
    <w:rsid w:val="002175D2"/>
    <w:rsid w:val="00222133"/>
    <w:rsid w:val="00230806"/>
    <w:rsid w:val="00232B23"/>
    <w:rsid w:val="00237471"/>
    <w:rsid w:val="002656AE"/>
    <w:rsid w:val="00272CC9"/>
    <w:rsid w:val="00275023"/>
    <w:rsid w:val="00295D2C"/>
    <w:rsid w:val="002A5B98"/>
    <w:rsid w:val="002C3E11"/>
    <w:rsid w:val="002C5B38"/>
    <w:rsid w:val="002D508E"/>
    <w:rsid w:val="002D677B"/>
    <w:rsid w:val="002F334D"/>
    <w:rsid w:val="002F39AD"/>
    <w:rsid w:val="002F5374"/>
    <w:rsid w:val="002F5CAB"/>
    <w:rsid w:val="003342EF"/>
    <w:rsid w:val="00341CB0"/>
    <w:rsid w:val="003452C5"/>
    <w:rsid w:val="003540FC"/>
    <w:rsid w:val="003808D6"/>
    <w:rsid w:val="0039588E"/>
    <w:rsid w:val="003A03AB"/>
    <w:rsid w:val="003A6740"/>
    <w:rsid w:val="003B2EDC"/>
    <w:rsid w:val="003B7B6B"/>
    <w:rsid w:val="003C2E20"/>
    <w:rsid w:val="003E0B3C"/>
    <w:rsid w:val="003E7C3B"/>
    <w:rsid w:val="00424DA5"/>
    <w:rsid w:val="0042639B"/>
    <w:rsid w:val="0044129B"/>
    <w:rsid w:val="004413B4"/>
    <w:rsid w:val="00453F7D"/>
    <w:rsid w:val="00467683"/>
    <w:rsid w:val="00480533"/>
    <w:rsid w:val="004B422C"/>
    <w:rsid w:val="004C64FF"/>
    <w:rsid w:val="004D417F"/>
    <w:rsid w:val="004D5F5D"/>
    <w:rsid w:val="00524A87"/>
    <w:rsid w:val="00533AAE"/>
    <w:rsid w:val="005376B2"/>
    <w:rsid w:val="00554448"/>
    <w:rsid w:val="00554CE3"/>
    <w:rsid w:val="0059071F"/>
    <w:rsid w:val="005E56CC"/>
    <w:rsid w:val="00631A78"/>
    <w:rsid w:val="00654D2C"/>
    <w:rsid w:val="00661562"/>
    <w:rsid w:val="00667DEC"/>
    <w:rsid w:val="006758D4"/>
    <w:rsid w:val="00692C44"/>
    <w:rsid w:val="006A47DE"/>
    <w:rsid w:val="006B21E7"/>
    <w:rsid w:val="006C6C46"/>
    <w:rsid w:val="006D3DB9"/>
    <w:rsid w:val="006D3E10"/>
    <w:rsid w:val="006F01D1"/>
    <w:rsid w:val="006F15F4"/>
    <w:rsid w:val="006F1A5A"/>
    <w:rsid w:val="006F3D3E"/>
    <w:rsid w:val="00703A7D"/>
    <w:rsid w:val="00723EFB"/>
    <w:rsid w:val="00755A28"/>
    <w:rsid w:val="0076570F"/>
    <w:rsid w:val="00766A44"/>
    <w:rsid w:val="007679E5"/>
    <w:rsid w:val="00767BB2"/>
    <w:rsid w:val="0079235B"/>
    <w:rsid w:val="007B00FB"/>
    <w:rsid w:val="007C07BE"/>
    <w:rsid w:val="007E5141"/>
    <w:rsid w:val="007F618A"/>
    <w:rsid w:val="00810784"/>
    <w:rsid w:val="00812341"/>
    <w:rsid w:val="00821E97"/>
    <w:rsid w:val="00821EE8"/>
    <w:rsid w:val="00836866"/>
    <w:rsid w:val="0086536B"/>
    <w:rsid w:val="008958C5"/>
    <w:rsid w:val="008A6D3D"/>
    <w:rsid w:val="008B0E3B"/>
    <w:rsid w:val="008C0ED2"/>
    <w:rsid w:val="008D216E"/>
    <w:rsid w:val="008F2946"/>
    <w:rsid w:val="00917C0D"/>
    <w:rsid w:val="00920D4C"/>
    <w:rsid w:val="00922A63"/>
    <w:rsid w:val="0092331E"/>
    <w:rsid w:val="00925990"/>
    <w:rsid w:val="00940C0D"/>
    <w:rsid w:val="0094320A"/>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20E80"/>
    <w:rsid w:val="00B27CFD"/>
    <w:rsid w:val="00B410F6"/>
    <w:rsid w:val="00B5490B"/>
    <w:rsid w:val="00B57818"/>
    <w:rsid w:val="00B70C68"/>
    <w:rsid w:val="00B80346"/>
    <w:rsid w:val="00B83865"/>
    <w:rsid w:val="00BA10A8"/>
    <w:rsid w:val="00BA136D"/>
    <w:rsid w:val="00BA3764"/>
    <w:rsid w:val="00BB722E"/>
    <w:rsid w:val="00BB7605"/>
    <w:rsid w:val="00C2167A"/>
    <w:rsid w:val="00C27B98"/>
    <w:rsid w:val="00C35B5F"/>
    <w:rsid w:val="00C37D4A"/>
    <w:rsid w:val="00C5087F"/>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B7C"/>
    <w:rsid w:val="00D13AEE"/>
    <w:rsid w:val="00D16453"/>
    <w:rsid w:val="00D175FB"/>
    <w:rsid w:val="00D17CE1"/>
    <w:rsid w:val="00D21312"/>
    <w:rsid w:val="00D30EA8"/>
    <w:rsid w:val="00D33ECF"/>
    <w:rsid w:val="00D6083A"/>
    <w:rsid w:val="00D94E40"/>
    <w:rsid w:val="00DA7984"/>
    <w:rsid w:val="00DD2C6C"/>
    <w:rsid w:val="00DE18CD"/>
    <w:rsid w:val="00E11038"/>
    <w:rsid w:val="00E12E66"/>
    <w:rsid w:val="00E20914"/>
    <w:rsid w:val="00E51EF9"/>
    <w:rsid w:val="00E566FF"/>
    <w:rsid w:val="00E83E73"/>
    <w:rsid w:val="00E912B4"/>
    <w:rsid w:val="00EA25B6"/>
    <w:rsid w:val="00EB6BB0"/>
    <w:rsid w:val="00EC0762"/>
    <w:rsid w:val="00EE1E3E"/>
    <w:rsid w:val="00EE4358"/>
    <w:rsid w:val="00EE5630"/>
    <w:rsid w:val="00EF2195"/>
    <w:rsid w:val="00EF260D"/>
    <w:rsid w:val="00EF3C5F"/>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7E1B19"/>
    <w:rsid w:val="01D029E9"/>
    <w:rsid w:val="01ED3B47"/>
    <w:rsid w:val="03062E20"/>
    <w:rsid w:val="03B22505"/>
    <w:rsid w:val="04013293"/>
    <w:rsid w:val="04067181"/>
    <w:rsid w:val="04103CCA"/>
    <w:rsid w:val="04BC5D9C"/>
    <w:rsid w:val="04EE7346"/>
    <w:rsid w:val="05036D27"/>
    <w:rsid w:val="05045387"/>
    <w:rsid w:val="05104E6D"/>
    <w:rsid w:val="05ED76CD"/>
    <w:rsid w:val="062214BD"/>
    <w:rsid w:val="06262FF6"/>
    <w:rsid w:val="063254ED"/>
    <w:rsid w:val="070E6A0C"/>
    <w:rsid w:val="07267565"/>
    <w:rsid w:val="078C18B4"/>
    <w:rsid w:val="07A20F5E"/>
    <w:rsid w:val="0861256E"/>
    <w:rsid w:val="0954445F"/>
    <w:rsid w:val="095F7F4C"/>
    <w:rsid w:val="096133B5"/>
    <w:rsid w:val="09A60123"/>
    <w:rsid w:val="09AE75F4"/>
    <w:rsid w:val="09B95F2A"/>
    <w:rsid w:val="0A0C7574"/>
    <w:rsid w:val="0A161A89"/>
    <w:rsid w:val="0A424E4D"/>
    <w:rsid w:val="0AF82AC1"/>
    <w:rsid w:val="0B216451"/>
    <w:rsid w:val="0B66533A"/>
    <w:rsid w:val="0B84414D"/>
    <w:rsid w:val="0BD46BAD"/>
    <w:rsid w:val="0BE120B2"/>
    <w:rsid w:val="0C26399B"/>
    <w:rsid w:val="0CEC43CA"/>
    <w:rsid w:val="0D50431A"/>
    <w:rsid w:val="0D712E27"/>
    <w:rsid w:val="0DF624E0"/>
    <w:rsid w:val="0E346850"/>
    <w:rsid w:val="0E404088"/>
    <w:rsid w:val="0EA113FA"/>
    <w:rsid w:val="0EB53450"/>
    <w:rsid w:val="0ECA11CC"/>
    <w:rsid w:val="0F390E8E"/>
    <w:rsid w:val="0F625791"/>
    <w:rsid w:val="0F8F57EF"/>
    <w:rsid w:val="0FF97625"/>
    <w:rsid w:val="1018304A"/>
    <w:rsid w:val="110475FD"/>
    <w:rsid w:val="11820B13"/>
    <w:rsid w:val="119066D9"/>
    <w:rsid w:val="11A335B5"/>
    <w:rsid w:val="1219428E"/>
    <w:rsid w:val="13490C7D"/>
    <w:rsid w:val="135C3D02"/>
    <w:rsid w:val="14E1184E"/>
    <w:rsid w:val="14E27C21"/>
    <w:rsid w:val="153B2049"/>
    <w:rsid w:val="15614DA8"/>
    <w:rsid w:val="15AD79BC"/>
    <w:rsid w:val="15C36A6F"/>
    <w:rsid w:val="16066864"/>
    <w:rsid w:val="16991EF7"/>
    <w:rsid w:val="173850A7"/>
    <w:rsid w:val="174C0AC9"/>
    <w:rsid w:val="177B4CDC"/>
    <w:rsid w:val="17BA7FA6"/>
    <w:rsid w:val="192B2CC7"/>
    <w:rsid w:val="198B1495"/>
    <w:rsid w:val="1997486D"/>
    <w:rsid w:val="1A00092C"/>
    <w:rsid w:val="1A6C248D"/>
    <w:rsid w:val="1AC76DF0"/>
    <w:rsid w:val="1AE159B8"/>
    <w:rsid w:val="1AF45622"/>
    <w:rsid w:val="1B5A7D5C"/>
    <w:rsid w:val="1B7B26E1"/>
    <w:rsid w:val="1BFC2F54"/>
    <w:rsid w:val="1C1A0C17"/>
    <w:rsid w:val="1C32741A"/>
    <w:rsid w:val="1C3F0B4C"/>
    <w:rsid w:val="1C405AE5"/>
    <w:rsid w:val="1CA15803"/>
    <w:rsid w:val="1D765EE5"/>
    <w:rsid w:val="1D960483"/>
    <w:rsid w:val="1DF15284"/>
    <w:rsid w:val="1E0F670C"/>
    <w:rsid w:val="1F1437EE"/>
    <w:rsid w:val="1F171CFB"/>
    <w:rsid w:val="1F3C13B6"/>
    <w:rsid w:val="1F4B49D6"/>
    <w:rsid w:val="1FF85069"/>
    <w:rsid w:val="20F41885"/>
    <w:rsid w:val="21993B18"/>
    <w:rsid w:val="22464B8D"/>
    <w:rsid w:val="229A201B"/>
    <w:rsid w:val="22BDFA33"/>
    <w:rsid w:val="236E2F6E"/>
    <w:rsid w:val="239974D6"/>
    <w:rsid w:val="23E266D0"/>
    <w:rsid w:val="23E4618A"/>
    <w:rsid w:val="244E3D8C"/>
    <w:rsid w:val="24995226"/>
    <w:rsid w:val="24B335CE"/>
    <w:rsid w:val="252C74BE"/>
    <w:rsid w:val="25CC174F"/>
    <w:rsid w:val="25EF0E4B"/>
    <w:rsid w:val="269C26E3"/>
    <w:rsid w:val="27001EC8"/>
    <w:rsid w:val="272E2D63"/>
    <w:rsid w:val="27410CB9"/>
    <w:rsid w:val="276D441A"/>
    <w:rsid w:val="279A5DB4"/>
    <w:rsid w:val="27A504B9"/>
    <w:rsid w:val="2861396F"/>
    <w:rsid w:val="28B44010"/>
    <w:rsid w:val="29384EA8"/>
    <w:rsid w:val="29E26463"/>
    <w:rsid w:val="2A023B5C"/>
    <w:rsid w:val="2A07065D"/>
    <w:rsid w:val="2A0A08C3"/>
    <w:rsid w:val="2A1801B0"/>
    <w:rsid w:val="2A534564"/>
    <w:rsid w:val="2A573A70"/>
    <w:rsid w:val="2ADB55E8"/>
    <w:rsid w:val="2CBD48CE"/>
    <w:rsid w:val="2CE211B2"/>
    <w:rsid w:val="2E015B36"/>
    <w:rsid w:val="2E275F81"/>
    <w:rsid w:val="2E453834"/>
    <w:rsid w:val="2E4E51C2"/>
    <w:rsid w:val="2E77681E"/>
    <w:rsid w:val="2F4B2B19"/>
    <w:rsid w:val="2F6246CC"/>
    <w:rsid w:val="2F6F0CA0"/>
    <w:rsid w:val="2FC53683"/>
    <w:rsid w:val="2FE97A5F"/>
    <w:rsid w:val="305A47DE"/>
    <w:rsid w:val="309E348C"/>
    <w:rsid w:val="310F3CAE"/>
    <w:rsid w:val="31394322"/>
    <w:rsid w:val="3184082E"/>
    <w:rsid w:val="32617B06"/>
    <w:rsid w:val="328304A8"/>
    <w:rsid w:val="32BC5F4D"/>
    <w:rsid w:val="335A0F5B"/>
    <w:rsid w:val="336C7C50"/>
    <w:rsid w:val="33896203"/>
    <w:rsid w:val="33FE364D"/>
    <w:rsid w:val="341512ED"/>
    <w:rsid w:val="3429115A"/>
    <w:rsid w:val="34F2580B"/>
    <w:rsid w:val="35A45821"/>
    <w:rsid w:val="36024564"/>
    <w:rsid w:val="36276335"/>
    <w:rsid w:val="36981B5D"/>
    <w:rsid w:val="36A9634B"/>
    <w:rsid w:val="36D079C8"/>
    <w:rsid w:val="37D716E7"/>
    <w:rsid w:val="37FE6A0C"/>
    <w:rsid w:val="39034B3A"/>
    <w:rsid w:val="391D218E"/>
    <w:rsid w:val="39D761EF"/>
    <w:rsid w:val="39DB72F7"/>
    <w:rsid w:val="3A342638"/>
    <w:rsid w:val="3A8F3EBA"/>
    <w:rsid w:val="3AB10259"/>
    <w:rsid w:val="3ABA6222"/>
    <w:rsid w:val="3AE4207A"/>
    <w:rsid w:val="3AF64E5C"/>
    <w:rsid w:val="3B301F44"/>
    <w:rsid w:val="3BAE4829"/>
    <w:rsid w:val="3BDF73C5"/>
    <w:rsid w:val="3C7E6224"/>
    <w:rsid w:val="3D902D22"/>
    <w:rsid w:val="3DF4021A"/>
    <w:rsid w:val="3E047963"/>
    <w:rsid w:val="3E8E5BBA"/>
    <w:rsid w:val="3EB86069"/>
    <w:rsid w:val="3ECE69ED"/>
    <w:rsid w:val="3EDC10FF"/>
    <w:rsid w:val="3F0A5E23"/>
    <w:rsid w:val="3F446ADE"/>
    <w:rsid w:val="3F785608"/>
    <w:rsid w:val="3FA30576"/>
    <w:rsid w:val="3FFEC4E3"/>
    <w:rsid w:val="402734A4"/>
    <w:rsid w:val="405A4873"/>
    <w:rsid w:val="407B3EBF"/>
    <w:rsid w:val="408B7AEC"/>
    <w:rsid w:val="40DF693D"/>
    <w:rsid w:val="40F16A8E"/>
    <w:rsid w:val="412545BE"/>
    <w:rsid w:val="4184340D"/>
    <w:rsid w:val="41E21275"/>
    <w:rsid w:val="428C60A6"/>
    <w:rsid w:val="42D67AEC"/>
    <w:rsid w:val="42EA282B"/>
    <w:rsid w:val="42F6152E"/>
    <w:rsid w:val="42FF6CFF"/>
    <w:rsid w:val="430F2571"/>
    <w:rsid w:val="43771108"/>
    <w:rsid w:val="438C4E1A"/>
    <w:rsid w:val="44374467"/>
    <w:rsid w:val="4440126D"/>
    <w:rsid w:val="446523D2"/>
    <w:rsid w:val="44C956AE"/>
    <w:rsid w:val="44DA0696"/>
    <w:rsid w:val="44E45943"/>
    <w:rsid w:val="4583380E"/>
    <w:rsid w:val="45993146"/>
    <w:rsid w:val="45EB3538"/>
    <w:rsid w:val="4619382C"/>
    <w:rsid w:val="46440499"/>
    <w:rsid w:val="46771AC0"/>
    <w:rsid w:val="47867C8A"/>
    <w:rsid w:val="479B001B"/>
    <w:rsid w:val="47D21CE6"/>
    <w:rsid w:val="48876507"/>
    <w:rsid w:val="4895151C"/>
    <w:rsid w:val="48A14890"/>
    <w:rsid w:val="495628A5"/>
    <w:rsid w:val="4A4C0CEF"/>
    <w:rsid w:val="4A67403B"/>
    <w:rsid w:val="4A6A6784"/>
    <w:rsid w:val="4A734E79"/>
    <w:rsid w:val="4AD27698"/>
    <w:rsid w:val="4AFE6652"/>
    <w:rsid w:val="4B1B114F"/>
    <w:rsid w:val="4B250368"/>
    <w:rsid w:val="4B7F6C9B"/>
    <w:rsid w:val="4BB01238"/>
    <w:rsid w:val="4BF93ABC"/>
    <w:rsid w:val="4C2F1AF1"/>
    <w:rsid w:val="4C3F1A69"/>
    <w:rsid w:val="4C4C7D4D"/>
    <w:rsid w:val="4C692E82"/>
    <w:rsid w:val="4C974380"/>
    <w:rsid w:val="4CA7336B"/>
    <w:rsid w:val="4D001539"/>
    <w:rsid w:val="4D060FF1"/>
    <w:rsid w:val="4D714797"/>
    <w:rsid w:val="4D7809BA"/>
    <w:rsid w:val="4D9F0EEA"/>
    <w:rsid w:val="4F095D32"/>
    <w:rsid w:val="4F1A4882"/>
    <w:rsid w:val="4F3C4DEC"/>
    <w:rsid w:val="4FFD6F40"/>
    <w:rsid w:val="504900D3"/>
    <w:rsid w:val="516B5FEC"/>
    <w:rsid w:val="52892F5B"/>
    <w:rsid w:val="52F61709"/>
    <w:rsid w:val="530F0207"/>
    <w:rsid w:val="54073585"/>
    <w:rsid w:val="54995B0C"/>
    <w:rsid w:val="54DB7C79"/>
    <w:rsid w:val="54E74E26"/>
    <w:rsid w:val="55580A4D"/>
    <w:rsid w:val="55B45B96"/>
    <w:rsid w:val="55DC1770"/>
    <w:rsid w:val="55EB22AC"/>
    <w:rsid w:val="561133F2"/>
    <w:rsid w:val="56571FFA"/>
    <w:rsid w:val="56A35AD2"/>
    <w:rsid w:val="56A92CC7"/>
    <w:rsid w:val="577C2B01"/>
    <w:rsid w:val="57D12A3E"/>
    <w:rsid w:val="58BD10F2"/>
    <w:rsid w:val="58CD33C2"/>
    <w:rsid w:val="596469D4"/>
    <w:rsid w:val="59F26FBD"/>
    <w:rsid w:val="5A435D8A"/>
    <w:rsid w:val="5B7B3FD9"/>
    <w:rsid w:val="5BBC1D09"/>
    <w:rsid w:val="5C34380B"/>
    <w:rsid w:val="5CC52620"/>
    <w:rsid w:val="5CFC6999"/>
    <w:rsid w:val="5E3FDF58"/>
    <w:rsid w:val="5E425939"/>
    <w:rsid w:val="5E841E57"/>
    <w:rsid w:val="5F8A0857"/>
    <w:rsid w:val="5F912AC4"/>
    <w:rsid w:val="5FD14724"/>
    <w:rsid w:val="5FEF8784"/>
    <w:rsid w:val="5FF870D3"/>
    <w:rsid w:val="60700F30"/>
    <w:rsid w:val="607B7DDA"/>
    <w:rsid w:val="609B19AB"/>
    <w:rsid w:val="60D07D7A"/>
    <w:rsid w:val="61A76748"/>
    <w:rsid w:val="62B731FE"/>
    <w:rsid w:val="63023C80"/>
    <w:rsid w:val="636D3AA1"/>
    <w:rsid w:val="64F22548"/>
    <w:rsid w:val="656062CA"/>
    <w:rsid w:val="659106E2"/>
    <w:rsid w:val="65AB236D"/>
    <w:rsid w:val="65B8080F"/>
    <w:rsid w:val="66483EC5"/>
    <w:rsid w:val="66704DB4"/>
    <w:rsid w:val="67102453"/>
    <w:rsid w:val="67937D5D"/>
    <w:rsid w:val="68A67F29"/>
    <w:rsid w:val="68C15CCA"/>
    <w:rsid w:val="696939B3"/>
    <w:rsid w:val="697D619C"/>
    <w:rsid w:val="69EE3D79"/>
    <w:rsid w:val="6A0E091D"/>
    <w:rsid w:val="6A3C12E4"/>
    <w:rsid w:val="6ABA50AD"/>
    <w:rsid w:val="6B525C47"/>
    <w:rsid w:val="6B58725B"/>
    <w:rsid w:val="6BA94127"/>
    <w:rsid w:val="6BFE46EA"/>
    <w:rsid w:val="6C7F53F2"/>
    <w:rsid w:val="6C8B20CC"/>
    <w:rsid w:val="6CA74CA3"/>
    <w:rsid w:val="6CFD412D"/>
    <w:rsid w:val="6F480127"/>
    <w:rsid w:val="6FE653D7"/>
    <w:rsid w:val="704217E5"/>
    <w:rsid w:val="70694B7B"/>
    <w:rsid w:val="71106C43"/>
    <w:rsid w:val="71152000"/>
    <w:rsid w:val="71964031"/>
    <w:rsid w:val="721756F7"/>
    <w:rsid w:val="7231680E"/>
    <w:rsid w:val="727355E1"/>
    <w:rsid w:val="72A23850"/>
    <w:rsid w:val="73775DA3"/>
    <w:rsid w:val="73917324"/>
    <w:rsid w:val="74683D53"/>
    <w:rsid w:val="753528B6"/>
    <w:rsid w:val="7556B6C1"/>
    <w:rsid w:val="75743AE4"/>
    <w:rsid w:val="75F95225"/>
    <w:rsid w:val="7656661E"/>
    <w:rsid w:val="76E68039"/>
    <w:rsid w:val="76ED37EF"/>
    <w:rsid w:val="770F21D1"/>
    <w:rsid w:val="774B7D02"/>
    <w:rsid w:val="77CF85C6"/>
    <w:rsid w:val="77ED98B5"/>
    <w:rsid w:val="78A7019A"/>
    <w:rsid w:val="78C06712"/>
    <w:rsid w:val="78D51252"/>
    <w:rsid w:val="79BA3B0E"/>
    <w:rsid w:val="7A7237F8"/>
    <w:rsid w:val="7ABB6962"/>
    <w:rsid w:val="7AF4539C"/>
    <w:rsid w:val="7BA6539F"/>
    <w:rsid w:val="7BAB7B2C"/>
    <w:rsid w:val="7BED92A8"/>
    <w:rsid w:val="7C013D85"/>
    <w:rsid w:val="7C662C4B"/>
    <w:rsid w:val="7DB40A20"/>
    <w:rsid w:val="7E136A50"/>
    <w:rsid w:val="7E49765A"/>
    <w:rsid w:val="7E4C0FEB"/>
    <w:rsid w:val="7E827B25"/>
    <w:rsid w:val="7EBE0C5A"/>
    <w:rsid w:val="7EFB3C47"/>
    <w:rsid w:val="7F850ECB"/>
    <w:rsid w:val="7F8F875D"/>
    <w:rsid w:val="7F9F1736"/>
    <w:rsid w:val="7FD32E51"/>
    <w:rsid w:val="7FDEA73E"/>
    <w:rsid w:val="C3FBECA6"/>
    <w:rsid w:val="D7E7DC2D"/>
    <w:rsid w:val="DEFD9298"/>
    <w:rsid w:val="DFFF5F14"/>
    <w:rsid w:val="E3DBFE11"/>
    <w:rsid w:val="F7BAF155"/>
    <w:rsid w:val="F7FB3703"/>
    <w:rsid w:val="FEF4C354"/>
    <w:rsid w:val="FFD68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5"/>
    <w:autoRedefine/>
    <w:qFormat/>
    <w:uiPriority w:val="0"/>
    <w:pPr>
      <w:keepNext/>
      <w:outlineLvl w:val="0"/>
    </w:pPr>
    <w:rPr>
      <w:sz w:val="28"/>
      <w:szCs w:val="24"/>
    </w:rPr>
  </w:style>
  <w:style w:type="paragraph" w:styleId="3">
    <w:name w:val="heading 2"/>
    <w:basedOn w:val="1"/>
    <w:next w:val="1"/>
    <w:link w:val="108"/>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7"/>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8"/>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style>
  <w:style w:type="paragraph" w:styleId="7">
    <w:name w:val="Document Map"/>
    <w:basedOn w:val="1"/>
    <w:link w:val="82"/>
    <w:autoRedefine/>
    <w:qFormat/>
    <w:uiPriority w:val="0"/>
    <w:pPr>
      <w:shd w:val="clear" w:color="auto" w:fill="000080"/>
    </w:pPr>
  </w:style>
  <w:style w:type="paragraph" w:styleId="8">
    <w:name w:val="annotation text"/>
    <w:basedOn w:val="1"/>
    <w:link w:val="76"/>
    <w:autoRedefine/>
    <w:semiHidden/>
    <w:qFormat/>
    <w:uiPriority w:val="99"/>
    <w:pPr>
      <w:jc w:val="left"/>
    </w:pPr>
  </w:style>
  <w:style w:type="paragraph" w:styleId="9">
    <w:name w:val="Body Text 3"/>
    <w:basedOn w:val="1"/>
    <w:link w:val="97"/>
    <w:autoRedefine/>
    <w:unhideWhenUsed/>
    <w:qFormat/>
    <w:uiPriority w:val="99"/>
    <w:pPr>
      <w:spacing w:after="120"/>
    </w:pPr>
    <w:rPr>
      <w:rFonts w:ascii="Calibri" w:hAnsi="Calibri"/>
      <w:sz w:val="16"/>
      <w:szCs w:val="16"/>
      <w:lang w:val="zh-CN"/>
    </w:rPr>
  </w:style>
  <w:style w:type="paragraph" w:styleId="10">
    <w:name w:val="Body Text"/>
    <w:basedOn w:val="1"/>
    <w:link w:val="71"/>
    <w:autoRedefine/>
    <w:qFormat/>
    <w:uiPriority w:val="0"/>
    <w:pPr>
      <w:spacing w:after="120"/>
    </w:pPr>
    <w:rPr>
      <w:szCs w:val="24"/>
    </w:rPr>
  </w:style>
  <w:style w:type="paragraph" w:styleId="11">
    <w:name w:val="Body Text Indent"/>
    <w:basedOn w:val="1"/>
    <w:next w:val="12"/>
    <w:link w:val="60"/>
    <w:autoRedefine/>
    <w:qFormat/>
    <w:uiPriority w:val="0"/>
    <w:pPr>
      <w:ind w:firstLine="540"/>
    </w:pPr>
    <w:rPr>
      <w:rFonts w:eastAsia="仿宋_GB2312"/>
      <w:sz w:val="28"/>
    </w:rPr>
  </w:style>
  <w:style w:type="paragraph" w:styleId="12">
    <w:name w:val="envelope return"/>
    <w:basedOn w:val="1"/>
    <w:unhideWhenUsed/>
    <w:qFormat/>
    <w:uiPriority w:val="99"/>
    <w:pPr>
      <w:snapToGrid w:val="0"/>
      <w:spacing w:line="360" w:lineRule="auto"/>
    </w:pPr>
    <w:rPr>
      <w:rFonts w:ascii="Arial" w:hAnsi="Arial" w:cs="Arial"/>
    </w:rPr>
  </w:style>
  <w:style w:type="paragraph" w:styleId="13">
    <w:name w:val="toc 5"/>
    <w:basedOn w:val="1"/>
    <w:next w:val="1"/>
    <w:autoRedefine/>
    <w:qFormat/>
    <w:uiPriority w:val="0"/>
    <w:pPr>
      <w:ind w:left="1680" w:leftChars="800"/>
    </w:pPr>
  </w:style>
  <w:style w:type="paragraph" w:styleId="14">
    <w:name w:val="toc 3"/>
    <w:basedOn w:val="1"/>
    <w:next w:val="1"/>
    <w:autoRedefine/>
    <w:qFormat/>
    <w:uiPriority w:val="39"/>
    <w:pPr>
      <w:ind w:left="840" w:leftChars="400"/>
    </w:pPr>
  </w:style>
  <w:style w:type="paragraph" w:styleId="15">
    <w:name w:val="Plain Text"/>
    <w:basedOn w:val="1"/>
    <w:link w:val="79"/>
    <w:autoRedefine/>
    <w:qFormat/>
    <w:uiPriority w:val="0"/>
    <w:rPr>
      <w:rFonts w:ascii="宋体" w:hAnsi="Courier New" w:cstheme="minorBidi"/>
      <w:szCs w:val="22"/>
    </w:rPr>
  </w:style>
  <w:style w:type="paragraph" w:styleId="16">
    <w:name w:val="toc 8"/>
    <w:basedOn w:val="1"/>
    <w:next w:val="1"/>
    <w:autoRedefine/>
    <w:qFormat/>
    <w:uiPriority w:val="0"/>
    <w:pPr>
      <w:ind w:left="2940" w:leftChars="1400"/>
    </w:pPr>
  </w:style>
  <w:style w:type="paragraph" w:styleId="17">
    <w:name w:val="Date"/>
    <w:basedOn w:val="1"/>
    <w:next w:val="1"/>
    <w:link w:val="59"/>
    <w:autoRedefine/>
    <w:qFormat/>
    <w:uiPriority w:val="0"/>
    <w:rPr>
      <w:rFonts w:ascii="Arial" w:hAnsi="Arial" w:eastAsia="楷体_GB2312"/>
      <w:sz w:val="28"/>
    </w:rPr>
  </w:style>
  <w:style w:type="paragraph" w:styleId="18">
    <w:name w:val="Body Text Indent 2"/>
    <w:basedOn w:val="1"/>
    <w:link w:val="62"/>
    <w:autoRedefine/>
    <w:qFormat/>
    <w:uiPriority w:val="0"/>
    <w:pPr>
      <w:tabs>
        <w:tab w:val="left" w:pos="720"/>
      </w:tabs>
      <w:ind w:right="-506" w:rightChars="-241" w:firstLine="538" w:firstLineChars="192"/>
    </w:pPr>
    <w:rPr>
      <w:rFonts w:eastAsia="仿宋_GB2312"/>
      <w:sz w:val="28"/>
    </w:rPr>
  </w:style>
  <w:style w:type="paragraph" w:styleId="19">
    <w:name w:val="Balloon Text"/>
    <w:basedOn w:val="1"/>
    <w:link w:val="73"/>
    <w:autoRedefine/>
    <w:qFormat/>
    <w:uiPriority w:val="0"/>
    <w:rPr>
      <w:sz w:val="18"/>
      <w:szCs w:val="18"/>
    </w:rPr>
  </w:style>
  <w:style w:type="paragraph" w:styleId="20">
    <w:name w:val="footer"/>
    <w:basedOn w:val="1"/>
    <w:link w:val="54"/>
    <w:autoRedefine/>
    <w:unhideWhenUsed/>
    <w:qFormat/>
    <w:uiPriority w:val="99"/>
    <w:pPr>
      <w:tabs>
        <w:tab w:val="center" w:pos="4153"/>
        <w:tab w:val="right" w:pos="8306"/>
      </w:tabs>
      <w:snapToGrid w:val="0"/>
      <w:jc w:val="left"/>
    </w:pPr>
    <w:rPr>
      <w:sz w:val="18"/>
      <w:szCs w:val="18"/>
    </w:rPr>
  </w:style>
  <w:style w:type="paragraph" w:styleId="21">
    <w:name w:val="header"/>
    <w:basedOn w:val="1"/>
    <w:link w:val="5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style>
  <w:style w:type="paragraph" w:styleId="23">
    <w:name w:val="toc 4"/>
    <w:basedOn w:val="1"/>
    <w:next w:val="1"/>
    <w:autoRedefine/>
    <w:qFormat/>
    <w:uiPriority w:val="0"/>
    <w:pPr>
      <w:ind w:left="1260" w:leftChars="600"/>
    </w:pPr>
  </w:style>
  <w:style w:type="paragraph" w:styleId="24">
    <w:name w:val="toc 6"/>
    <w:basedOn w:val="1"/>
    <w:next w:val="1"/>
    <w:autoRedefine/>
    <w:qFormat/>
    <w:uiPriority w:val="0"/>
    <w:pPr>
      <w:ind w:left="2100" w:leftChars="1000"/>
    </w:pPr>
  </w:style>
  <w:style w:type="paragraph" w:styleId="25">
    <w:name w:val="Body Text Indent 3"/>
    <w:basedOn w:val="1"/>
    <w:link w:val="68"/>
    <w:autoRedefine/>
    <w:qFormat/>
    <w:uiPriority w:val="0"/>
    <w:pPr>
      <w:ind w:left="178" w:leftChars="85" w:firstLine="560" w:firstLineChars="200"/>
    </w:pPr>
    <w:rPr>
      <w:rFonts w:ascii="仿宋_GB2312" w:hAnsi="Arial" w:eastAsia="仿宋_GB2312"/>
      <w:sz w:val="28"/>
      <w:szCs w:val="24"/>
    </w:rPr>
  </w:style>
  <w:style w:type="paragraph" w:styleId="26">
    <w:name w:val="toc 2"/>
    <w:basedOn w:val="1"/>
    <w:next w:val="1"/>
    <w:autoRedefine/>
    <w:qFormat/>
    <w:uiPriority w:val="39"/>
    <w:pPr>
      <w:ind w:left="420" w:leftChars="200"/>
    </w:pPr>
  </w:style>
  <w:style w:type="paragraph" w:styleId="27">
    <w:name w:val="toc 9"/>
    <w:basedOn w:val="1"/>
    <w:next w:val="1"/>
    <w:autoRedefine/>
    <w:qFormat/>
    <w:uiPriority w:val="0"/>
    <w:pPr>
      <w:ind w:left="3360" w:leftChars="1600"/>
    </w:pPr>
  </w:style>
  <w:style w:type="paragraph" w:styleId="28">
    <w:name w:val="Body Text 2"/>
    <w:basedOn w:val="1"/>
    <w:qFormat/>
    <w:uiPriority w:val="0"/>
    <w:pPr>
      <w:spacing w:after="120" w:line="480" w:lineRule="auto"/>
    </w:pPr>
  </w:style>
  <w:style w:type="paragraph" w:styleId="29">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autoRedefine/>
    <w:unhideWhenUsed/>
    <w:qFormat/>
    <w:uiPriority w:val="99"/>
    <w:pPr>
      <w:jc w:val="left"/>
    </w:pPr>
    <w:rPr>
      <w:kern w:val="0"/>
      <w:sz w:val="24"/>
    </w:rPr>
  </w:style>
  <w:style w:type="paragraph" w:styleId="31">
    <w:name w:val="index 1"/>
    <w:basedOn w:val="1"/>
    <w:next w:val="1"/>
    <w:autoRedefine/>
    <w:semiHidden/>
    <w:qFormat/>
    <w:uiPriority w:val="0"/>
    <w:pPr>
      <w:jc w:val="center"/>
    </w:pPr>
    <w:rPr>
      <w:rFonts w:ascii="仿宋_GB2312" w:eastAsia="仿宋_GB2312"/>
      <w:b/>
      <w:bCs/>
      <w:sz w:val="28"/>
    </w:rPr>
  </w:style>
  <w:style w:type="paragraph" w:styleId="32">
    <w:name w:val="annotation subject"/>
    <w:basedOn w:val="8"/>
    <w:next w:val="8"/>
    <w:link w:val="77"/>
    <w:autoRedefine/>
    <w:semiHidden/>
    <w:qFormat/>
    <w:uiPriority w:val="99"/>
    <w:rPr>
      <w:b/>
      <w:bCs/>
    </w:rPr>
  </w:style>
  <w:style w:type="paragraph" w:styleId="33">
    <w:name w:val="Body Text First Indent"/>
    <w:basedOn w:val="10"/>
    <w:autoRedefine/>
    <w:unhideWhenUsed/>
    <w:qFormat/>
    <w:uiPriority w:val="99"/>
    <w:pPr>
      <w:spacing w:line="400" w:lineRule="atLeast"/>
      <w:ind w:firstLine="426"/>
    </w:pPr>
    <w:rPr>
      <w:sz w:val="24"/>
      <w:szCs w:val="20"/>
    </w:rPr>
  </w:style>
  <w:style w:type="paragraph" w:styleId="34">
    <w:name w:val="Body Text First Indent 2"/>
    <w:basedOn w:val="11"/>
    <w:next w:val="1"/>
    <w:qFormat/>
    <w:uiPriority w:val="0"/>
    <w:pPr>
      <w:spacing w:line="360" w:lineRule="auto"/>
      <w:jc w:val="left"/>
    </w:pPr>
    <w:rPr>
      <w:rFonts w:cs="宋体"/>
      <w:sz w:val="28"/>
      <w:szCs w:val="28"/>
    </w:rPr>
  </w:style>
  <w:style w:type="table" w:styleId="36">
    <w:name w:val="Table Grid"/>
    <w:basedOn w:val="3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basedOn w:val="37"/>
    <w:autoRedefine/>
    <w:unhideWhenUsed/>
    <w:qFormat/>
    <w:uiPriority w:val="99"/>
    <w:rPr>
      <w:color w:val="954F72" w:themeColor="followedHyperlink"/>
      <w:u w:val="single"/>
      <w14:textFill>
        <w14:solidFill>
          <w14:schemeClr w14:val="folHlink"/>
        </w14:solidFill>
      </w14:textFill>
    </w:rPr>
  </w:style>
  <w:style w:type="character" w:styleId="41">
    <w:name w:val="HTML Definition"/>
    <w:basedOn w:val="37"/>
    <w:semiHidden/>
    <w:unhideWhenUsed/>
    <w:qFormat/>
    <w:uiPriority w:val="99"/>
  </w:style>
  <w:style w:type="character" w:styleId="42">
    <w:name w:val="HTML Typewriter"/>
    <w:basedOn w:val="37"/>
    <w:semiHidden/>
    <w:unhideWhenUsed/>
    <w:qFormat/>
    <w:uiPriority w:val="99"/>
    <w:rPr>
      <w:rFonts w:hint="default" w:ascii="monospace" w:hAnsi="monospace" w:eastAsia="monospace" w:cs="monospace"/>
      <w:sz w:val="20"/>
    </w:rPr>
  </w:style>
  <w:style w:type="character" w:styleId="43">
    <w:name w:val="HTML Acronym"/>
    <w:basedOn w:val="37"/>
    <w:semiHidden/>
    <w:unhideWhenUsed/>
    <w:qFormat/>
    <w:uiPriority w:val="99"/>
  </w:style>
  <w:style w:type="character" w:styleId="44">
    <w:name w:val="HTML Variable"/>
    <w:basedOn w:val="37"/>
    <w:semiHidden/>
    <w:unhideWhenUsed/>
    <w:qFormat/>
    <w:uiPriority w:val="99"/>
  </w:style>
  <w:style w:type="character" w:styleId="45">
    <w:name w:val="Hyperlink"/>
    <w:basedOn w:val="37"/>
    <w:autoRedefine/>
    <w:qFormat/>
    <w:uiPriority w:val="99"/>
    <w:rPr>
      <w:color w:val="333333"/>
      <w:u w:val="none"/>
    </w:rPr>
  </w:style>
  <w:style w:type="character" w:styleId="46">
    <w:name w:val="HTML Code"/>
    <w:basedOn w:val="37"/>
    <w:semiHidden/>
    <w:unhideWhenUsed/>
    <w:qFormat/>
    <w:uiPriority w:val="99"/>
    <w:rPr>
      <w:rFonts w:hint="default" w:ascii="monospace" w:hAnsi="monospace" w:eastAsia="monospace" w:cs="monospace"/>
      <w:sz w:val="20"/>
    </w:rPr>
  </w:style>
  <w:style w:type="character" w:styleId="47">
    <w:name w:val="annotation reference"/>
    <w:autoRedefine/>
    <w:semiHidden/>
    <w:qFormat/>
    <w:uiPriority w:val="99"/>
    <w:rPr>
      <w:sz w:val="21"/>
      <w:szCs w:val="21"/>
    </w:rPr>
  </w:style>
  <w:style w:type="character" w:styleId="48">
    <w:name w:val="HTML Cite"/>
    <w:basedOn w:val="37"/>
    <w:semiHidden/>
    <w:unhideWhenUsed/>
    <w:qFormat/>
    <w:uiPriority w:val="99"/>
  </w:style>
  <w:style w:type="character" w:styleId="49">
    <w:name w:val="HTML Keyboard"/>
    <w:basedOn w:val="37"/>
    <w:semiHidden/>
    <w:unhideWhenUsed/>
    <w:qFormat/>
    <w:uiPriority w:val="99"/>
    <w:rPr>
      <w:rFonts w:hint="default" w:ascii="monospace" w:hAnsi="monospace" w:eastAsia="monospace" w:cs="monospace"/>
      <w:sz w:val="20"/>
    </w:rPr>
  </w:style>
  <w:style w:type="character" w:styleId="50">
    <w:name w:val="HTML Sample"/>
    <w:basedOn w:val="37"/>
    <w:semiHidden/>
    <w:unhideWhenUsed/>
    <w:qFormat/>
    <w:uiPriority w:val="99"/>
    <w:rPr>
      <w:rFonts w:ascii="monospace" w:hAnsi="monospace" w:eastAsia="monospace" w:cs="monospace"/>
    </w:rPr>
  </w:style>
  <w:style w:type="paragraph" w:customStyle="1" w:styleId="51">
    <w:name w:val="目录 71"/>
    <w:basedOn w:val="1"/>
    <w:next w:val="1"/>
    <w:autoRedefine/>
    <w:qFormat/>
    <w:uiPriority w:val="0"/>
    <w:pPr>
      <w:ind w:left="2520"/>
    </w:pPr>
    <w:rPr>
      <w:rFonts w:ascii="Calibri"/>
    </w:rPr>
  </w:style>
  <w:style w:type="paragraph" w:customStyle="1" w:styleId="52">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53">
    <w:name w:val="页眉 Char"/>
    <w:basedOn w:val="37"/>
    <w:link w:val="21"/>
    <w:autoRedefine/>
    <w:qFormat/>
    <w:uiPriority w:val="0"/>
    <w:rPr>
      <w:sz w:val="18"/>
      <w:szCs w:val="18"/>
    </w:rPr>
  </w:style>
  <w:style w:type="character" w:customStyle="1" w:styleId="54">
    <w:name w:val="页脚 Char"/>
    <w:basedOn w:val="37"/>
    <w:link w:val="20"/>
    <w:autoRedefine/>
    <w:qFormat/>
    <w:uiPriority w:val="99"/>
    <w:rPr>
      <w:sz w:val="18"/>
      <w:szCs w:val="18"/>
    </w:rPr>
  </w:style>
  <w:style w:type="character" w:customStyle="1" w:styleId="55">
    <w:name w:val="标题 1 Char"/>
    <w:basedOn w:val="37"/>
    <w:link w:val="2"/>
    <w:autoRedefine/>
    <w:qFormat/>
    <w:uiPriority w:val="0"/>
    <w:rPr>
      <w:rFonts w:ascii="Times New Roman" w:hAnsi="Times New Roman" w:eastAsia="宋体" w:cs="Times New Roman"/>
      <w:sz w:val="28"/>
      <w:szCs w:val="24"/>
    </w:rPr>
  </w:style>
  <w:style w:type="character" w:customStyle="1" w:styleId="56">
    <w:name w:val="标题 2 Char"/>
    <w:basedOn w:val="37"/>
    <w:link w:val="3"/>
    <w:autoRedefine/>
    <w:qFormat/>
    <w:uiPriority w:val="0"/>
    <w:rPr>
      <w:rFonts w:ascii="Arial" w:hAnsi="Arial" w:eastAsia="黑体" w:cs="Times New Roman"/>
      <w:b/>
      <w:kern w:val="0"/>
      <w:sz w:val="32"/>
      <w:szCs w:val="20"/>
    </w:rPr>
  </w:style>
  <w:style w:type="character" w:customStyle="1" w:styleId="57">
    <w:name w:val="标题 3 Char"/>
    <w:basedOn w:val="37"/>
    <w:link w:val="4"/>
    <w:autoRedefine/>
    <w:qFormat/>
    <w:uiPriority w:val="0"/>
    <w:rPr>
      <w:rFonts w:ascii="Times New Roman" w:hAnsi="Times New Roman" w:eastAsia="宋体" w:cs="Times New Roman"/>
      <w:b/>
      <w:bCs/>
      <w:sz w:val="32"/>
      <w:szCs w:val="32"/>
      <w:lang w:val="zh-CN" w:eastAsia="zh-CN"/>
    </w:rPr>
  </w:style>
  <w:style w:type="character" w:customStyle="1" w:styleId="58">
    <w:name w:val="标题 4 Char"/>
    <w:basedOn w:val="37"/>
    <w:link w:val="5"/>
    <w:autoRedefine/>
    <w:qFormat/>
    <w:uiPriority w:val="0"/>
    <w:rPr>
      <w:rFonts w:ascii="Arial" w:hAnsi="Arial" w:eastAsia="黑体" w:cs="Times New Roman"/>
      <w:b/>
      <w:kern w:val="0"/>
      <w:sz w:val="28"/>
      <w:szCs w:val="20"/>
    </w:rPr>
  </w:style>
  <w:style w:type="character" w:customStyle="1" w:styleId="59">
    <w:name w:val="日期 Char"/>
    <w:basedOn w:val="37"/>
    <w:link w:val="17"/>
    <w:autoRedefine/>
    <w:qFormat/>
    <w:uiPriority w:val="0"/>
    <w:rPr>
      <w:rFonts w:ascii="Arial" w:hAnsi="Arial" w:eastAsia="楷体_GB2312" w:cs="Times New Roman"/>
      <w:sz w:val="28"/>
      <w:szCs w:val="20"/>
    </w:rPr>
  </w:style>
  <w:style w:type="character" w:customStyle="1" w:styleId="60">
    <w:name w:val="正文文本缩进 Char"/>
    <w:basedOn w:val="37"/>
    <w:link w:val="11"/>
    <w:autoRedefine/>
    <w:qFormat/>
    <w:uiPriority w:val="0"/>
    <w:rPr>
      <w:rFonts w:ascii="Times New Roman" w:hAnsi="Times New Roman" w:eastAsia="仿宋_GB2312" w:cs="Times New Roman"/>
      <w:sz w:val="28"/>
      <w:szCs w:val="20"/>
    </w:rPr>
  </w:style>
  <w:style w:type="paragraph" w:customStyle="1" w:styleId="61">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2">
    <w:name w:val="正文文本缩进 2 Char"/>
    <w:basedOn w:val="37"/>
    <w:link w:val="18"/>
    <w:autoRedefine/>
    <w:qFormat/>
    <w:uiPriority w:val="0"/>
    <w:rPr>
      <w:rFonts w:ascii="Times New Roman" w:hAnsi="Times New Roman" w:eastAsia="仿宋_GB2312" w:cs="Times New Roman"/>
      <w:sz w:val="28"/>
      <w:szCs w:val="20"/>
    </w:rPr>
  </w:style>
  <w:style w:type="paragraph" w:customStyle="1" w:styleId="63">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64">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65">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66">
    <w:name w:val="Char Char Char Char Char"/>
    <w:basedOn w:val="1"/>
    <w:autoRedefine/>
    <w:qFormat/>
    <w:uiPriority w:val="0"/>
    <w:rPr>
      <w:rFonts w:ascii="Tahoma" w:hAnsi="Tahoma"/>
      <w:sz w:val="24"/>
    </w:rPr>
  </w:style>
  <w:style w:type="paragraph" w:customStyle="1" w:styleId="67">
    <w:name w:val="Char"/>
    <w:basedOn w:val="1"/>
    <w:autoRedefine/>
    <w:qFormat/>
    <w:uiPriority w:val="0"/>
    <w:rPr>
      <w:rFonts w:ascii="Tahoma" w:hAnsi="Tahoma"/>
      <w:sz w:val="24"/>
    </w:rPr>
  </w:style>
  <w:style w:type="character" w:customStyle="1" w:styleId="68">
    <w:name w:val="正文文本缩进 3 Char"/>
    <w:basedOn w:val="37"/>
    <w:link w:val="25"/>
    <w:autoRedefine/>
    <w:qFormat/>
    <w:uiPriority w:val="0"/>
    <w:rPr>
      <w:rFonts w:ascii="仿宋_GB2312" w:hAnsi="Arial" w:eastAsia="仿宋_GB2312" w:cs="Times New Roman"/>
      <w:sz w:val="28"/>
      <w:szCs w:val="24"/>
    </w:rPr>
  </w:style>
  <w:style w:type="paragraph" w:customStyle="1" w:styleId="69">
    <w:name w:val="Char1"/>
    <w:basedOn w:val="1"/>
    <w:autoRedefine/>
    <w:qFormat/>
    <w:uiPriority w:val="0"/>
    <w:rPr>
      <w:rFonts w:ascii="Tahoma" w:hAnsi="Tahoma" w:eastAsia="仿宋_GB2312"/>
      <w:sz w:val="24"/>
    </w:rPr>
  </w:style>
  <w:style w:type="paragraph" w:customStyle="1" w:styleId="70">
    <w:name w:val="Char Char Char Char Char Char Char1 Char"/>
    <w:basedOn w:val="1"/>
    <w:autoRedefine/>
    <w:qFormat/>
    <w:uiPriority w:val="0"/>
    <w:rPr>
      <w:rFonts w:ascii="Tahoma" w:hAnsi="Tahoma"/>
      <w:sz w:val="24"/>
    </w:rPr>
  </w:style>
  <w:style w:type="character" w:customStyle="1" w:styleId="71">
    <w:name w:val="正文文本 Char"/>
    <w:basedOn w:val="37"/>
    <w:link w:val="10"/>
    <w:autoRedefine/>
    <w:qFormat/>
    <w:uiPriority w:val="0"/>
    <w:rPr>
      <w:rFonts w:ascii="Times New Roman" w:hAnsi="Times New Roman" w:eastAsia="宋体" w:cs="Times New Roman"/>
      <w:szCs w:val="24"/>
    </w:rPr>
  </w:style>
  <w:style w:type="paragraph" w:customStyle="1" w:styleId="72">
    <w:name w:val="Char Char Char Char"/>
    <w:basedOn w:val="1"/>
    <w:next w:val="1"/>
    <w:autoRedefine/>
    <w:qFormat/>
    <w:uiPriority w:val="0"/>
    <w:pPr>
      <w:widowControl/>
      <w:spacing w:line="360" w:lineRule="auto"/>
      <w:jc w:val="left"/>
    </w:pPr>
  </w:style>
  <w:style w:type="character" w:customStyle="1" w:styleId="73">
    <w:name w:val="批注框文本 Char"/>
    <w:basedOn w:val="37"/>
    <w:link w:val="19"/>
    <w:autoRedefine/>
    <w:qFormat/>
    <w:uiPriority w:val="0"/>
    <w:rPr>
      <w:rFonts w:ascii="Times New Roman" w:hAnsi="Times New Roman" w:eastAsia="宋体" w:cs="Times New Roman"/>
      <w:sz w:val="18"/>
      <w:szCs w:val="18"/>
    </w:rPr>
  </w:style>
  <w:style w:type="paragraph" w:customStyle="1" w:styleId="74">
    <w:name w:val="Char Char Char"/>
    <w:basedOn w:val="1"/>
    <w:autoRedefine/>
    <w:qFormat/>
    <w:uiPriority w:val="0"/>
    <w:rPr>
      <w:rFonts w:ascii="Tahoma" w:hAnsi="Tahoma"/>
      <w:sz w:val="24"/>
    </w:rPr>
  </w:style>
  <w:style w:type="paragraph" w:customStyle="1" w:styleId="75">
    <w:name w:val="Char Char Char Char Char Char Char Char Char Char"/>
    <w:basedOn w:val="1"/>
    <w:autoRedefine/>
    <w:qFormat/>
    <w:uiPriority w:val="0"/>
    <w:rPr>
      <w:rFonts w:ascii="Tahoma" w:hAnsi="Tahoma" w:cs="仿宋_GB2312"/>
      <w:sz w:val="24"/>
    </w:rPr>
  </w:style>
  <w:style w:type="character" w:customStyle="1" w:styleId="76">
    <w:name w:val="批注文字 Char"/>
    <w:basedOn w:val="37"/>
    <w:link w:val="8"/>
    <w:autoRedefine/>
    <w:semiHidden/>
    <w:qFormat/>
    <w:uiPriority w:val="99"/>
    <w:rPr>
      <w:rFonts w:ascii="Times New Roman" w:hAnsi="Times New Roman" w:eastAsia="宋体" w:cs="Times New Roman"/>
      <w:szCs w:val="20"/>
    </w:rPr>
  </w:style>
  <w:style w:type="character" w:customStyle="1" w:styleId="77">
    <w:name w:val="批注主题 Char"/>
    <w:basedOn w:val="76"/>
    <w:link w:val="32"/>
    <w:autoRedefine/>
    <w:semiHidden/>
    <w:qFormat/>
    <w:uiPriority w:val="99"/>
    <w:rPr>
      <w:rFonts w:ascii="Times New Roman" w:hAnsi="Times New Roman" w:eastAsia="宋体" w:cs="Times New Roman"/>
      <w:b/>
      <w:bCs/>
      <w:szCs w:val="20"/>
    </w:rPr>
  </w:style>
  <w:style w:type="paragraph" w:customStyle="1" w:styleId="78">
    <w:name w:val="Char Char Char Char Char Char"/>
    <w:basedOn w:val="1"/>
    <w:autoRedefine/>
    <w:qFormat/>
    <w:uiPriority w:val="0"/>
  </w:style>
  <w:style w:type="character" w:customStyle="1" w:styleId="79">
    <w:name w:val="纯文本 Char"/>
    <w:link w:val="15"/>
    <w:autoRedefine/>
    <w:qFormat/>
    <w:uiPriority w:val="0"/>
    <w:rPr>
      <w:rFonts w:ascii="宋体" w:hAnsi="Courier New" w:eastAsia="宋体"/>
    </w:rPr>
  </w:style>
  <w:style w:type="character" w:customStyle="1" w:styleId="80">
    <w:name w:val="纯文本 Char1"/>
    <w:basedOn w:val="37"/>
    <w:autoRedefine/>
    <w:semiHidden/>
    <w:qFormat/>
    <w:uiPriority w:val="99"/>
    <w:rPr>
      <w:rFonts w:ascii="宋体" w:hAnsi="Courier New" w:eastAsia="宋体" w:cs="Courier New"/>
      <w:szCs w:val="21"/>
    </w:rPr>
  </w:style>
  <w:style w:type="paragraph" w:customStyle="1" w:styleId="81">
    <w:name w:val="Char12 Char Char Char"/>
    <w:basedOn w:val="1"/>
    <w:autoRedefine/>
    <w:qFormat/>
    <w:uiPriority w:val="0"/>
  </w:style>
  <w:style w:type="character" w:customStyle="1" w:styleId="82">
    <w:name w:val="文档结构图 Char"/>
    <w:basedOn w:val="37"/>
    <w:link w:val="7"/>
    <w:autoRedefine/>
    <w:qFormat/>
    <w:uiPriority w:val="0"/>
    <w:rPr>
      <w:rFonts w:ascii="Times New Roman" w:hAnsi="Times New Roman" w:eastAsia="宋体" w:cs="Times New Roman"/>
      <w:szCs w:val="20"/>
      <w:shd w:val="clear" w:color="auto" w:fill="000080"/>
    </w:rPr>
  </w:style>
  <w:style w:type="character" w:customStyle="1" w:styleId="83">
    <w:name w:val="style29"/>
    <w:autoRedefine/>
    <w:qFormat/>
    <w:uiPriority w:val="0"/>
  </w:style>
  <w:style w:type="character" w:customStyle="1" w:styleId="84">
    <w:name w:val="正文1"/>
    <w:autoRedefine/>
    <w:qFormat/>
    <w:uiPriority w:val="0"/>
  </w:style>
  <w:style w:type="character" w:customStyle="1" w:styleId="85">
    <w:name w:val="font11"/>
    <w:autoRedefine/>
    <w:qFormat/>
    <w:uiPriority w:val="0"/>
    <w:rPr>
      <w:rFonts w:hint="default" w:ascii="Times New Roman" w:hAnsi="Times New Roman" w:cs="Times New Roman"/>
      <w:color w:val="3366FF"/>
      <w:sz w:val="24"/>
      <w:szCs w:val="24"/>
      <w:u w:val="none"/>
    </w:rPr>
  </w:style>
  <w:style w:type="character" w:customStyle="1" w:styleId="86">
    <w:name w:val="font21"/>
    <w:autoRedefine/>
    <w:qFormat/>
    <w:uiPriority w:val="0"/>
    <w:rPr>
      <w:rFonts w:hint="eastAsia" w:ascii="宋体" w:hAnsi="宋体" w:eastAsia="宋体"/>
      <w:color w:val="3366FF"/>
      <w:sz w:val="24"/>
      <w:szCs w:val="24"/>
      <w:u w:val="none"/>
    </w:rPr>
  </w:style>
  <w:style w:type="paragraph" w:customStyle="1" w:styleId="87">
    <w:name w:val="Char Char15"/>
    <w:basedOn w:val="1"/>
    <w:autoRedefine/>
    <w:qFormat/>
    <w:uiPriority w:val="0"/>
    <w:rPr>
      <w:rFonts w:ascii="Tahoma" w:hAnsi="Tahoma" w:eastAsia="仿宋_GB2312"/>
      <w:sz w:val="24"/>
    </w:rPr>
  </w:style>
  <w:style w:type="paragraph" w:customStyle="1" w:styleId="88">
    <w:name w:val="列出段落1"/>
    <w:basedOn w:val="1"/>
    <w:autoRedefine/>
    <w:qFormat/>
    <w:uiPriority w:val="0"/>
    <w:pPr>
      <w:ind w:firstLine="420" w:firstLineChars="200"/>
    </w:pPr>
    <w:rPr>
      <w:rFonts w:ascii="Calibri" w:hAnsi="Calibri"/>
      <w:szCs w:val="22"/>
    </w:rPr>
  </w:style>
  <w:style w:type="paragraph" w:customStyle="1" w:styleId="89">
    <w:name w:val="Char2"/>
    <w:basedOn w:val="1"/>
    <w:autoRedefine/>
    <w:qFormat/>
    <w:uiPriority w:val="0"/>
    <w:pPr>
      <w:tabs>
        <w:tab w:val="left" w:pos="360"/>
      </w:tabs>
    </w:pPr>
    <w:rPr>
      <w:sz w:val="24"/>
      <w:szCs w:val="24"/>
    </w:rPr>
  </w:style>
  <w:style w:type="paragraph" w:customStyle="1" w:styleId="90">
    <w:name w:val="Char16"/>
    <w:basedOn w:val="1"/>
    <w:autoRedefine/>
    <w:qFormat/>
    <w:uiPriority w:val="0"/>
    <w:rPr>
      <w:rFonts w:ascii="Tahoma" w:hAnsi="Tahoma" w:eastAsia="仿宋_GB2312"/>
      <w:sz w:val="24"/>
    </w:rPr>
  </w:style>
  <w:style w:type="paragraph" w:customStyle="1" w:styleId="91">
    <w:name w:val="Char Char1"/>
    <w:basedOn w:val="1"/>
    <w:autoRedefine/>
    <w:qFormat/>
    <w:uiPriority w:val="0"/>
    <w:rPr>
      <w:rFonts w:ascii="Tahoma" w:hAnsi="Tahoma"/>
      <w:sz w:val="24"/>
    </w:rPr>
  </w:style>
  <w:style w:type="paragraph" w:customStyle="1" w:styleId="92">
    <w:name w:val="Char Char Char Char Char Char Char"/>
    <w:basedOn w:val="1"/>
    <w:autoRedefine/>
    <w:qFormat/>
    <w:uiPriority w:val="0"/>
    <w:rPr>
      <w:szCs w:val="24"/>
    </w:rPr>
  </w:style>
  <w:style w:type="paragraph" w:customStyle="1" w:styleId="93">
    <w:name w:val="Char Char"/>
    <w:basedOn w:val="1"/>
    <w:autoRedefine/>
    <w:qFormat/>
    <w:uiPriority w:val="0"/>
    <w:rPr>
      <w:rFonts w:ascii="Tahoma" w:hAnsi="Tahoma" w:cs="仿宋_GB2312"/>
      <w:sz w:val="24"/>
    </w:rPr>
  </w:style>
  <w:style w:type="paragraph" w:customStyle="1" w:styleId="94">
    <w:name w:val="Char Char2"/>
    <w:basedOn w:val="1"/>
    <w:autoRedefine/>
    <w:qFormat/>
    <w:uiPriority w:val="0"/>
    <w:rPr>
      <w:rFonts w:ascii="Tahoma" w:hAnsi="Tahoma" w:cs="仿宋_GB2312"/>
      <w:sz w:val="24"/>
    </w:rPr>
  </w:style>
  <w:style w:type="paragraph" w:customStyle="1" w:styleId="95">
    <w:name w:val="Char Char Char1"/>
    <w:basedOn w:val="1"/>
    <w:autoRedefine/>
    <w:qFormat/>
    <w:uiPriority w:val="0"/>
    <w:rPr>
      <w:rFonts w:ascii="Tahoma" w:hAnsi="Tahoma"/>
      <w:sz w:val="24"/>
    </w:rPr>
  </w:style>
  <w:style w:type="paragraph" w:customStyle="1" w:styleId="96">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7">
    <w:name w:val="正文文本 3 Char"/>
    <w:basedOn w:val="37"/>
    <w:link w:val="9"/>
    <w:autoRedefine/>
    <w:qFormat/>
    <w:uiPriority w:val="99"/>
    <w:rPr>
      <w:rFonts w:ascii="Calibri" w:hAnsi="Calibri" w:eastAsia="宋体" w:cs="Times New Roman"/>
      <w:sz w:val="16"/>
      <w:szCs w:val="16"/>
      <w:lang w:val="zh-CN" w:eastAsia="zh-CN"/>
    </w:rPr>
  </w:style>
  <w:style w:type="paragraph" w:customStyle="1" w:styleId="98">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9">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0">
    <w:name w:val="style23"/>
    <w:autoRedefine/>
    <w:qFormat/>
    <w:uiPriority w:val="0"/>
    <w:rPr>
      <w:rFonts w:ascii="Times New Roman" w:hAnsi="Times New Roman" w:eastAsia="宋体"/>
    </w:rPr>
  </w:style>
  <w:style w:type="paragraph" w:customStyle="1" w:styleId="101">
    <w:name w:val="p0"/>
    <w:basedOn w:val="1"/>
    <w:autoRedefine/>
    <w:qFormat/>
    <w:uiPriority w:val="0"/>
    <w:pPr>
      <w:widowControl/>
      <w:jc w:val="left"/>
    </w:pPr>
    <w:rPr>
      <w:rFonts w:ascii="等线" w:hAnsi="等线" w:eastAsia="等线" w:cs="等线"/>
      <w:kern w:val="0"/>
      <w:sz w:val="20"/>
      <w:szCs w:val="22"/>
    </w:rPr>
  </w:style>
  <w:style w:type="paragraph" w:customStyle="1" w:styleId="102">
    <w:name w:val="列表段落1"/>
    <w:basedOn w:val="1"/>
    <w:autoRedefine/>
    <w:qFormat/>
    <w:uiPriority w:val="34"/>
    <w:pPr>
      <w:ind w:firstLine="420" w:firstLineChars="200"/>
    </w:pPr>
    <w:rPr>
      <w:szCs w:val="24"/>
    </w:rPr>
  </w:style>
  <w:style w:type="paragraph" w:customStyle="1" w:styleId="103">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4">
    <w:name w:val="List Paragraph"/>
    <w:basedOn w:val="1"/>
    <w:autoRedefine/>
    <w:qFormat/>
    <w:uiPriority w:val="99"/>
    <w:pPr>
      <w:ind w:firstLine="420" w:firstLineChars="200"/>
    </w:pPr>
  </w:style>
  <w:style w:type="table" w:customStyle="1" w:styleId="105">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06">
    <w:name w:val="Table Text"/>
    <w:basedOn w:val="1"/>
    <w:autoRedefine/>
    <w:semiHidden/>
    <w:qFormat/>
    <w:uiPriority w:val="0"/>
    <w:rPr>
      <w:rFonts w:ascii="仿宋" w:hAnsi="仿宋" w:eastAsia="仿宋" w:cs="仿宋"/>
      <w:sz w:val="22"/>
      <w:szCs w:val="22"/>
      <w:lang w:val="en-US" w:eastAsia="en-US" w:bidi="ar-SA"/>
    </w:rPr>
  </w:style>
  <w:style w:type="paragraph" w:customStyle="1" w:styleId="107">
    <w:name w:val="Table Paragraph"/>
    <w:basedOn w:val="1"/>
    <w:qFormat/>
    <w:uiPriority w:val="99"/>
    <w:pPr>
      <w:jc w:val="left"/>
    </w:pPr>
    <w:rPr>
      <w:rFonts w:ascii="宋体" w:hAnsi="宋体" w:cs="宋体"/>
      <w:kern w:val="0"/>
      <w:sz w:val="22"/>
      <w:szCs w:val="22"/>
      <w:lang w:eastAsia="en-US"/>
    </w:rPr>
  </w:style>
  <w:style w:type="character" w:customStyle="1" w:styleId="108">
    <w:name w:val="标题 2 字符"/>
    <w:link w:val="3"/>
    <w:autoRedefine/>
    <w:qFormat/>
    <w:uiPriority w:val="0"/>
    <w:rPr>
      <w:rFonts w:ascii="Arial" w:hAnsi="Arial" w:eastAsia="黑体"/>
      <w:b/>
      <w:bCs/>
      <w:sz w:val="32"/>
      <w:szCs w:val="32"/>
    </w:rPr>
  </w:style>
  <w:style w:type="character" w:customStyle="1" w:styleId="109">
    <w:name w:val="first-child"/>
    <w:basedOn w:val="37"/>
    <w:qFormat/>
    <w:uiPriority w:val="0"/>
  </w:style>
  <w:style w:type="character" w:customStyle="1" w:styleId="110">
    <w:name w:val="layui-this"/>
    <w:basedOn w:val="37"/>
    <w:qFormat/>
    <w:uiPriority w:val="0"/>
    <w:rPr>
      <w:bdr w:val="single" w:color="EEEEEE" w:sz="6" w:space="0"/>
      <w:shd w:val="clear" w:fill="FFFFFF"/>
    </w:rPr>
  </w:style>
  <w:style w:type="character" w:customStyle="1" w:styleId="111">
    <w:name w:val="hover7"/>
    <w:basedOn w:val="37"/>
    <w:qFormat/>
    <w:uiPriority w:val="0"/>
    <w:rPr>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DAFC04-9342-49B6-86EB-078B375491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8246</Words>
  <Characters>8819</Characters>
  <Lines>173</Lines>
  <Paragraphs>48</Paragraphs>
  <TotalTime>10</TotalTime>
  <ScaleCrop>false</ScaleCrop>
  <LinksUpToDate>false</LinksUpToDate>
  <CharactersWithSpaces>8998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逆袭</cp:lastModifiedBy>
  <cp:lastPrinted>2026-04-22T02:30:06Z</cp:lastPrinted>
  <dcterms:modified xsi:type="dcterms:W3CDTF">2026-04-22T02:30:47Z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AB11F8B1E2A24B0E8EB77EA4DEFE031D_13</vt:lpwstr>
  </property>
  <property fmtid="{D5CDD505-2E9C-101B-9397-08002B2CF9AE}" pid="4" name="KSOTemplateDocerSaveRecord">
    <vt:lpwstr>eyJoZGlkIjoiY2NlNWZjNTQ3OTUyYmY3NWQ5YjNkZmNlZGI2MjQxM2EiLCJ1c2VySWQiOiI0MzgwMjU5ODMifQ==</vt:lpwstr>
  </property>
</Properties>
</file>