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A4FDB">
      <w:pPr>
        <w:pStyle w:val="2"/>
        <w:jc w:val="center"/>
        <w:rPr>
          <w:rFonts w:hint="eastAsia" w:ascii="宋体" w:hAnsi="宋体" w:cs="宋体"/>
          <w:b/>
          <w:sz w:val="40"/>
          <w:szCs w:val="40"/>
          <w:lang w:eastAsia="zh-CN"/>
        </w:rPr>
      </w:pPr>
      <w:r>
        <w:rPr>
          <w:rFonts w:hint="eastAsia" w:ascii="宋体" w:hAnsi="宋体" w:cs="宋体"/>
          <w:b/>
          <w:sz w:val="40"/>
          <w:szCs w:val="40"/>
          <w:lang w:eastAsia="zh-CN"/>
        </w:rPr>
        <w:t>满路桥村农产品精加工项目4#、5#厂房和综合楼</w:t>
      </w:r>
    </w:p>
    <w:p w14:paraId="4313A2C1">
      <w:pPr>
        <w:pStyle w:val="2"/>
        <w:jc w:val="center"/>
        <w:rPr>
          <w:rFonts w:hint="eastAsia" w:ascii="宋体" w:hAnsi="宋体" w:cs="宋体"/>
          <w:b/>
          <w:sz w:val="40"/>
          <w:szCs w:val="40"/>
          <w:lang w:eastAsia="zh-CN"/>
        </w:rPr>
      </w:pPr>
      <w:r>
        <w:rPr>
          <w:rFonts w:hint="eastAsia" w:ascii="宋体" w:hAnsi="宋体" w:cs="宋体"/>
          <w:b/>
          <w:sz w:val="40"/>
          <w:szCs w:val="40"/>
          <w:lang w:eastAsia="zh-CN"/>
        </w:rPr>
        <w:t>电梯采购</w:t>
      </w:r>
    </w:p>
    <w:p w14:paraId="3D00F760">
      <w:pPr>
        <w:pStyle w:val="2"/>
        <w:jc w:val="center"/>
        <w:rPr>
          <w:rFonts w:hint="eastAsia" w:ascii="宋体" w:hAnsi="宋体" w:eastAsia="宋体" w:cs="宋体"/>
          <w:b/>
          <w:sz w:val="36"/>
          <w:szCs w:val="36"/>
        </w:rPr>
      </w:pPr>
    </w:p>
    <w:p w14:paraId="3614B69A">
      <w:pPr>
        <w:tabs>
          <w:tab w:val="left" w:pos="420"/>
        </w:tabs>
        <w:spacing w:before="468" w:beforeLines="150" w:line="400" w:lineRule="exact"/>
        <w:jc w:val="center"/>
        <w:rPr>
          <w:rFonts w:hint="eastAsia" w:ascii="宋体" w:hAnsi="宋体"/>
          <w:b/>
          <w:bCs/>
          <w:sz w:val="48"/>
          <w:szCs w:val="48"/>
        </w:rPr>
      </w:pPr>
      <w:r>
        <w:rPr>
          <w:rFonts w:hint="eastAsia" w:ascii="宋体" w:hAnsi="宋体"/>
          <w:b/>
          <w:bCs/>
          <w:sz w:val="48"/>
          <w:szCs w:val="48"/>
        </w:rPr>
        <w:t>竞</w:t>
      </w:r>
    </w:p>
    <w:p w14:paraId="21774463">
      <w:pPr>
        <w:tabs>
          <w:tab w:val="left" w:pos="420"/>
        </w:tabs>
        <w:spacing w:before="468" w:beforeLines="150" w:line="400" w:lineRule="exact"/>
        <w:jc w:val="center"/>
        <w:rPr>
          <w:rFonts w:hint="eastAsia" w:ascii="宋体" w:hAnsi="宋体"/>
          <w:b/>
          <w:bCs/>
          <w:sz w:val="48"/>
          <w:szCs w:val="48"/>
        </w:rPr>
      </w:pPr>
      <w:r>
        <w:rPr>
          <w:rFonts w:hint="eastAsia" w:ascii="宋体" w:hAnsi="宋体"/>
          <w:b/>
          <w:bCs/>
          <w:sz w:val="48"/>
          <w:szCs w:val="48"/>
        </w:rPr>
        <w:t>争</w:t>
      </w:r>
    </w:p>
    <w:p w14:paraId="562A49CF">
      <w:pPr>
        <w:tabs>
          <w:tab w:val="left" w:pos="420"/>
        </w:tabs>
        <w:spacing w:before="468" w:beforeLines="150" w:line="400" w:lineRule="exact"/>
        <w:jc w:val="center"/>
        <w:rPr>
          <w:rFonts w:hint="eastAsia" w:ascii="宋体" w:hAnsi="宋体"/>
          <w:b/>
          <w:bCs/>
          <w:sz w:val="48"/>
          <w:szCs w:val="48"/>
        </w:rPr>
      </w:pPr>
      <w:r>
        <w:rPr>
          <w:rFonts w:hint="eastAsia" w:ascii="宋体" w:hAnsi="宋体"/>
          <w:b/>
          <w:bCs/>
          <w:sz w:val="48"/>
          <w:szCs w:val="48"/>
        </w:rPr>
        <w:t>性</w:t>
      </w:r>
    </w:p>
    <w:p w14:paraId="4819D934">
      <w:pPr>
        <w:tabs>
          <w:tab w:val="left" w:pos="420"/>
        </w:tabs>
        <w:spacing w:before="468" w:beforeLines="150" w:line="400" w:lineRule="exact"/>
        <w:jc w:val="center"/>
        <w:rPr>
          <w:rFonts w:hint="eastAsia" w:ascii="宋体" w:hAnsi="宋体"/>
          <w:b/>
          <w:bCs/>
          <w:sz w:val="48"/>
          <w:szCs w:val="48"/>
        </w:rPr>
      </w:pPr>
      <w:r>
        <w:rPr>
          <w:rFonts w:hint="eastAsia" w:ascii="宋体" w:hAnsi="宋体"/>
          <w:b/>
          <w:bCs/>
          <w:sz w:val="48"/>
          <w:szCs w:val="48"/>
        </w:rPr>
        <w:t>磋</w:t>
      </w:r>
    </w:p>
    <w:p w14:paraId="51138B67">
      <w:pPr>
        <w:tabs>
          <w:tab w:val="left" w:pos="420"/>
        </w:tabs>
        <w:spacing w:before="468" w:beforeLines="150" w:line="400" w:lineRule="exact"/>
        <w:jc w:val="center"/>
        <w:rPr>
          <w:rFonts w:hint="eastAsia" w:ascii="宋体" w:hAnsi="宋体"/>
          <w:b/>
          <w:bCs/>
          <w:sz w:val="48"/>
          <w:szCs w:val="48"/>
        </w:rPr>
      </w:pPr>
      <w:r>
        <w:rPr>
          <w:rFonts w:hint="eastAsia" w:ascii="宋体" w:hAnsi="宋体"/>
          <w:b/>
          <w:bCs/>
          <w:sz w:val="48"/>
          <w:szCs w:val="48"/>
        </w:rPr>
        <w:t>商</w:t>
      </w:r>
    </w:p>
    <w:p w14:paraId="189BF80A">
      <w:pPr>
        <w:tabs>
          <w:tab w:val="left" w:pos="420"/>
        </w:tabs>
        <w:spacing w:before="468" w:beforeLines="150" w:line="400" w:lineRule="exact"/>
        <w:jc w:val="center"/>
        <w:rPr>
          <w:rFonts w:hint="eastAsia" w:ascii="宋体" w:hAnsi="宋体"/>
          <w:b/>
          <w:bCs/>
          <w:sz w:val="48"/>
          <w:szCs w:val="48"/>
        </w:rPr>
      </w:pPr>
      <w:r>
        <w:rPr>
          <w:rFonts w:hint="eastAsia" w:ascii="宋体" w:hAnsi="宋体"/>
          <w:b/>
          <w:bCs/>
          <w:sz w:val="48"/>
          <w:szCs w:val="48"/>
        </w:rPr>
        <w:t>文</w:t>
      </w:r>
    </w:p>
    <w:p w14:paraId="3E8B4C96">
      <w:pPr>
        <w:tabs>
          <w:tab w:val="left" w:pos="420"/>
        </w:tabs>
        <w:spacing w:before="468" w:beforeLines="150" w:line="400" w:lineRule="exact"/>
        <w:jc w:val="center"/>
        <w:rPr>
          <w:rFonts w:hint="eastAsia" w:ascii="宋体" w:hAnsi="宋体"/>
          <w:b/>
          <w:bCs/>
          <w:sz w:val="48"/>
          <w:szCs w:val="48"/>
        </w:rPr>
      </w:pPr>
      <w:r>
        <w:rPr>
          <w:rFonts w:hint="eastAsia" w:ascii="宋体" w:hAnsi="宋体"/>
          <w:b/>
          <w:bCs/>
          <w:sz w:val="48"/>
          <w:szCs w:val="48"/>
        </w:rPr>
        <w:t>件</w:t>
      </w:r>
    </w:p>
    <w:p w14:paraId="43A983C2">
      <w:pPr>
        <w:pStyle w:val="2"/>
        <w:ind w:firstLine="0"/>
        <w:jc w:val="center"/>
        <w:rPr>
          <w:rFonts w:ascii="仿宋_GB2312" w:eastAsia="仿宋_GB2312"/>
          <w:sz w:val="28"/>
          <w:szCs w:val="28"/>
        </w:rPr>
      </w:pPr>
      <w:r>
        <w:rPr>
          <w:rFonts w:hint="eastAsia" w:ascii="宋体" w:hAnsi="DotumChe" w:cs="宋体"/>
          <w:b/>
          <w:spacing w:val="11"/>
          <w:kern w:val="0"/>
          <w:sz w:val="28"/>
          <w:szCs w:val="28"/>
        </w:rPr>
        <w:t>项目编号：HYZX-2025-0</w:t>
      </w:r>
      <w:r>
        <w:rPr>
          <w:rFonts w:hint="eastAsia" w:ascii="宋体" w:hAnsi="DotumChe" w:cs="宋体"/>
          <w:b/>
          <w:spacing w:val="11"/>
          <w:kern w:val="0"/>
          <w:sz w:val="28"/>
          <w:szCs w:val="28"/>
          <w:lang w:val="en-US" w:eastAsia="zh-CN"/>
        </w:rPr>
        <w:t>8</w:t>
      </w:r>
      <w:r>
        <w:rPr>
          <w:rFonts w:hint="eastAsia" w:ascii="宋体" w:hAnsi="DotumChe" w:cs="宋体"/>
          <w:b/>
          <w:spacing w:val="11"/>
          <w:kern w:val="0"/>
          <w:sz w:val="28"/>
          <w:szCs w:val="28"/>
        </w:rPr>
        <w:t>01</w:t>
      </w:r>
    </w:p>
    <w:p w14:paraId="1321E9F6">
      <w:pPr>
        <w:tabs>
          <w:tab w:val="left" w:pos="2410"/>
        </w:tabs>
        <w:autoSpaceDE w:val="0"/>
        <w:autoSpaceDN w:val="0"/>
        <w:adjustRightInd w:val="0"/>
        <w:snapToGrid w:val="0"/>
        <w:spacing w:line="600" w:lineRule="exact"/>
        <w:ind w:left="2616" w:leftChars="480" w:hanging="1608" w:hangingChars="445"/>
        <w:jc w:val="left"/>
        <w:rPr>
          <w:rFonts w:ascii="宋体" w:hAnsi="DotumChe" w:cs="宋体"/>
          <w:b/>
          <w:spacing w:val="20"/>
          <w:kern w:val="0"/>
          <w:sz w:val="32"/>
          <w:szCs w:val="32"/>
        </w:rPr>
      </w:pPr>
    </w:p>
    <w:p w14:paraId="253876CF">
      <w:pPr>
        <w:pStyle w:val="16"/>
        <w:rPr>
          <w:rFonts w:ascii="宋体" w:hAnsi="DotumChe" w:cs="宋体"/>
          <w:b/>
          <w:spacing w:val="20"/>
          <w:kern w:val="0"/>
          <w:sz w:val="32"/>
          <w:szCs w:val="32"/>
        </w:rPr>
      </w:pPr>
    </w:p>
    <w:p w14:paraId="19F62CDC">
      <w:pPr>
        <w:tabs>
          <w:tab w:val="left" w:pos="2410"/>
        </w:tabs>
        <w:autoSpaceDE w:val="0"/>
        <w:autoSpaceDN w:val="0"/>
        <w:adjustRightInd w:val="0"/>
        <w:snapToGrid w:val="0"/>
        <w:spacing w:line="600" w:lineRule="exact"/>
        <w:ind w:left="1050" w:leftChars="500" w:firstLine="606" w:firstLineChars="200"/>
        <w:jc w:val="left"/>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采 购 人：</w:t>
      </w:r>
      <w:r>
        <w:rPr>
          <w:rFonts w:hint="eastAsia" w:ascii="宋体" w:hAnsi="DotumChe" w:cs="宋体"/>
          <w:b/>
          <w:spacing w:val="11"/>
          <w:kern w:val="0"/>
          <w:sz w:val="28"/>
          <w:szCs w:val="28"/>
          <w:lang w:val="en-US" w:eastAsia="zh-CN"/>
        </w:rPr>
        <w:t>霍山县农业农村局、衡宇建设集团有限公司</w:t>
      </w:r>
    </w:p>
    <w:p w14:paraId="4FF4DCBC">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采购代理机构：安徽衡宇工程咨询有限公司</w:t>
      </w:r>
    </w:p>
    <w:p w14:paraId="22215FC4">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r>
        <w:rPr>
          <w:rFonts w:hint="eastAsia" w:ascii="宋体" w:hAnsi="DotumChe" w:cs="宋体"/>
          <w:b/>
          <w:spacing w:val="11"/>
          <w:kern w:val="0"/>
          <w:sz w:val="28"/>
          <w:szCs w:val="28"/>
        </w:rPr>
        <w:t>采购时间：2025年0</w:t>
      </w:r>
      <w:r>
        <w:rPr>
          <w:rFonts w:hint="eastAsia" w:ascii="宋体" w:hAnsi="DotumChe" w:cs="宋体"/>
          <w:b/>
          <w:spacing w:val="11"/>
          <w:kern w:val="0"/>
          <w:sz w:val="28"/>
          <w:szCs w:val="28"/>
          <w:lang w:val="en-US" w:eastAsia="zh-CN"/>
        </w:rPr>
        <w:t>8</w:t>
      </w:r>
      <w:r>
        <w:rPr>
          <w:rFonts w:hint="eastAsia" w:ascii="宋体" w:hAnsi="DotumChe" w:cs="宋体"/>
          <w:b/>
          <w:spacing w:val="11"/>
          <w:kern w:val="0"/>
          <w:sz w:val="28"/>
          <w:szCs w:val="28"/>
        </w:rPr>
        <w:t>月</w:t>
      </w:r>
      <w:r>
        <w:rPr>
          <w:rFonts w:ascii="宋体" w:hAnsi="DotumChe" w:cs="宋体"/>
          <w:b/>
          <w:spacing w:val="11"/>
          <w:kern w:val="0"/>
          <w:sz w:val="28"/>
          <w:szCs w:val="28"/>
        </w:rPr>
        <w:t xml:space="preserve"> </w:t>
      </w:r>
    </w:p>
    <w:p w14:paraId="31507EA1">
      <w:pPr>
        <w:spacing w:line="360" w:lineRule="auto"/>
        <w:rPr>
          <w:sz w:val="32"/>
          <w:szCs w:val="32"/>
        </w:rPr>
      </w:pPr>
    </w:p>
    <w:p w14:paraId="1532ACAD">
      <w:pPr>
        <w:jc w:val="center"/>
        <w:rPr>
          <w:b/>
          <w:sz w:val="28"/>
          <w:szCs w:val="28"/>
        </w:rPr>
      </w:pPr>
      <w:r>
        <w:rPr>
          <w:rFonts w:hint="eastAsia"/>
          <w:b/>
          <w:sz w:val="28"/>
          <w:szCs w:val="28"/>
        </w:rPr>
        <w:br w:type="page"/>
      </w:r>
    </w:p>
    <w:p w14:paraId="7BE33FAA">
      <w:pPr>
        <w:pStyle w:val="6"/>
        <w:spacing w:before="120" w:beforeLines="50" w:after="120" w:afterLines="50" w:line="520" w:lineRule="exact"/>
        <w:jc w:val="center"/>
        <w:rPr>
          <w:rFonts w:ascii="华文中宋" w:hAnsi="华文中宋" w:eastAsia="华文中宋" w:cs="华文中宋"/>
          <w:b w:val="0"/>
          <w:bCs/>
          <w:sz w:val="44"/>
          <w:szCs w:val="44"/>
        </w:rPr>
      </w:pPr>
      <w:bookmarkStart w:id="0" w:name="_Toc18352"/>
      <w:bookmarkStart w:id="1" w:name="_Toc30186"/>
      <w:bookmarkStart w:id="2" w:name="_Toc216158623"/>
      <w:bookmarkStart w:id="3" w:name="_Toc363199264"/>
      <w:r>
        <w:rPr>
          <w:rFonts w:hint="eastAsia" w:ascii="华文中宋" w:hAnsi="华文中宋" w:eastAsia="华文中宋" w:cs="华文中宋"/>
          <w:b w:val="0"/>
          <w:bCs/>
          <w:sz w:val="44"/>
          <w:szCs w:val="44"/>
          <w:lang w:eastAsia="zh-CN"/>
        </w:rPr>
        <w:t>满路桥村农产品精加工项目4#、5#厂房和综合楼电梯采购</w:t>
      </w:r>
      <w:r>
        <w:rPr>
          <w:rFonts w:hint="eastAsia" w:ascii="华文中宋" w:hAnsi="华文中宋" w:eastAsia="华文中宋" w:cs="华文中宋"/>
          <w:b w:val="0"/>
          <w:bCs/>
          <w:sz w:val="44"/>
          <w:szCs w:val="44"/>
        </w:rPr>
        <w:t>竞争性磋商公告</w:t>
      </w:r>
      <w:bookmarkEnd w:id="0"/>
      <w:bookmarkEnd w:id="1"/>
    </w:p>
    <w:p w14:paraId="301F53C2">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满路桥村农产品精加工项目4#、5#厂房和综合楼电梯采购</w:t>
      </w:r>
      <w:r>
        <w:rPr>
          <w:rFonts w:hint="eastAsia" w:ascii="仿宋" w:hAnsi="仿宋" w:eastAsia="仿宋" w:cs="仿宋"/>
          <w:sz w:val="28"/>
          <w:szCs w:val="28"/>
          <w:u w:val="single"/>
        </w:rPr>
        <w:t>（项目编号：HYZX-2025-0</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01）</w:t>
      </w:r>
      <w:r>
        <w:rPr>
          <w:rFonts w:hint="eastAsia" w:ascii="仿宋" w:hAnsi="仿宋" w:eastAsia="仿宋" w:cs="仿宋"/>
          <w:sz w:val="28"/>
          <w:szCs w:val="28"/>
        </w:rPr>
        <w:t>的潜在供应商应在六安市公共资源交易电子服务系统（</w:t>
      </w:r>
      <w:r>
        <w:rPr>
          <w:rFonts w:hint="eastAsia" w:ascii="仿宋" w:hAnsi="仿宋" w:eastAsia="仿宋" w:cs="仿宋"/>
          <w:color w:val="auto"/>
          <w:sz w:val="28"/>
          <w:szCs w:val="28"/>
          <w:u w:val="none"/>
        </w:rPr>
        <w:t>http://ggzy.luan.gov.cn）</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安徽衡宇工程咨询有限公司网（http://www.ahhygczx.</w:t>
      </w:r>
      <w:r>
        <w:rPr>
          <w:rFonts w:hint="eastAsia" w:ascii="仿宋" w:hAnsi="仿宋" w:eastAsia="仿宋" w:cs="仿宋"/>
          <w:color w:val="auto"/>
          <w:sz w:val="28"/>
          <w:szCs w:val="28"/>
          <w:highlight w:val="none"/>
          <w:u w:val="none"/>
        </w:rPr>
        <w:t>com）获取采购文件，并于</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分（北京时间）前</w:t>
      </w:r>
      <w:r>
        <w:rPr>
          <w:rFonts w:hint="eastAsia" w:ascii="仿宋" w:hAnsi="仿宋" w:eastAsia="仿宋" w:cs="仿宋"/>
          <w:sz w:val="28"/>
          <w:szCs w:val="28"/>
        </w:rPr>
        <w:t>提交响应文件。</w:t>
      </w:r>
    </w:p>
    <w:p w14:paraId="0B9673F9">
      <w:pPr>
        <w:pStyle w:val="6"/>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sz w:val="28"/>
          <w:szCs w:val="28"/>
        </w:rPr>
      </w:pPr>
      <w:bookmarkStart w:id="4" w:name="_Toc22999"/>
      <w:bookmarkStart w:id="5" w:name="_Toc35393798"/>
      <w:bookmarkStart w:id="6" w:name="_Toc28359012"/>
      <w:bookmarkStart w:id="7" w:name="_Toc19336"/>
      <w:bookmarkStart w:id="8" w:name="_Toc35393629"/>
      <w:bookmarkStart w:id="9" w:name="_Toc28359089"/>
      <w:r>
        <w:rPr>
          <w:rFonts w:hint="eastAsia" w:ascii="黑体" w:hAnsi="黑体" w:cs="黑体"/>
          <w:b w:val="0"/>
          <w:bCs/>
          <w:sz w:val="28"/>
          <w:szCs w:val="28"/>
        </w:rPr>
        <w:t>一、项目基本情况</w:t>
      </w:r>
      <w:bookmarkEnd w:id="4"/>
      <w:bookmarkEnd w:id="5"/>
      <w:bookmarkEnd w:id="6"/>
      <w:bookmarkEnd w:id="7"/>
      <w:bookmarkEnd w:id="8"/>
      <w:bookmarkEnd w:id="9"/>
    </w:p>
    <w:p w14:paraId="16EDD049">
      <w:pPr>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1、项目编号：HYZX-2025-0</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01 </w:t>
      </w:r>
    </w:p>
    <w:p w14:paraId="032F2512">
      <w:pPr>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满路桥村农产品精加工项目4#、5#厂房和综合楼电梯采购</w:t>
      </w:r>
    </w:p>
    <w:p w14:paraId="4194632A">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3、项目类型：货物类</w:t>
      </w:r>
    </w:p>
    <w:p w14:paraId="19BBD61A">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color w:val="FF0000"/>
          <w:sz w:val="28"/>
          <w:szCs w:val="28"/>
          <w:highlight w:val="none"/>
        </w:rPr>
      </w:pPr>
      <w:r>
        <w:rPr>
          <w:rFonts w:hint="eastAsia" w:ascii="仿宋" w:hAnsi="仿宋" w:eastAsia="仿宋" w:cs="仿宋"/>
          <w:sz w:val="28"/>
          <w:szCs w:val="28"/>
          <w:highlight w:val="none"/>
        </w:rPr>
        <w:t xml:space="preserve">4、采购方式：竞争性磋商 </w:t>
      </w:r>
    </w:p>
    <w:p w14:paraId="44CBE24E">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highlight w:val="none"/>
        </w:rPr>
      </w:pPr>
      <w:r>
        <w:rPr>
          <w:rFonts w:hint="eastAsia" w:ascii="仿宋" w:hAnsi="仿宋" w:eastAsia="仿宋" w:cs="仿宋"/>
          <w:sz w:val="28"/>
          <w:szCs w:val="28"/>
          <w:highlight w:val="none"/>
        </w:rPr>
        <w:t>5、预算金额：</w:t>
      </w:r>
      <w:r>
        <w:rPr>
          <w:rFonts w:hint="eastAsia" w:ascii="仿宋" w:hAnsi="仿宋" w:eastAsia="仿宋" w:cs="仿宋"/>
          <w:sz w:val="28"/>
          <w:szCs w:val="28"/>
          <w:highlight w:val="none"/>
          <w:u w:val="single"/>
          <w:lang w:val="en-US" w:eastAsia="zh-CN"/>
        </w:rPr>
        <w:t>100</w:t>
      </w:r>
      <w:r>
        <w:rPr>
          <w:rFonts w:hint="eastAsia" w:ascii="仿宋" w:hAnsi="仿宋" w:eastAsia="仿宋" w:cs="仿宋"/>
          <w:sz w:val="28"/>
          <w:szCs w:val="28"/>
          <w:highlight w:val="none"/>
        </w:rPr>
        <w:t>万元</w:t>
      </w:r>
    </w:p>
    <w:p w14:paraId="105BF1D7">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highlight w:val="none"/>
        </w:rPr>
      </w:pPr>
      <w:r>
        <w:rPr>
          <w:rFonts w:hint="eastAsia" w:ascii="仿宋" w:hAnsi="仿宋" w:eastAsia="仿宋" w:cs="仿宋"/>
          <w:sz w:val="28"/>
          <w:szCs w:val="28"/>
          <w:highlight w:val="none"/>
        </w:rPr>
        <w:t>6、最高限价：</w:t>
      </w:r>
      <w:r>
        <w:rPr>
          <w:rFonts w:hint="eastAsia"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万元</w:t>
      </w:r>
    </w:p>
    <w:p w14:paraId="1BE021C5">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7、采购需求：满路桥村农产品精加工项目4#楼、5#楼</w:t>
      </w:r>
      <w:r>
        <w:rPr>
          <w:rFonts w:hint="eastAsia" w:ascii="仿宋" w:hAnsi="仿宋" w:eastAsia="仿宋" w:cs="仿宋"/>
          <w:sz w:val="28"/>
          <w:szCs w:val="28"/>
          <w:highlight w:val="none"/>
          <w:lang w:val="en-US" w:eastAsia="zh-CN"/>
        </w:rPr>
        <w:t>厂房货梯</w:t>
      </w:r>
      <w:r>
        <w:rPr>
          <w:rFonts w:hint="eastAsia" w:ascii="仿宋" w:hAnsi="仿宋" w:eastAsia="仿宋" w:cs="仿宋"/>
          <w:sz w:val="28"/>
          <w:szCs w:val="28"/>
          <w:highlight w:val="none"/>
        </w:rPr>
        <w:t>和综合楼</w:t>
      </w:r>
      <w:r>
        <w:rPr>
          <w:rFonts w:hint="eastAsia" w:ascii="仿宋" w:hAnsi="仿宋" w:eastAsia="仿宋" w:cs="仿宋"/>
          <w:sz w:val="28"/>
          <w:szCs w:val="28"/>
          <w:highlight w:val="none"/>
          <w:lang w:val="en-US" w:eastAsia="zh-CN"/>
        </w:rPr>
        <w:t>客梯</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具体详见采购需求</w:t>
      </w:r>
      <w:r>
        <w:rPr>
          <w:rFonts w:hint="eastAsia" w:ascii="仿宋" w:hAnsi="仿宋" w:eastAsia="仿宋" w:cs="仿宋"/>
          <w:sz w:val="28"/>
          <w:szCs w:val="28"/>
          <w:highlight w:val="none"/>
        </w:rPr>
        <w:t>。</w:t>
      </w:r>
    </w:p>
    <w:p w14:paraId="6406C9A7">
      <w:pPr>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8、合同履行期限：</w:t>
      </w:r>
      <w:r>
        <w:rPr>
          <w:rFonts w:hint="eastAsia" w:ascii="仿宋" w:hAnsi="仿宋" w:eastAsia="仿宋" w:cs="仿宋"/>
          <w:sz w:val="28"/>
          <w:szCs w:val="28"/>
          <w:highlight w:val="none"/>
          <w:lang w:val="en-US" w:eastAsia="zh-CN"/>
        </w:rPr>
        <w:t>合同签订后30日历天内货到施工现场并完成所有电梯的安装、试运行工作，且符合约定质量标准、通过相关机构验收。</w:t>
      </w:r>
    </w:p>
    <w:p w14:paraId="4ED32FA2">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highlight w:val="none"/>
        </w:rPr>
      </w:pPr>
      <w:r>
        <w:rPr>
          <w:rFonts w:hint="eastAsia" w:ascii="仿宋" w:hAnsi="仿宋" w:eastAsia="仿宋" w:cs="仿宋"/>
          <w:sz w:val="28"/>
          <w:szCs w:val="28"/>
          <w:highlight w:val="none"/>
        </w:rPr>
        <w:t>9、是否接受联合体：本项目不接受联合体。</w:t>
      </w:r>
    </w:p>
    <w:p w14:paraId="533979C9">
      <w:pPr>
        <w:pStyle w:val="6"/>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sz w:val="28"/>
          <w:szCs w:val="28"/>
          <w:highlight w:val="none"/>
        </w:rPr>
      </w:pPr>
      <w:bookmarkStart w:id="10" w:name="_Toc28359090"/>
      <w:bookmarkStart w:id="11" w:name="_Toc35393630"/>
      <w:bookmarkStart w:id="12" w:name="_Toc8072"/>
      <w:bookmarkStart w:id="13" w:name="_Toc25848"/>
      <w:bookmarkStart w:id="14" w:name="_Toc35393799"/>
      <w:bookmarkStart w:id="15" w:name="_Toc28359013"/>
      <w:bookmarkStart w:id="16" w:name="_Toc28359091"/>
      <w:bookmarkStart w:id="17" w:name="_Toc28359014"/>
      <w:r>
        <w:rPr>
          <w:rFonts w:hint="eastAsia" w:ascii="黑体" w:hAnsi="黑体" w:cs="黑体"/>
          <w:b w:val="0"/>
          <w:bCs/>
          <w:sz w:val="28"/>
          <w:szCs w:val="28"/>
          <w:highlight w:val="none"/>
        </w:rPr>
        <w:t>二、申请人的资格要求</w:t>
      </w:r>
      <w:bookmarkEnd w:id="10"/>
      <w:bookmarkEnd w:id="11"/>
      <w:bookmarkEnd w:id="12"/>
      <w:bookmarkEnd w:id="13"/>
      <w:bookmarkEnd w:id="14"/>
      <w:bookmarkEnd w:id="15"/>
    </w:p>
    <w:p w14:paraId="2E29C67E">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14:paraId="23D236F8">
      <w:pPr>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2、本项目的特定资格要求：</w:t>
      </w:r>
    </w:p>
    <w:p w14:paraId="107D377C">
      <w:pPr>
        <w:pStyle w:val="16"/>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若供应商为生产厂家时，须具有①或②： </w:t>
      </w:r>
    </w:p>
    <w:p w14:paraId="13F27A6D">
      <w:pPr>
        <w:pStyle w:val="16"/>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①有效的特种设备制造许可证（电梯）（品种包含曳引驱动乘客电梯、载货电梯）和有效的特种设备安装改造维修许可证（类型包含乘客电梯、载货电梯，施工类别包含安装和修理）；</w:t>
      </w:r>
    </w:p>
    <w:p w14:paraId="03BAF7F0">
      <w:pPr>
        <w:pStyle w:val="16"/>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②有效的特种设备生产许可证（许可项目包括电梯制造和安装和修理，子项目包含曳引驱动乘客电梯、载货电梯）。 </w:t>
      </w:r>
    </w:p>
    <w:p w14:paraId="25D2E06B">
      <w:pPr>
        <w:pStyle w:val="16"/>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若供应商为经销/代理商时，除所投电梯生产厂家满足上述（1）中要求外，供应商须具有有效的特种设备安装改造维修许可证（类型包含乘客电梯、载货电梯，施工类别包含安装和修理）或具有有效的特种设备生产许可证（许可项目包括安装和修理，子项目包含曳引驱动乘客电梯、载货电梯）。</w:t>
      </w:r>
    </w:p>
    <w:p w14:paraId="5391E383">
      <w:pPr>
        <w:pStyle w:val="6"/>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sz w:val="28"/>
          <w:szCs w:val="28"/>
        </w:rPr>
      </w:pPr>
      <w:bookmarkStart w:id="18" w:name="_Toc35393631"/>
      <w:bookmarkStart w:id="19" w:name="_Toc26759"/>
      <w:bookmarkStart w:id="20" w:name="_Toc4164"/>
      <w:bookmarkStart w:id="21" w:name="_Toc35393800"/>
      <w:r>
        <w:rPr>
          <w:rFonts w:hint="eastAsia" w:ascii="黑体" w:hAnsi="黑体" w:cs="黑体"/>
          <w:b w:val="0"/>
          <w:bCs/>
          <w:sz w:val="28"/>
          <w:szCs w:val="28"/>
        </w:rPr>
        <w:t>三、获取采购文件</w:t>
      </w:r>
      <w:bookmarkEnd w:id="16"/>
      <w:bookmarkEnd w:id="17"/>
      <w:bookmarkEnd w:id="18"/>
      <w:bookmarkEnd w:id="19"/>
      <w:bookmarkEnd w:id="20"/>
      <w:bookmarkEnd w:id="21"/>
    </w:p>
    <w:p w14:paraId="4E833105">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bCs/>
          <w:sz w:val="28"/>
          <w:szCs w:val="28"/>
          <w:u w:val="single"/>
          <w:lang w:val="en-US" w:eastAsia="zh-CN"/>
        </w:rPr>
        <w:t>2025</w:t>
      </w:r>
      <w:r>
        <w:rPr>
          <w:rFonts w:hint="eastAsia" w:ascii="仿宋" w:hAnsi="仿宋" w:eastAsia="仿宋" w:cs="仿宋"/>
          <w:bCs/>
          <w:sz w:val="28"/>
          <w:szCs w:val="28"/>
        </w:rPr>
        <w:t>年</w:t>
      </w:r>
      <w:r>
        <w:rPr>
          <w:rFonts w:hint="eastAsia" w:ascii="仿宋" w:hAnsi="仿宋" w:eastAsia="仿宋" w:cs="仿宋"/>
          <w:bCs/>
          <w:sz w:val="28"/>
          <w:szCs w:val="28"/>
          <w:u w:val="single"/>
          <w:lang w:val="en-US" w:eastAsia="zh-CN"/>
        </w:rPr>
        <w:t>08</w:t>
      </w:r>
      <w:r>
        <w:rPr>
          <w:rFonts w:hint="eastAsia" w:ascii="仿宋" w:hAnsi="仿宋" w:eastAsia="仿宋" w:cs="仿宋"/>
          <w:bCs/>
          <w:sz w:val="28"/>
          <w:szCs w:val="28"/>
        </w:rPr>
        <w:t>月</w:t>
      </w:r>
      <w:r>
        <w:rPr>
          <w:rFonts w:hint="eastAsia" w:ascii="仿宋" w:hAnsi="仿宋" w:eastAsia="仿宋" w:cs="仿宋"/>
          <w:bCs/>
          <w:sz w:val="28"/>
          <w:szCs w:val="28"/>
          <w:u w:val="single"/>
          <w:lang w:val="en-US" w:eastAsia="zh-CN"/>
        </w:rPr>
        <w:t>28</w:t>
      </w:r>
      <w:r>
        <w:rPr>
          <w:rFonts w:hint="eastAsia" w:ascii="仿宋" w:hAnsi="仿宋" w:eastAsia="仿宋" w:cs="仿宋"/>
          <w:bCs/>
          <w:sz w:val="28"/>
          <w:szCs w:val="28"/>
        </w:rPr>
        <w:t>日至</w:t>
      </w:r>
      <w:r>
        <w:rPr>
          <w:rFonts w:hint="eastAsia" w:ascii="仿宋" w:hAnsi="仿宋" w:eastAsia="仿宋" w:cs="仿宋"/>
          <w:bCs/>
          <w:sz w:val="28"/>
          <w:szCs w:val="28"/>
          <w:u w:val="single"/>
          <w:lang w:val="en-US" w:eastAsia="zh-CN"/>
        </w:rPr>
        <w:t>2025</w:t>
      </w:r>
      <w:r>
        <w:rPr>
          <w:rFonts w:hint="eastAsia" w:ascii="仿宋" w:hAnsi="仿宋" w:eastAsia="仿宋" w:cs="仿宋"/>
          <w:bCs/>
          <w:sz w:val="28"/>
          <w:szCs w:val="28"/>
        </w:rPr>
        <w:t>年</w:t>
      </w:r>
      <w:r>
        <w:rPr>
          <w:rFonts w:hint="eastAsia" w:ascii="仿宋" w:hAnsi="仿宋" w:eastAsia="仿宋" w:cs="仿宋"/>
          <w:bCs/>
          <w:sz w:val="28"/>
          <w:szCs w:val="28"/>
          <w:u w:val="single"/>
          <w:lang w:val="en-US" w:eastAsia="zh-CN"/>
        </w:rPr>
        <w:t>09</w:t>
      </w:r>
      <w:r>
        <w:rPr>
          <w:rFonts w:hint="eastAsia" w:ascii="仿宋" w:hAnsi="仿宋" w:eastAsia="仿宋" w:cs="仿宋"/>
          <w:bCs/>
          <w:sz w:val="28"/>
          <w:szCs w:val="28"/>
        </w:rPr>
        <w:t>月</w:t>
      </w:r>
      <w:r>
        <w:rPr>
          <w:rFonts w:hint="eastAsia" w:ascii="仿宋" w:hAnsi="仿宋" w:eastAsia="仿宋" w:cs="仿宋"/>
          <w:bCs/>
          <w:sz w:val="28"/>
          <w:szCs w:val="28"/>
          <w:u w:val="single"/>
          <w:lang w:val="en-US" w:eastAsia="zh-CN"/>
        </w:rPr>
        <w:t>08</w:t>
      </w:r>
      <w:r>
        <w:rPr>
          <w:rFonts w:hint="eastAsia" w:ascii="仿宋" w:hAnsi="仿宋" w:eastAsia="仿宋" w:cs="仿宋"/>
          <w:bCs/>
          <w:sz w:val="28"/>
          <w:szCs w:val="28"/>
        </w:rPr>
        <w:t>日</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lang w:val="en-US" w:eastAsia="zh-CN"/>
        </w:rPr>
        <w:t>点</w:t>
      </w:r>
      <w:r>
        <w:rPr>
          <w:rFonts w:hint="eastAsia" w:ascii="仿宋" w:hAnsi="仿宋" w:eastAsia="仿宋" w:cs="仿宋"/>
          <w:bCs/>
          <w:sz w:val="28"/>
          <w:szCs w:val="28"/>
          <w:u w:val="single"/>
          <w:lang w:val="en-US" w:eastAsia="zh-CN"/>
        </w:rPr>
        <w:t>00</w:t>
      </w:r>
      <w:r>
        <w:rPr>
          <w:rFonts w:hint="eastAsia" w:ascii="仿宋" w:hAnsi="仿宋" w:eastAsia="仿宋" w:cs="仿宋"/>
          <w:bCs/>
          <w:sz w:val="28"/>
          <w:szCs w:val="28"/>
          <w:lang w:val="en-US" w:eastAsia="zh-CN"/>
        </w:rPr>
        <w:t>分</w:t>
      </w:r>
      <w:r>
        <w:rPr>
          <w:rFonts w:hint="eastAsia" w:ascii="仿宋" w:hAnsi="仿宋" w:eastAsia="仿宋" w:cs="仿宋"/>
          <w:sz w:val="28"/>
          <w:szCs w:val="28"/>
        </w:rPr>
        <w:t>（北京时间）</w:t>
      </w:r>
    </w:p>
    <w:p w14:paraId="042B6070">
      <w:pPr>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u w:val="single"/>
          <w:lang w:eastAsia="zh-CN"/>
        </w:rPr>
      </w:pPr>
      <w:r>
        <w:rPr>
          <w:rFonts w:hint="eastAsia" w:ascii="仿宋" w:hAnsi="仿宋" w:eastAsia="仿宋" w:cs="仿宋"/>
          <w:sz w:val="28"/>
          <w:szCs w:val="28"/>
        </w:rPr>
        <w:t>2、地点：</w:t>
      </w:r>
      <w:bookmarkStart w:id="129" w:name="_GoBack"/>
      <w:r>
        <w:rPr>
          <w:rFonts w:hint="eastAsia" w:ascii="仿宋" w:hAnsi="仿宋" w:eastAsia="仿宋" w:cs="仿宋"/>
          <w:sz w:val="28"/>
          <w:szCs w:val="28"/>
        </w:rPr>
        <w:t>六安市公共资源交易电子服务系统（http://ggzy.luan.gov.cn）</w:t>
      </w:r>
      <w:r>
        <w:rPr>
          <w:rFonts w:hint="eastAsia" w:ascii="仿宋" w:hAnsi="仿宋" w:eastAsia="仿宋" w:cs="仿宋"/>
          <w:sz w:val="28"/>
          <w:szCs w:val="28"/>
          <w:lang w:eastAsia="zh-CN"/>
        </w:rPr>
        <w:t>、</w:t>
      </w:r>
      <w:bookmarkEnd w:id="129"/>
      <w:r>
        <w:rPr>
          <w:rFonts w:hint="eastAsia" w:ascii="仿宋" w:hAnsi="仿宋" w:eastAsia="仿宋" w:cs="仿宋"/>
          <w:sz w:val="28"/>
          <w:szCs w:val="28"/>
          <w:lang w:val="en-US" w:eastAsia="zh-CN"/>
        </w:rPr>
        <w:t>安徽衡宇工程咨询有限公司网（http://www.ahhygczx.com）</w:t>
      </w:r>
    </w:p>
    <w:p w14:paraId="6C65D576">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3、获取方式：本项目</w:t>
      </w:r>
      <w:r>
        <w:rPr>
          <w:rFonts w:hint="eastAsia" w:ascii="仿宋" w:hAnsi="仿宋" w:eastAsia="仿宋" w:cs="仿宋"/>
          <w:sz w:val="28"/>
          <w:szCs w:val="28"/>
          <w:lang w:eastAsia="zh-CN"/>
        </w:rPr>
        <w:t>磋商</w:t>
      </w:r>
      <w:r>
        <w:rPr>
          <w:rFonts w:hint="eastAsia" w:ascii="仿宋" w:hAnsi="仿宋" w:eastAsia="仿宋" w:cs="仿宋"/>
          <w:sz w:val="28"/>
          <w:szCs w:val="28"/>
        </w:rPr>
        <w:t>文件（答疑澄清等相关文件资料）均由供应商从公告发布网站自行下载。</w:t>
      </w:r>
    </w:p>
    <w:p w14:paraId="5790FA9F">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4、售价：零元</w:t>
      </w:r>
    </w:p>
    <w:p w14:paraId="25D96F9B">
      <w:pPr>
        <w:pStyle w:val="6"/>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sz w:val="28"/>
          <w:szCs w:val="28"/>
        </w:rPr>
      </w:pPr>
      <w:bookmarkStart w:id="22" w:name="_Toc13316"/>
      <w:bookmarkStart w:id="23" w:name="_Toc28359092"/>
      <w:bookmarkStart w:id="24" w:name="_Toc20346"/>
      <w:bookmarkStart w:id="25" w:name="_Toc35393632"/>
      <w:bookmarkStart w:id="26" w:name="_Toc28359015"/>
      <w:bookmarkStart w:id="27" w:name="_Toc35393801"/>
      <w:r>
        <w:rPr>
          <w:rFonts w:hint="eastAsia" w:ascii="黑体" w:hAnsi="黑体" w:cs="黑体"/>
          <w:b w:val="0"/>
          <w:bCs/>
          <w:sz w:val="28"/>
          <w:szCs w:val="28"/>
        </w:rPr>
        <w:t>四、响应文件</w:t>
      </w:r>
      <w:bookmarkEnd w:id="22"/>
      <w:bookmarkEnd w:id="23"/>
      <w:bookmarkEnd w:id="24"/>
      <w:bookmarkEnd w:id="25"/>
      <w:bookmarkEnd w:id="26"/>
      <w:bookmarkEnd w:id="27"/>
      <w:r>
        <w:rPr>
          <w:rFonts w:hint="eastAsia" w:ascii="黑体" w:hAnsi="黑体" w:cs="黑体"/>
          <w:b w:val="0"/>
          <w:bCs/>
          <w:sz w:val="28"/>
          <w:szCs w:val="28"/>
        </w:rPr>
        <w:t>递交</w:t>
      </w:r>
    </w:p>
    <w:p w14:paraId="252406FF">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bCs/>
          <w:sz w:val="28"/>
          <w:szCs w:val="28"/>
        </w:rPr>
      </w:pPr>
      <w:r>
        <w:rPr>
          <w:rFonts w:hint="eastAsia" w:ascii="仿宋" w:hAnsi="仿宋" w:eastAsia="仿宋" w:cs="仿宋"/>
          <w:sz w:val="28"/>
          <w:szCs w:val="28"/>
        </w:rPr>
        <w:t>1、截止时间：</w:t>
      </w:r>
      <w:r>
        <w:rPr>
          <w:rFonts w:hint="eastAsia" w:ascii="仿宋" w:hAnsi="仿宋" w:eastAsia="仿宋" w:cs="仿宋"/>
          <w:bCs/>
          <w:sz w:val="28"/>
          <w:szCs w:val="28"/>
          <w:u w:val="single"/>
          <w:lang w:val="en-US" w:eastAsia="zh-CN"/>
        </w:rPr>
        <w:t>2025</w:t>
      </w:r>
      <w:r>
        <w:rPr>
          <w:rFonts w:hint="eastAsia" w:ascii="仿宋" w:hAnsi="仿宋" w:eastAsia="仿宋" w:cs="仿宋"/>
          <w:bCs/>
          <w:sz w:val="28"/>
          <w:szCs w:val="28"/>
        </w:rPr>
        <w:t>年</w:t>
      </w:r>
      <w:r>
        <w:rPr>
          <w:rFonts w:hint="eastAsia" w:ascii="仿宋" w:hAnsi="仿宋" w:eastAsia="仿宋" w:cs="仿宋"/>
          <w:bCs/>
          <w:sz w:val="28"/>
          <w:szCs w:val="28"/>
          <w:u w:val="single"/>
          <w:lang w:val="en-US" w:eastAsia="zh-CN"/>
        </w:rPr>
        <w:t>09</w:t>
      </w:r>
      <w:r>
        <w:rPr>
          <w:rFonts w:hint="eastAsia" w:ascii="仿宋" w:hAnsi="仿宋" w:eastAsia="仿宋" w:cs="仿宋"/>
          <w:bCs/>
          <w:sz w:val="28"/>
          <w:szCs w:val="28"/>
        </w:rPr>
        <w:t>月</w:t>
      </w:r>
      <w:r>
        <w:rPr>
          <w:rFonts w:hint="eastAsia" w:ascii="仿宋" w:hAnsi="仿宋" w:eastAsia="仿宋" w:cs="仿宋"/>
          <w:bCs/>
          <w:sz w:val="28"/>
          <w:szCs w:val="28"/>
          <w:u w:val="single"/>
          <w:lang w:val="en-US" w:eastAsia="zh-CN"/>
        </w:rPr>
        <w:t>08</w:t>
      </w:r>
      <w:r>
        <w:rPr>
          <w:rFonts w:hint="eastAsia" w:ascii="仿宋" w:hAnsi="仿宋" w:eastAsia="仿宋" w:cs="仿宋"/>
          <w:bCs/>
          <w:sz w:val="28"/>
          <w:szCs w:val="28"/>
        </w:rPr>
        <w:t>日</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lang w:val="en-US" w:eastAsia="zh-CN"/>
        </w:rPr>
        <w:t>点</w:t>
      </w:r>
      <w:r>
        <w:rPr>
          <w:rFonts w:hint="eastAsia" w:ascii="仿宋" w:hAnsi="仿宋" w:eastAsia="仿宋" w:cs="仿宋"/>
          <w:bCs/>
          <w:sz w:val="28"/>
          <w:szCs w:val="28"/>
          <w:u w:val="single"/>
          <w:lang w:val="en-US" w:eastAsia="zh-CN"/>
        </w:rPr>
        <w:t>00</w:t>
      </w:r>
      <w:r>
        <w:rPr>
          <w:rFonts w:hint="eastAsia" w:ascii="仿宋" w:hAnsi="仿宋" w:eastAsia="仿宋" w:cs="仿宋"/>
          <w:bCs/>
          <w:sz w:val="28"/>
          <w:szCs w:val="28"/>
          <w:lang w:val="en-US" w:eastAsia="zh-CN"/>
        </w:rPr>
        <w:t>分</w:t>
      </w:r>
      <w:r>
        <w:rPr>
          <w:rFonts w:hint="eastAsia" w:ascii="仿宋" w:hAnsi="仿宋" w:eastAsia="仿宋" w:cs="仿宋"/>
          <w:bCs/>
          <w:sz w:val="28"/>
          <w:szCs w:val="28"/>
        </w:rPr>
        <w:t>（北京时间）</w:t>
      </w:r>
    </w:p>
    <w:p w14:paraId="04B00611">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递交</w:t>
      </w:r>
      <w:r>
        <w:rPr>
          <w:rFonts w:hint="eastAsia" w:ascii="仿宋" w:hAnsi="仿宋" w:eastAsia="仿宋" w:cs="仿宋"/>
          <w:kern w:val="0"/>
          <w:sz w:val="28"/>
          <w:szCs w:val="28"/>
        </w:rPr>
        <w:t>方式：</w:t>
      </w:r>
      <w:r>
        <w:rPr>
          <w:rFonts w:hint="eastAsia" w:ascii="仿宋" w:hAnsi="仿宋" w:eastAsia="仿宋" w:cs="仿宋"/>
          <w:kern w:val="0"/>
          <w:sz w:val="28"/>
          <w:szCs w:val="28"/>
          <w:lang w:eastAsia="zh-CN"/>
        </w:rPr>
        <w:t>现场递交</w:t>
      </w:r>
      <w:r>
        <w:rPr>
          <w:rFonts w:hint="eastAsia" w:ascii="仿宋" w:hAnsi="仿宋" w:eastAsia="仿宋" w:cs="仿宋"/>
          <w:kern w:val="0"/>
          <w:sz w:val="28"/>
          <w:szCs w:val="28"/>
        </w:rPr>
        <w:t>。</w:t>
      </w:r>
    </w:p>
    <w:p w14:paraId="54C9F378">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lang w:bidi="ar"/>
        </w:rPr>
        <w:t>3、</w:t>
      </w:r>
      <w:r>
        <w:rPr>
          <w:rFonts w:hint="eastAsia" w:ascii="仿宋" w:hAnsi="仿宋" w:eastAsia="仿宋" w:cs="仿宋"/>
          <w:bCs/>
          <w:color w:val="000000" w:themeColor="text1"/>
          <w:kern w:val="0"/>
          <w:sz w:val="28"/>
          <w:szCs w:val="28"/>
          <w:shd w:val="clear" w:color="auto" w:fill="FFFFFF"/>
          <w:lang w:eastAsia="zh-CN" w:bidi="ar"/>
          <w14:textFill>
            <w14:solidFill>
              <w14:schemeClr w14:val="tx1"/>
            </w14:solidFill>
          </w14:textFill>
        </w:rPr>
        <w:t>递交地点：</w:t>
      </w:r>
      <w:r>
        <w:rPr>
          <w:rFonts w:hint="eastAsia" w:ascii="仿宋" w:hAnsi="仿宋" w:eastAsia="仿宋" w:cs="仿宋"/>
          <w:bCs/>
          <w:color w:val="000000" w:themeColor="text1"/>
          <w:kern w:val="0"/>
          <w:sz w:val="28"/>
          <w:szCs w:val="28"/>
          <w:shd w:val="clear" w:color="auto" w:fill="FFFFFF"/>
          <w:lang w:val="en-US" w:eastAsia="zh-CN" w:bidi="ar"/>
          <w14:textFill>
            <w14:solidFill>
              <w14:schemeClr w14:val="tx1"/>
            </w14:solidFill>
          </w14:textFill>
        </w:rPr>
        <w:t>安徽衡宇工程咨询有限公司二楼</w:t>
      </w:r>
      <w:r>
        <w:rPr>
          <w:rFonts w:hint="eastAsia" w:ascii="仿宋" w:hAnsi="仿宋" w:eastAsia="仿宋" w:cs="仿宋"/>
          <w:bCs/>
          <w:color w:val="000000" w:themeColor="text1"/>
          <w:kern w:val="0"/>
          <w:sz w:val="28"/>
          <w:szCs w:val="28"/>
          <w:shd w:val="clear" w:color="auto" w:fill="FFFFFF"/>
          <w:lang w:eastAsia="zh-CN" w:bidi="ar"/>
          <w14:textFill>
            <w14:solidFill>
              <w14:schemeClr w14:val="tx1"/>
            </w14:solidFill>
          </w14:textFill>
        </w:rPr>
        <w:t>开标厅（霍山县衡山镇中兴南路16号（老建设局大院</w:t>
      </w:r>
      <w:r>
        <w:rPr>
          <w:rFonts w:hint="eastAsia" w:ascii="仿宋" w:hAnsi="仿宋" w:eastAsia="仿宋" w:cs="仿宋"/>
          <w:bCs/>
          <w:color w:val="000000" w:themeColor="text1"/>
          <w:kern w:val="0"/>
          <w:sz w:val="28"/>
          <w:szCs w:val="28"/>
          <w:shd w:val="clear" w:color="auto" w:fill="FFFFFF"/>
          <w:lang w:val="en-US" w:eastAsia="zh-CN" w:bidi="ar"/>
          <w14:textFill>
            <w14:solidFill>
              <w14:schemeClr w14:val="tx1"/>
            </w14:solidFill>
          </w14:textFill>
        </w:rPr>
        <w:t>2</w:t>
      </w:r>
      <w:r>
        <w:rPr>
          <w:rFonts w:hint="eastAsia" w:ascii="仿宋" w:hAnsi="仿宋" w:eastAsia="仿宋" w:cs="仿宋"/>
          <w:bCs/>
          <w:color w:val="000000" w:themeColor="text1"/>
          <w:kern w:val="0"/>
          <w:sz w:val="28"/>
          <w:szCs w:val="28"/>
          <w:shd w:val="clear" w:color="auto" w:fill="FFFFFF"/>
          <w:lang w:eastAsia="zh-CN" w:bidi="ar"/>
          <w14:textFill>
            <w14:solidFill>
              <w14:schemeClr w14:val="tx1"/>
            </w14:solidFill>
          </w14:textFill>
        </w:rPr>
        <w:t>楼））</w:t>
      </w:r>
    </w:p>
    <w:p w14:paraId="07C262BF">
      <w:pPr>
        <w:pStyle w:val="6"/>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sz w:val="28"/>
          <w:szCs w:val="28"/>
        </w:rPr>
      </w:pPr>
      <w:bookmarkStart w:id="28" w:name="_Toc28359093"/>
      <w:bookmarkStart w:id="29" w:name="_Toc29902"/>
      <w:bookmarkStart w:id="30" w:name="_Toc25100"/>
      <w:bookmarkStart w:id="31" w:name="_Toc35393633"/>
      <w:bookmarkStart w:id="32" w:name="_Toc35393802"/>
      <w:bookmarkStart w:id="33" w:name="_Toc28359016"/>
      <w:r>
        <w:rPr>
          <w:rFonts w:hint="eastAsia" w:ascii="黑体" w:hAnsi="黑体" w:cs="黑体"/>
          <w:b w:val="0"/>
          <w:bCs/>
          <w:sz w:val="28"/>
          <w:szCs w:val="28"/>
        </w:rPr>
        <w:t>五、响应文件开启</w:t>
      </w:r>
      <w:bookmarkEnd w:id="28"/>
      <w:bookmarkEnd w:id="29"/>
      <w:bookmarkEnd w:id="30"/>
      <w:bookmarkEnd w:id="31"/>
      <w:bookmarkEnd w:id="32"/>
      <w:bookmarkEnd w:id="33"/>
    </w:p>
    <w:p w14:paraId="7F05B98E">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sz w:val="28"/>
          <w:szCs w:val="28"/>
          <w:u w:val="single"/>
        </w:rPr>
      </w:pPr>
      <w:r>
        <w:rPr>
          <w:rFonts w:hint="eastAsia" w:ascii="仿宋" w:hAnsi="仿宋" w:eastAsia="仿宋" w:cs="仿宋"/>
          <w:sz w:val="28"/>
          <w:szCs w:val="28"/>
        </w:rPr>
        <w:t>1、时间：</w:t>
      </w:r>
      <w:r>
        <w:rPr>
          <w:rFonts w:hint="eastAsia" w:ascii="仿宋" w:hAnsi="仿宋" w:eastAsia="仿宋" w:cs="仿宋"/>
          <w:bCs/>
          <w:sz w:val="28"/>
          <w:szCs w:val="28"/>
          <w:u w:val="single"/>
          <w:lang w:val="en-US" w:eastAsia="zh-CN"/>
        </w:rPr>
        <w:t>2025</w:t>
      </w:r>
      <w:r>
        <w:rPr>
          <w:rFonts w:hint="eastAsia" w:ascii="仿宋" w:hAnsi="仿宋" w:eastAsia="仿宋" w:cs="仿宋"/>
          <w:bCs/>
          <w:sz w:val="28"/>
          <w:szCs w:val="28"/>
        </w:rPr>
        <w:t>年</w:t>
      </w:r>
      <w:r>
        <w:rPr>
          <w:rFonts w:hint="eastAsia" w:ascii="仿宋" w:hAnsi="仿宋" w:eastAsia="仿宋" w:cs="仿宋"/>
          <w:bCs/>
          <w:sz w:val="28"/>
          <w:szCs w:val="28"/>
          <w:u w:val="single"/>
          <w:lang w:val="en-US" w:eastAsia="zh-CN"/>
        </w:rPr>
        <w:t>09</w:t>
      </w:r>
      <w:r>
        <w:rPr>
          <w:rFonts w:hint="eastAsia" w:ascii="仿宋" w:hAnsi="仿宋" w:eastAsia="仿宋" w:cs="仿宋"/>
          <w:bCs/>
          <w:sz w:val="28"/>
          <w:szCs w:val="28"/>
        </w:rPr>
        <w:t>月</w:t>
      </w:r>
      <w:r>
        <w:rPr>
          <w:rFonts w:hint="eastAsia" w:ascii="仿宋" w:hAnsi="仿宋" w:eastAsia="仿宋" w:cs="仿宋"/>
          <w:bCs/>
          <w:sz w:val="28"/>
          <w:szCs w:val="28"/>
          <w:u w:val="single"/>
          <w:lang w:val="en-US" w:eastAsia="zh-CN"/>
        </w:rPr>
        <w:t>08</w:t>
      </w:r>
      <w:r>
        <w:rPr>
          <w:rFonts w:hint="eastAsia" w:ascii="仿宋" w:hAnsi="仿宋" w:eastAsia="仿宋" w:cs="仿宋"/>
          <w:bCs/>
          <w:sz w:val="28"/>
          <w:szCs w:val="28"/>
        </w:rPr>
        <w:t>日</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lang w:val="en-US" w:eastAsia="zh-CN"/>
        </w:rPr>
        <w:t>点</w:t>
      </w:r>
      <w:r>
        <w:rPr>
          <w:rFonts w:hint="eastAsia" w:ascii="仿宋" w:hAnsi="仿宋" w:eastAsia="仿宋" w:cs="仿宋"/>
          <w:bCs/>
          <w:sz w:val="28"/>
          <w:szCs w:val="28"/>
          <w:u w:val="single"/>
          <w:lang w:val="en-US" w:eastAsia="zh-CN"/>
        </w:rPr>
        <w:t>00</w:t>
      </w:r>
      <w:r>
        <w:rPr>
          <w:rFonts w:hint="eastAsia" w:ascii="仿宋" w:hAnsi="仿宋" w:eastAsia="仿宋" w:cs="仿宋"/>
          <w:bCs/>
          <w:sz w:val="28"/>
          <w:szCs w:val="28"/>
          <w:lang w:val="en-US" w:eastAsia="zh-CN"/>
        </w:rPr>
        <w:t>分</w:t>
      </w:r>
      <w:r>
        <w:rPr>
          <w:rFonts w:hint="eastAsia" w:ascii="仿宋" w:hAnsi="仿宋" w:eastAsia="仿宋" w:cs="仿宋"/>
          <w:sz w:val="28"/>
          <w:szCs w:val="28"/>
        </w:rPr>
        <w:t>（北京时间）</w:t>
      </w:r>
    </w:p>
    <w:p w14:paraId="0FB51BDB">
      <w:pPr>
        <w:pStyle w:val="2"/>
        <w:pageBreakBefore w:val="0"/>
        <w:kinsoku/>
        <w:wordWrap/>
        <w:overflowPunct/>
        <w:topLinePunct w:val="0"/>
        <w:autoSpaceDE/>
        <w:autoSpaceDN/>
        <w:bidi w:val="0"/>
        <w:adjustRightInd/>
        <w:snapToGrid/>
        <w:spacing w:after="0"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bCs/>
          <w:color w:val="000000" w:themeColor="text1"/>
          <w:kern w:val="0"/>
          <w:sz w:val="28"/>
          <w:szCs w:val="28"/>
          <w:shd w:val="clear" w:color="auto" w:fill="FFFFFF"/>
          <w:lang w:val="en-US" w:eastAsia="zh-CN" w:bidi="ar"/>
          <w14:textFill>
            <w14:solidFill>
              <w14:schemeClr w14:val="tx1"/>
            </w14:solidFill>
          </w14:textFill>
        </w:rPr>
        <w:t>安徽衡宇工程咨询有限公司二楼</w:t>
      </w:r>
      <w:r>
        <w:rPr>
          <w:rFonts w:hint="eastAsia" w:ascii="仿宋" w:hAnsi="仿宋" w:eastAsia="仿宋" w:cs="仿宋"/>
          <w:bCs/>
          <w:color w:val="000000" w:themeColor="text1"/>
          <w:kern w:val="0"/>
          <w:sz w:val="28"/>
          <w:szCs w:val="28"/>
          <w:shd w:val="clear" w:color="auto" w:fill="FFFFFF"/>
          <w:lang w:eastAsia="zh-CN" w:bidi="ar"/>
          <w14:textFill>
            <w14:solidFill>
              <w14:schemeClr w14:val="tx1"/>
            </w14:solidFill>
          </w14:textFill>
        </w:rPr>
        <w:t>开标厅（霍山县衡山镇中兴南路16号（老建设局大院</w:t>
      </w:r>
      <w:r>
        <w:rPr>
          <w:rFonts w:hint="eastAsia" w:ascii="仿宋" w:hAnsi="仿宋" w:eastAsia="仿宋" w:cs="仿宋"/>
          <w:bCs/>
          <w:color w:val="000000" w:themeColor="text1"/>
          <w:kern w:val="0"/>
          <w:sz w:val="28"/>
          <w:szCs w:val="28"/>
          <w:shd w:val="clear" w:color="auto" w:fill="FFFFFF"/>
          <w:lang w:val="en-US" w:eastAsia="zh-CN" w:bidi="ar"/>
          <w14:textFill>
            <w14:solidFill>
              <w14:schemeClr w14:val="tx1"/>
            </w14:solidFill>
          </w14:textFill>
        </w:rPr>
        <w:t>2</w:t>
      </w:r>
      <w:r>
        <w:rPr>
          <w:rFonts w:hint="eastAsia" w:ascii="仿宋" w:hAnsi="仿宋" w:eastAsia="仿宋" w:cs="仿宋"/>
          <w:bCs/>
          <w:color w:val="000000" w:themeColor="text1"/>
          <w:kern w:val="0"/>
          <w:sz w:val="28"/>
          <w:szCs w:val="28"/>
          <w:shd w:val="clear" w:color="auto" w:fill="FFFFFF"/>
          <w:lang w:eastAsia="zh-CN" w:bidi="ar"/>
          <w14:textFill>
            <w14:solidFill>
              <w14:schemeClr w14:val="tx1"/>
            </w14:solidFill>
          </w14:textFill>
        </w:rPr>
        <w:t>楼））</w:t>
      </w:r>
    </w:p>
    <w:p w14:paraId="68D5F759">
      <w:pPr>
        <w:pStyle w:val="6"/>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sz w:val="28"/>
          <w:szCs w:val="28"/>
        </w:rPr>
      </w:pPr>
      <w:bookmarkStart w:id="34" w:name="_Toc3015"/>
      <w:bookmarkStart w:id="35" w:name="_Toc6021"/>
      <w:bookmarkStart w:id="36" w:name="_Toc28359017"/>
      <w:bookmarkStart w:id="37" w:name="_Toc28359094"/>
      <w:bookmarkStart w:id="38" w:name="_Toc35393634"/>
      <w:bookmarkStart w:id="39" w:name="_Toc35393803"/>
      <w:r>
        <w:rPr>
          <w:rFonts w:hint="eastAsia" w:ascii="黑体" w:hAnsi="黑体" w:cs="黑体"/>
          <w:b w:val="0"/>
          <w:bCs/>
          <w:sz w:val="28"/>
          <w:szCs w:val="28"/>
        </w:rPr>
        <w:t>六、公告期限</w:t>
      </w:r>
      <w:bookmarkEnd w:id="34"/>
      <w:bookmarkEnd w:id="35"/>
      <w:bookmarkEnd w:id="36"/>
      <w:bookmarkEnd w:id="37"/>
      <w:bookmarkEnd w:id="38"/>
      <w:bookmarkEnd w:id="39"/>
    </w:p>
    <w:p w14:paraId="5B93A4FA">
      <w:pPr>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自本公告发布之日起至响应文件递交截止时间。</w:t>
      </w:r>
    </w:p>
    <w:p w14:paraId="1EB04D24">
      <w:pPr>
        <w:pageBreakBefore w:val="0"/>
        <w:kinsoku/>
        <w:wordWrap/>
        <w:overflowPunct/>
        <w:topLinePunct w:val="0"/>
        <w:autoSpaceDE/>
        <w:autoSpaceDN/>
        <w:bidi w:val="0"/>
        <w:adjustRightInd/>
        <w:snapToGrid/>
        <w:spacing w:line="560" w:lineRule="exact"/>
        <w:jc w:val="both"/>
        <w:textAlignment w:val="auto"/>
        <w:rPr>
          <w:rFonts w:ascii="黑体" w:hAnsi="黑体" w:eastAsia="黑体" w:cs="黑体"/>
          <w:sz w:val="28"/>
          <w:szCs w:val="28"/>
        </w:rPr>
      </w:pPr>
      <w:r>
        <w:rPr>
          <w:rFonts w:hint="eastAsia" w:ascii="黑体" w:hAnsi="黑体" w:eastAsia="黑体" w:cs="黑体"/>
          <w:sz w:val="28"/>
          <w:szCs w:val="28"/>
        </w:rPr>
        <w:t>七、</w:t>
      </w:r>
      <w:bookmarkStart w:id="40" w:name="_Toc35393804"/>
      <w:bookmarkStart w:id="41" w:name="_Toc35393635"/>
      <w:r>
        <w:rPr>
          <w:rFonts w:hint="eastAsia" w:ascii="黑体" w:hAnsi="黑体" w:eastAsia="黑体" w:cs="黑体"/>
          <w:sz w:val="28"/>
          <w:szCs w:val="28"/>
        </w:rPr>
        <w:t>其他事宜</w:t>
      </w:r>
      <w:bookmarkEnd w:id="40"/>
      <w:bookmarkEnd w:id="41"/>
      <w:bookmarkStart w:id="42" w:name="_Toc35393805"/>
      <w:bookmarkStart w:id="43" w:name="_Toc28359095"/>
      <w:bookmarkStart w:id="44" w:name="_Toc35393636"/>
      <w:bookmarkStart w:id="45" w:name="_Toc28359018"/>
    </w:p>
    <w:p w14:paraId="2F116807">
      <w:pPr>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bookmarkStart w:id="46" w:name="_Toc21256"/>
      <w:bookmarkStart w:id="47" w:name="_Toc819"/>
      <w:bookmarkStart w:id="48" w:name="_Toc1163"/>
      <w:r>
        <w:rPr>
          <w:rFonts w:hint="eastAsia" w:ascii="仿宋" w:hAnsi="仿宋" w:eastAsia="仿宋" w:cs="仿宋"/>
          <w:sz w:val="28"/>
          <w:szCs w:val="28"/>
        </w:rPr>
        <w:t>1、供应商应当按照本项目采购文件规定的时间和地点参与</w:t>
      </w:r>
      <w:r>
        <w:rPr>
          <w:rFonts w:hint="eastAsia" w:ascii="仿宋" w:hAnsi="仿宋" w:eastAsia="仿宋" w:cs="仿宋"/>
          <w:sz w:val="28"/>
          <w:szCs w:val="28"/>
          <w:lang w:eastAsia="zh-CN"/>
        </w:rPr>
        <w:t>磋商</w:t>
      </w:r>
      <w:r>
        <w:rPr>
          <w:rFonts w:hint="eastAsia" w:ascii="仿宋" w:hAnsi="仿宋" w:eastAsia="仿宋" w:cs="仿宋"/>
          <w:sz w:val="28"/>
          <w:szCs w:val="28"/>
        </w:rPr>
        <w:t>，供应商仅确定一名人员【</w:t>
      </w:r>
      <w:r>
        <w:rPr>
          <w:rFonts w:hint="eastAsia" w:ascii="仿宋" w:hAnsi="仿宋" w:eastAsia="仿宋" w:cs="仿宋"/>
          <w:sz w:val="28"/>
          <w:szCs w:val="28"/>
          <w:u w:val="single"/>
          <w:lang w:eastAsia="zh-CN"/>
        </w:rPr>
        <w:t>现场需提供：</w:t>
      </w:r>
      <w:r>
        <w:rPr>
          <w:rFonts w:hint="eastAsia" w:ascii="仿宋" w:hAnsi="仿宋" w:eastAsia="仿宋" w:cs="仿宋"/>
          <w:sz w:val="28"/>
          <w:szCs w:val="28"/>
          <w:u w:val="single"/>
        </w:rPr>
        <w:t>法定代表人持本人二代居民身份证原件和法定代表人身份证明（或授权委托代理人持本人二代居民身份证原件和法人授权委托书原件</w:t>
      </w:r>
      <w:r>
        <w:rPr>
          <w:rFonts w:hint="eastAsia" w:ascii="仿宋" w:hAnsi="仿宋" w:eastAsia="仿宋" w:cs="仿宋"/>
          <w:sz w:val="28"/>
          <w:szCs w:val="28"/>
          <w:lang w:eastAsia="zh-CN"/>
        </w:rPr>
        <w:t>】</w:t>
      </w:r>
      <w:r>
        <w:rPr>
          <w:rFonts w:hint="eastAsia" w:ascii="仿宋" w:hAnsi="仿宋" w:eastAsia="仿宋" w:cs="仿宋"/>
          <w:sz w:val="28"/>
          <w:szCs w:val="28"/>
        </w:rPr>
        <w:t>。凡不能出示上述有效证件或到场人员与证件载明的人员不一致或未出席</w:t>
      </w:r>
      <w:r>
        <w:rPr>
          <w:rFonts w:hint="eastAsia" w:ascii="仿宋" w:hAnsi="仿宋" w:eastAsia="仿宋" w:cs="仿宋"/>
          <w:sz w:val="28"/>
          <w:szCs w:val="28"/>
          <w:lang w:eastAsia="zh-CN"/>
        </w:rPr>
        <w:t>磋商</w:t>
      </w:r>
      <w:r>
        <w:rPr>
          <w:rFonts w:hint="eastAsia" w:ascii="仿宋" w:hAnsi="仿宋" w:eastAsia="仿宋" w:cs="仿宋"/>
          <w:sz w:val="28"/>
          <w:szCs w:val="28"/>
        </w:rPr>
        <w:t>会议者，响应文件不予接受，</w:t>
      </w:r>
      <w:r>
        <w:rPr>
          <w:rFonts w:hint="eastAsia" w:ascii="仿宋" w:hAnsi="仿宋" w:eastAsia="仿宋" w:cs="仿宋"/>
          <w:sz w:val="28"/>
          <w:szCs w:val="28"/>
          <w:lang w:eastAsia="zh-CN"/>
        </w:rPr>
        <w:t>磋商</w:t>
      </w:r>
      <w:r>
        <w:rPr>
          <w:rFonts w:hint="eastAsia" w:ascii="仿宋" w:hAnsi="仿宋" w:eastAsia="仿宋" w:cs="仿宋"/>
          <w:sz w:val="28"/>
          <w:szCs w:val="28"/>
        </w:rPr>
        <w:t>资格无效。</w:t>
      </w:r>
    </w:p>
    <w:p w14:paraId="0DE67E3A">
      <w:pPr>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六安市公共资源交易电子服务系统（http://ggzy.luan.gov.cn）、</w:t>
      </w:r>
      <w:r>
        <w:rPr>
          <w:rFonts w:hint="eastAsia" w:ascii="仿宋" w:hAnsi="仿宋" w:eastAsia="仿宋" w:cs="仿宋"/>
          <w:sz w:val="28"/>
          <w:szCs w:val="28"/>
          <w:lang w:val="en-US" w:eastAsia="zh-CN"/>
        </w:rPr>
        <w:t>安徽衡宇工程咨询有限公司网（http://www.ahhygczx.com）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14:paraId="3DE5E3BC">
      <w:pPr>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六安市公共资源交易电子服务系统（http://ggzy.luan.gov.cn）、</w:t>
      </w:r>
      <w:r>
        <w:rPr>
          <w:rFonts w:hint="eastAsia" w:ascii="仿宋" w:hAnsi="仿宋" w:eastAsia="仿宋" w:cs="仿宋"/>
          <w:sz w:val="28"/>
          <w:szCs w:val="28"/>
          <w:lang w:val="en-US" w:eastAsia="zh-CN"/>
        </w:rPr>
        <w:t>安徽衡宇工程咨询有限公司网（http://www.ahhygczx.com）</w:t>
      </w:r>
      <w:r>
        <w:rPr>
          <w:rFonts w:hint="eastAsia" w:ascii="仿宋" w:hAnsi="仿宋" w:eastAsia="仿宋" w:cs="仿宋"/>
          <w:sz w:val="28"/>
          <w:szCs w:val="28"/>
        </w:rPr>
        <w:t>网站发布，请各位供应商注意查看有关竞争性</w:t>
      </w:r>
      <w:r>
        <w:rPr>
          <w:rFonts w:hint="eastAsia" w:ascii="仿宋" w:hAnsi="仿宋" w:eastAsia="仿宋" w:cs="仿宋"/>
          <w:sz w:val="28"/>
          <w:szCs w:val="28"/>
          <w:lang w:eastAsia="zh-CN"/>
        </w:rPr>
        <w:t>磋商</w:t>
      </w:r>
      <w:r>
        <w:rPr>
          <w:rFonts w:hint="eastAsia" w:ascii="仿宋" w:hAnsi="仿宋" w:eastAsia="仿宋" w:cs="仿宋"/>
          <w:sz w:val="28"/>
          <w:szCs w:val="28"/>
        </w:rPr>
        <w:t>公告、答疑澄清等相关文件资料，如不及时查看造成后果由供应商自负。</w:t>
      </w:r>
    </w:p>
    <w:p w14:paraId="22EBE67F">
      <w:pPr>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响应保证金：本项目无需提供。</w:t>
      </w:r>
    </w:p>
    <w:p w14:paraId="6A790F61">
      <w:pPr>
        <w:pStyle w:val="6"/>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42"/>
      <w:bookmarkEnd w:id="43"/>
      <w:bookmarkEnd w:id="44"/>
      <w:bookmarkEnd w:id="45"/>
      <w:bookmarkEnd w:id="46"/>
      <w:bookmarkEnd w:id="47"/>
      <w:bookmarkEnd w:id="48"/>
    </w:p>
    <w:p w14:paraId="16705E51">
      <w:pPr>
        <w:pStyle w:val="6"/>
        <w:pageBreakBefore w:val="0"/>
        <w:kinsoku/>
        <w:wordWrap/>
        <w:overflowPunct/>
        <w:topLinePunct w:val="0"/>
        <w:autoSpaceDE/>
        <w:autoSpaceDN/>
        <w:bidi w:val="0"/>
        <w:adjustRightInd/>
        <w:snapToGrid/>
        <w:spacing w:before="0" w:after="0" w:line="560" w:lineRule="exact"/>
        <w:ind w:firstLine="560" w:firstLineChars="200"/>
        <w:jc w:val="both"/>
        <w:textAlignment w:val="auto"/>
        <w:rPr>
          <w:rFonts w:ascii="仿宋" w:hAnsi="仿宋" w:eastAsia="仿宋" w:cs="仿宋"/>
          <w:b w:val="0"/>
          <w:bCs/>
          <w:sz w:val="28"/>
          <w:szCs w:val="28"/>
        </w:rPr>
      </w:pPr>
      <w:bookmarkStart w:id="49" w:name="_Toc28359019"/>
      <w:bookmarkStart w:id="50" w:name="_Toc13388"/>
      <w:bookmarkStart w:id="51" w:name="_Toc35393806"/>
      <w:bookmarkStart w:id="52" w:name="_Toc28835"/>
      <w:bookmarkStart w:id="53" w:name="_Toc28359096"/>
      <w:bookmarkStart w:id="54" w:name="_Toc12167"/>
      <w:bookmarkStart w:id="55" w:name="_Toc35393637"/>
      <w:r>
        <w:rPr>
          <w:rFonts w:hint="eastAsia" w:ascii="仿宋" w:hAnsi="仿宋" w:eastAsia="仿宋" w:cs="仿宋"/>
          <w:b w:val="0"/>
          <w:bCs/>
          <w:sz w:val="28"/>
          <w:szCs w:val="28"/>
        </w:rPr>
        <w:t>1、采购人信息</w:t>
      </w:r>
      <w:bookmarkEnd w:id="49"/>
      <w:bookmarkEnd w:id="50"/>
      <w:bookmarkEnd w:id="51"/>
      <w:bookmarkEnd w:id="52"/>
      <w:bookmarkEnd w:id="53"/>
      <w:bookmarkEnd w:id="54"/>
      <w:bookmarkEnd w:id="55"/>
    </w:p>
    <w:p w14:paraId="1E1A6AC2">
      <w:pPr>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名    称：</w:t>
      </w:r>
      <w:r>
        <w:rPr>
          <w:rFonts w:hint="eastAsia" w:ascii="仿宋" w:hAnsi="仿宋" w:eastAsia="仿宋" w:cs="仿宋"/>
          <w:bCs/>
          <w:sz w:val="28"/>
          <w:szCs w:val="28"/>
          <w:lang w:val="en-US" w:eastAsia="zh-CN"/>
        </w:rPr>
        <w:t>霍山县农业农村局、衡宇建设集团有限公司</w:t>
      </w:r>
    </w:p>
    <w:p w14:paraId="031BB0E6">
      <w:pPr>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地    址：</w:t>
      </w:r>
      <w:r>
        <w:rPr>
          <w:rFonts w:hint="eastAsia" w:ascii="仿宋" w:hAnsi="仿宋" w:eastAsia="仿宋" w:cs="仿宋"/>
          <w:bCs/>
          <w:sz w:val="28"/>
          <w:szCs w:val="28"/>
          <w:lang w:val="en-US" w:eastAsia="zh-CN"/>
        </w:rPr>
        <w:t>霍山县住建大厦、安徽省六安市霍山县衡山镇文峰北路</w:t>
      </w:r>
    </w:p>
    <w:p w14:paraId="341FD7C0">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bCs/>
          <w:sz w:val="28"/>
          <w:szCs w:val="28"/>
          <w:highlight w:val="none"/>
        </w:rPr>
      </w:pPr>
      <w:r>
        <w:rPr>
          <w:rFonts w:hint="eastAsia" w:ascii="仿宋" w:hAnsi="仿宋" w:eastAsia="仿宋" w:cs="仿宋"/>
          <w:bCs/>
          <w:sz w:val="28"/>
          <w:szCs w:val="28"/>
          <w:highlight w:val="none"/>
        </w:rPr>
        <w:t>联系方式：</w:t>
      </w:r>
      <w:bookmarkStart w:id="56" w:name="_Toc28359097"/>
      <w:bookmarkStart w:id="57" w:name="_Toc35393807"/>
      <w:bookmarkStart w:id="58" w:name="_Toc35393638"/>
      <w:bookmarkStart w:id="59" w:name="_Toc28359020"/>
      <w:r>
        <w:rPr>
          <w:rFonts w:hint="eastAsia" w:ascii="仿宋" w:hAnsi="仿宋" w:eastAsia="仿宋" w:cs="仿宋"/>
          <w:bCs/>
          <w:sz w:val="28"/>
          <w:szCs w:val="28"/>
          <w:highlight w:val="none"/>
        </w:rPr>
        <w:t>刘先生</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13865786363</w:t>
      </w:r>
    </w:p>
    <w:p w14:paraId="42257005">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56"/>
      <w:bookmarkEnd w:id="57"/>
      <w:bookmarkEnd w:id="58"/>
      <w:bookmarkEnd w:id="59"/>
      <w:bookmarkStart w:id="60" w:name="_Toc35393808"/>
      <w:bookmarkStart w:id="61" w:name="_Toc28359098"/>
      <w:bookmarkStart w:id="62" w:name="_Toc35393639"/>
      <w:bookmarkStart w:id="63" w:name="_Toc28359021"/>
    </w:p>
    <w:p w14:paraId="14A65FAA">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sz w:val="28"/>
          <w:szCs w:val="28"/>
        </w:rPr>
        <w:t xml:space="preserve">名 称：安徽衡宇工程咨询有限公司 </w:t>
      </w:r>
    </w:p>
    <w:p w14:paraId="7DF8C8CB">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sz w:val="28"/>
          <w:szCs w:val="28"/>
        </w:rPr>
        <w:t>地　址：霍山县</w:t>
      </w:r>
      <w:r>
        <w:rPr>
          <w:rFonts w:hint="eastAsia" w:ascii="仿宋" w:hAnsi="仿宋" w:eastAsia="仿宋" w:cs="仿宋"/>
          <w:bCs/>
          <w:sz w:val="28"/>
          <w:szCs w:val="28"/>
          <w:lang w:val="en-US" w:eastAsia="zh-CN"/>
        </w:rPr>
        <w:t>衡山镇</w:t>
      </w:r>
      <w:r>
        <w:rPr>
          <w:rFonts w:hint="eastAsia" w:ascii="仿宋" w:hAnsi="仿宋" w:eastAsia="仿宋" w:cs="仿宋"/>
          <w:bCs/>
          <w:sz w:val="28"/>
          <w:szCs w:val="28"/>
        </w:rPr>
        <w:t>中兴南路16号</w:t>
      </w:r>
    </w:p>
    <w:p w14:paraId="0E10DD92">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sz w:val="28"/>
          <w:szCs w:val="28"/>
        </w:rPr>
        <w:t>联系方式：0564-5029965</w:t>
      </w:r>
    </w:p>
    <w:p w14:paraId="5319D0B3">
      <w:pPr>
        <w:pageBreakBefore w:val="0"/>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60"/>
      <w:bookmarkEnd w:id="61"/>
      <w:bookmarkEnd w:id="62"/>
      <w:bookmarkEnd w:id="63"/>
    </w:p>
    <w:p w14:paraId="337D4A42">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朱工</w:t>
      </w:r>
    </w:p>
    <w:p w14:paraId="2DC3BFC9">
      <w:pPr>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bCs/>
          <w:sz w:val="28"/>
          <w:szCs w:val="28"/>
        </w:rPr>
      </w:pPr>
      <w:r>
        <w:rPr>
          <w:rFonts w:hint="eastAsia" w:ascii="仿宋" w:hAnsi="仿宋" w:eastAsia="仿宋" w:cs="仿宋"/>
          <w:bCs/>
          <w:sz w:val="28"/>
          <w:szCs w:val="28"/>
        </w:rPr>
        <w:t>电　   话：0564-5029965</w:t>
      </w:r>
    </w:p>
    <w:p w14:paraId="1A5823F0">
      <w:pPr>
        <w:pStyle w:val="2"/>
        <w:ind w:firstLine="0"/>
        <w:rPr>
          <w:rFonts w:ascii="仿宋" w:hAnsi="仿宋" w:eastAsia="仿宋" w:cs="仿宋"/>
          <w:bCs/>
          <w:sz w:val="28"/>
          <w:szCs w:val="28"/>
        </w:rPr>
      </w:pPr>
    </w:p>
    <w:p w14:paraId="09B42531">
      <w:pPr>
        <w:spacing w:line="520" w:lineRule="exact"/>
        <w:jc w:val="right"/>
        <w:rPr>
          <w:rFonts w:ascii="宋体" w:hAnsi="宋体" w:cs="宋体"/>
          <w:sz w:val="28"/>
          <w:szCs w:val="28"/>
        </w:rPr>
      </w:pPr>
      <w:r>
        <w:rPr>
          <w:rFonts w:hint="eastAsia" w:ascii="仿宋" w:hAnsi="仿宋" w:eastAsia="仿宋" w:cs="仿宋"/>
          <w:bCs/>
          <w:sz w:val="28"/>
          <w:szCs w:val="28"/>
          <w:highlight w:val="none"/>
          <w:lang w:val="en-US" w:eastAsia="zh-CN"/>
        </w:rPr>
        <w:t>2025</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08</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28</w:t>
      </w:r>
      <w:r>
        <w:rPr>
          <w:rFonts w:hint="eastAsia" w:ascii="仿宋" w:hAnsi="仿宋" w:eastAsia="仿宋" w:cs="仿宋"/>
          <w:bCs/>
          <w:sz w:val="28"/>
          <w:szCs w:val="28"/>
          <w:highlight w:val="none"/>
        </w:rPr>
        <w:t>日</w:t>
      </w:r>
      <w:r>
        <w:rPr>
          <w:rFonts w:hint="eastAsia" w:ascii="宋体" w:hAnsi="宋体" w:cs="宋体"/>
          <w:sz w:val="28"/>
          <w:szCs w:val="28"/>
        </w:rPr>
        <w:br w:type="page"/>
      </w:r>
    </w:p>
    <w:p w14:paraId="7D818E43">
      <w:pPr>
        <w:pStyle w:val="6"/>
        <w:spacing w:before="120" w:beforeLines="50" w:after="120" w:afterLines="50" w:line="560" w:lineRule="exact"/>
        <w:jc w:val="center"/>
        <w:rPr>
          <w:rFonts w:ascii="宋体" w:hAnsi="宋体" w:eastAsia="宋体" w:cs="宋体"/>
          <w:sz w:val="28"/>
          <w:szCs w:val="28"/>
        </w:rPr>
      </w:pPr>
      <w:bookmarkStart w:id="64" w:name="_Toc15056"/>
      <w:r>
        <w:rPr>
          <w:rFonts w:hint="eastAsia" w:ascii="宋体" w:hAnsi="宋体" w:eastAsia="宋体" w:cs="宋体"/>
          <w:sz w:val="28"/>
          <w:szCs w:val="28"/>
        </w:rPr>
        <w:t>一、供应商须知</w:t>
      </w:r>
      <w:bookmarkEnd w:id="2"/>
      <w:bookmarkEnd w:id="3"/>
      <w:bookmarkEnd w:id="64"/>
    </w:p>
    <w:p w14:paraId="18295586">
      <w:pPr>
        <w:pStyle w:val="6"/>
        <w:spacing w:before="0" w:after="0" w:line="560" w:lineRule="exact"/>
        <w:jc w:val="center"/>
        <w:rPr>
          <w:rFonts w:ascii="宋体" w:hAnsi="宋体" w:eastAsia="宋体" w:cs="宋体"/>
          <w:sz w:val="24"/>
          <w:szCs w:val="24"/>
        </w:rPr>
      </w:pPr>
      <w:bookmarkStart w:id="65" w:name="_Toc31003"/>
      <w:r>
        <w:rPr>
          <w:rFonts w:hint="eastAsia" w:ascii="宋体" w:hAnsi="宋体" w:eastAsia="宋体" w:cs="宋体"/>
          <w:sz w:val="24"/>
          <w:szCs w:val="24"/>
        </w:rPr>
        <w:t>（一）须知前附表</w:t>
      </w:r>
      <w:bookmarkEnd w:id="65"/>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1BA8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C5E3BD6">
            <w:pPr>
              <w:spacing w:line="440" w:lineRule="exact"/>
              <w:jc w:val="center"/>
              <w:rPr>
                <w:rFonts w:ascii="宋体" w:hAnsi="宋体"/>
                <w:b/>
                <w:sz w:val="24"/>
                <w:szCs w:val="24"/>
              </w:rPr>
            </w:pPr>
            <w:bookmarkStart w:id="66" w:name="_Toc438107743"/>
            <w:bookmarkStart w:id="67" w:name="_Toc216158627"/>
            <w:bookmarkStart w:id="68" w:name="_Toc363199267"/>
            <w:r>
              <w:rPr>
                <w:rFonts w:hint="eastAsia" w:ascii="宋体" w:hAnsi="宋体"/>
                <w:b/>
                <w:sz w:val="24"/>
                <w:szCs w:val="24"/>
              </w:rPr>
              <w:t>序号</w:t>
            </w:r>
          </w:p>
        </w:tc>
        <w:tc>
          <w:tcPr>
            <w:tcW w:w="1502" w:type="dxa"/>
            <w:vAlign w:val="center"/>
          </w:tcPr>
          <w:p w14:paraId="1F754826">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14:paraId="29D8FB2B">
            <w:pPr>
              <w:pStyle w:val="9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6601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25DE2F7B">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5EF26CA0">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14:paraId="570EF49C">
            <w:pPr>
              <w:spacing w:line="440" w:lineRule="exact"/>
              <w:rPr>
                <w:sz w:val="24"/>
                <w:szCs w:val="24"/>
              </w:rPr>
            </w:pPr>
            <w:r>
              <w:rPr>
                <w:rFonts w:hint="eastAsia"/>
                <w:sz w:val="24"/>
                <w:szCs w:val="24"/>
                <w:lang w:val="en-US" w:eastAsia="zh-CN"/>
              </w:rPr>
              <w:t>霍山县农业农村局、衡宇建设集团有限公司</w:t>
            </w:r>
          </w:p>
        </w:tc>
      </w:tr>
      <w:tr w14:paraId="4D1E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0D469D26">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14:paraId="71572628">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14:paraId="7CC909AF">
            <w:pPr>
              <w:spacing w:line="440" w:lineRule="exact"/>
              <w:jc w:val="left"/>
              <w:rPr>
                <w:rFonts w:ascii="宋体" w:hAnsi="宋体"/>
                <w:sz w:val="24"/>
                <w:szCs w:val="24"/>
              </w:rPr>
            </w:pPr>
            <w:r>
              <w:rPr>
                <w:rFonts w:hint="eastAsia" w:ascii="宋体" w:hAnsi="宋体"/>
                <w:sz w:val="24"/>
                <w:szCs w:val="24"/>
              </w:rPr>
              <w:t>名称</w:t>
            </w:r>
            <w:r>
              <w:rPr>
                <w:rFonts w:hint="eastAsia" w:eastAsia="宋体"/>
                <w:b w:val="0"/>
                <w:bCs w:val="0"/>
                <w:sz w:val="24"/>
                <w:szCs w:val="24"/>
              </w:rPr>
              <w:t xml:space="preserve">：安徽衡宇工程咨询有限公司 </w:t>
            </w:r>
          </w:p>
          <w:p w14:paraId="34E8C54A">
            <w:pPr>
              <w:spacing w:line="440" w:lineRule="exact"/>
              <w:jc w:val="left"/>
              <w:rPr>
                <w:b/>
                <w:bCs/>
                <w:sz w:val="24"/>
                <w:szCs w:val="24"/>
              </w:rPr>
            </w:pPr>
            <w:r>
              <w:rPr>
                <w:rFonts w:hint="eastAsia"/>
                <w:sz w:val="24"/>
                <w:szCs w:val="24"/>
              </w:rPr>
              <w:t>地址：霍山县</w:t>
            </w:r>
            <w:r>
              <w:rPr>
                <w:rFonts w:hint="eastAsia"/>
                <w:sz w:val="24"/>
                <w:szCs w:val="24"/>
                <w:lang w:val="en-US" w:eastAsia="zh-CN"/>
              </w:rPr>
              <w:t>衡山镇</w:t>
            </w:r>
            <w:r>
              <w:rPr>
                <w:rFonts w:hint="eastAsia"/>
                <w:sz w:val="24"/>
                <w:szCs w:val="24"/>
              </w:rPr>
              <w:t>中兴南路16号</w:t>
            </w:r>
          </w:p>
        </w:tc>
      </w:tr>
      <w:tr w14:paraId="2BF9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7E8D8B2">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14:paraId="042CD27D">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14:paraId="7B10D94F">
            <w:pPr>
              <w:pStyle w:val="9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14:paraId="22E1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09BCD63">
            <w:pPr>
              <w:pStyle w:val="8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14:paraId="6E3F4EE6">
            <w:pPr>
              <w:spacing w:line="440" w:lineRule="exact"/>
              <w:jc w:val="center"/>
              <w:rPr>
                <w:rFonts w:ascii="宋体" w:hAnsi="宋体"/>
                <w:sz w:val="24"/>
                <w:szCs w:val="24"/>
              </w:rPr>
            </w:pPr>
            <w:r>
              <w:rPr>
                <w:rFonts w:hint="eastAsia" w:ascii="宋体" w:hAnsi="宋体"/>
                <w:sz w:val="24"/>
                <w:szCs w:val="24"/>
              </w:rPr>
              <w:t>项目类型</w:t>
            </w:r>
          </w:p>
        </w:tc>
        <w:tc>
          <w:tcPr>
            <w:tcW w:w="7308" w:type="dxa"/>
            <w:vAlign w:val="center"/>
          </w:tcPr>
          <w:p w14:paraId="45ECA1E8">
            <w:pPr>
              <w:pStyle w:val="90"/>
              <w:widowControl w:val="0"/>
              <w:spacing w:before="0" w:beforeAutospacing="0" w:after="0" w:afterAutospacing="0" w:line="440" w:lineRule="exact"/>
              <w:jc w:val="both"/>
              <w:rPr>
                <w:b w:val="0"/>
                <w:bCs w:val="0"/>
                <w:sz w:val="24"/>
                <w:szCs w:val="24"/>
              </w:rPr>
            </w:pPr>
            <w:r>
              <w:rPr>
                <w:rFonts w:hint="eastAsia"/>
                <w:b w:val="0"/>
                <w:bCs w:val="0"/>
                <w:sz w:val="24"/>
                <w:szCs w:val="24"/>
              </w:rPr>
              <w:t>货物类</w:t>
            </w:r>
          </w:p>
        </w:tc>
      </w:tr>
      <w:tr w14:paraId="15FF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584BA59">
            <w:pPr>
              <w:pStyle w:val="8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14:paraId="4C668633">
            <w:pPr>
              <w:spacing w:line="440" w:lineRule="exact"/>
              <w:jc w:val="center"/>
              <w:rPr>
                <w:rFonts w:ascii="宋体" w:hAnsi="宋体"/>
                <w:b w:val="0"/>
                <w:bCs w:val="0"/>
                <w:sz w:val="24"/>
                <w:szCs w:val="24"/>
              </w:rPr>
            </w:pPr>
            <w:r>
              <w:rPr>
                <w:rFonts w:hint="eastAsia" w:ascii="宋体" w:hAnsi="宋体"/>
                <w:b w:val="0"/>
                <w:bCs w:val="0"/>
                <w:sz w:val="24"/>
                <w:szCs w:val="24"/>
              </w:rPr>
              <w:t>项目名称</w:t>
            </w:r>
          </w:p>
        </w:tc>
        <w:tc>
          <w:tcPr>
            <w:tcW w:w="7308" w:type="dxa"/>
            <w:vAlign w:val="center"/>
          </w:tcPr>
          <w:p w14:paraId="17258A83">
            <w:pPr>
              <w:pStyle w:val="90"/>
              <w:widowControl w:val="0"/>
              <w:spacing w:before="0" w:beforeAutospacing="0" w:after="0" w:afterAutospacing="0" w:line="440" w:lineRule="exact"/>
              <w:jc w:val="both"/>
              <w:rPr>
                <w:rFonts w:hint="eastAsia" w:eastAsia="宋体"/>
                <w:b w:val="0"/>
                <w:bCs w:val="0"/>
                <w:sz w:val="24"/>
                <w:szCs w:val="24"/>
                <w:lang w:eastAsia="zh-CN"/>
              </w:rPr>
            </w:pPr>
            <w:r>
              <w:rPr>
                <w:rFonts w:hint="eastAsia"/>
                <w:b w:val="0"/>
                <w:bCs w:val="0"/>
                <w:sz w:val="24"/>
                <w:szCs w:val="24"/>
                <w:lang w:eastAsia="zh-CN"/>
              </w:rPr>
              <w:t>满路桥村农产品精加工项目4#、5#厂房和综合楼电梯采购</w:t>
            </w:r>
          </w:p>
        </w:tc>
      </w:tr>
      <w:tr w14:paraId="4EB3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2BEEDC38">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14:paraId="46B367B7">
            <w:pPr>
              <w:spacing w:line="440" w:lineRule="exact"/>
              <w:jc w:val="center"/>
              <w:rPr>
                <w:rFonts w:ascii="宋体" w:hAnsi="宋体"/>
                <w:b w:val="0"/>
                <w:bCs w:val="0"/>
                <w:sz w:val="24"/>
                <w:szCs w:val="24"/>
              </w:rPr>
            </w:pPr>
            <w:r>
              <w:rPr>
                <w:rFonts w:hint="eastAsia" w:ascii="宋体" w:hAnsi="宋体"/>
                <w:b w:val="0"/>
                <w:bCs w:val="0"/>
                <w:sz w:val="24"/>
                <w:szCs w:val="24"/>
              </w:rPr>
              <w:t>项目编号</w:t>
            </w:r>
          </w:p>
        </w:tc>
        <w:tc>
          <w:tcPr>
            <w:tcW w:w="7308" w:type="dxa"/>
            <w:vAlign w:val="center"/>
          </w:tcPr>
          <w:p w14:paraId="3FD82B4D">
            <w:pPr>
              <w:pStyle w:val="90"/>
              <w:widowControl w:val="0"/>
              <w:spacing w:before="0" w:beforeAutospacing="0" w:after="0" w:afterAutospacing="0" w:line="440" w:lineRule="exact"/>
              <w:jc w:val="both"/>
              <w:rPr>
                <w:b w:val="0"/>
                <w:bCs w:val="0"/>
                <w:sz w:val="24"/>
                <w:szCs w:val="24"/>
              </w:rPr>
            </w:pPr>
            <w:r>
              <w:rPr>
                <w:rFonts w:hint="eastAsia"/>
                <w:b w:val="0"/>
                <w:bCs w:val="0"/>
                <w:sz w:val="24"/>
                <w:szCs w:val="24"/>
              </w:rPr>
              <w:t>HYZX-2025-0</w:t>
            </w:r>
            <w:r>
              <w:rPr>
                <w:rFonts w:hint="eastAsia"/>
                <w:b w:val="0"/>
                <w:bCs w:val="0"/>
                <w:sz w:val="24"/>
                <w:szCs w:val="24"/>
                <w:lang w:val="en-US" w:eastAsia="zh-CN"/>
              </w:rPr>
              <w:t>8</w:t>
            </w:r>
            <w:r>
              <w:rPr>
                <w:rFonts w:hint="eastAsia"/>
                <w:b w:val="0"/>
                <w:bCs w:val="0"/>
                <w:sz w:val="24"/>
                <w:szCs w:val="24"/>
              </w:rPr>
              <w:t>01</w:t>
            </w:r>
          </w:p>
        </w:tc>
      </w:tr>
      <w:tr w14:paraId="1A14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36" w:hRule="atLeast"/>
          <w:jc w:val="center"/>
        </w:trPr>
        <w:tc>
          <w:tcPr>
            <w:tcW w:w="804" w:type="dxa"/>
            <w:vAlign w:val="center"/>
          </w:tcPr>
          <w:p w14:paraId="5B2C3C1C">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14:paraId="03E7C986">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7308" w:type="dxa"/>
            <w:vAlign w:val="center"/>
          </w:tcPr>
          <w:p w14:paraId="3E83B24C">
            <w:pPr>
              <w:pStyle w:val="90"/>
              <w:widowControl w:val="0"/>
              <w:spacing w:before="0" w:beforeAutospacing="0" w:after="0" w:afterAutospacing="0" w:line="440" w:lineRule="exact"/>
              <w:jc w:val="both"/>
              <w:rPr>
                <w:rFonts w:hint="eastAsia" w:cs="宋体"/>
                <w:b w:val="0"/>
                <w:bCs w:val="0"/>
                <w:sz w:val="24"/>
                <w:szCs w:val="24"/>
                <w:highlight w:val="none"/>
              </w:rPr>
            </w:pPr>
            <w:r>
              <w:rPr>
                <w:rFonts w:hint="eastAsia" w:cs="宋体"/>
                <w:b w:val="0"/>
                <w:bCs w:val="0"/>
                <w:sz w:val="24"/>
                <w:szCs w:val="24"/>
                <w:highlight w:val="none"/>
                <w:lang w:val="en-US" w:eastAsia="zh-CN"/>
              </w:rPr>
              <w:t>合同签订后，采购人支付预付款为合同金额的40%，成交供应商完成本项目供货安装、试运行并自检合格后，支付至合同价款的80％；通过检测且验收合格后付至合同价款的100%  。</w:t>
            </w:r>
          </w:p>
          <w:p w14:paraId="2230BFDE">
            <w:pPr>
              <w:pStyle w:val="90"/>
              <w:widowControl w:val="0"/>
              <w:spacing w:before="0" w:beforeAutospacing="0" w:after="0" w:afterAutospacing="0" w:line="440" w:lineRule="exact"/>
              <w:jc w:val="both"/>
              <w:rPr>
                <w:rFonts w:ascii="黑体" w:hAnsi="黑体" w:eastAsia="黑体" w:cs="黑体"/>
                <w:sz w:val="24"/>
                <w:szCs w:val="24"/>
                <w:highlight w:val="none"/>
              </w:rPr>
            </w:pPr>
            <w:r>
              <w:rPr>
                <w:rFonts w:hint="eastAsia" w:cs="宋体"/>
                <w:sz w:val="24"/>
                <w:szCs w:val="24"/>
                <w:highlight w:val="none"/>
              </w:rPr>
              <w:t>（供应商提交的响应文件中如有关于付款条件的表述与磋商文件规定不符，将被视为实质性不响应，将导致响应无效）</w:t>
            </w:r>
          </w:p>
        </w:tc>
      </w:tr>
      <w:tr w14:paraId="5F08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E14B17A">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14:paraId="17B8663E">
            <w:pPr>
              <w:spacing w:line="440" w:lineRule="exact"/>
              <w:jc w:val="center"/>
              <w:rPr>
                <w:rFonts w:ascii="宋体" w:hAnsi="宋体"/>
                <w:sz w:val="24"/>
                <w:szCs w:val="24"/>
                <w:highlight w:val="none"/>
              </w:rPr>
            </w:pPr>
            <w:r>
              <w:rPr>
                <w:rFonts w:hint="eastAsia" w:ascii="宋体" w:hAnsi="宋体"/>
                <w:sz w:val="24"/>
                <w:szCs w:val="24"/>
                <w:highlight w:val="none"/>
              </w:rPr>
              <w:t>供货及安装期限</w:t>
            </w:r>
          </w:p>
        </w:tc>
        <w:tc>
          <w:tcPr>
            <w:tcW w:w="7308" w:type="dxa"/>
            <w:vAlign w:val="center"/>
          </w:tcPr>
          <w:p w14:paraId="1AE3B215">
            <w:pPr>
              <w:pStyle w:val="90"/>
              <w:widowControl w:val="0"/>
              <w:spacing w:before="0" w:beforeAutospacing="0" w:after="0" w:afterAutospacing="0" w:line="440" w:lineRule="exact"/>
              <w:jc w:val="both"/>
              <w:rPr>
                <w:b w:val="0"/>
                <w:bCs w:val="0"/>
                <w:sz w:val="24"/>
                <w:szCs w:val="24"/>
                <w:highlight w:val="none"/>
              </w:rPr>
            </w:pPr>
            <w:r>
              <w:rPr>
                <w:rFonts w:hint="eastAsia"/>
                <w:b w:val="0"/>
                <w:bCs w:val="0"/>
                <w:sz w:val="24"/>
                <w:szCs w:val="24"/>
                <w:highlight w:val="none"/>
                <w:lang w:val="en-US" w:eastAsia="zh-CN"/>
              </w:rPr>
              <w:t>合同签订后30日历天内货到施工现场并完成所有电梯的安装、试运行工作，且符合约定质量标准、通过相关机构验收。</w:t>
            </w:r>
          </w:p>
        </w:tc>
      </w:tr>
      <w:tr w14:paraId="030C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C417F71">
            <w:pPr>
              <w:pStyle w:val="8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502" w:type="dxa"/>
            <w:vAlign w:val="center"/>
          </w:tcPr>
          <w:p w14:paraId="32B87499">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lang w:val="en-US"/>
              </w:rPr>
            </w:pPr>
            <w:r>
              <w:rPr>
                <w:rFonts w:hint="eastAsia" w:ascii="宋体" w:hAnsi="宋体"/>
                <w:bCs/>
                <w:kern w:val="2"/>
                <w:szCs w:val="24"/>
                <w:highlight w:val="none"/>
                <w:lang w:val="en-US"/>
              </w:rPr>
              <w:t>免费质保期</w:t>
            </w:r>
          </w:p>
        </w:tc>
        <w:tc>
          <w:tcPr>
            <w:tcW w:w="7308" w:type="dxa"/>
            <w:vAlign w:val="center"/>
          </w:tcPr>
          <w:p w14:paraId="580CBCA9">
            <w:pPr>
              <w:pStyle w:val="88"/>
              <w:pBdr>
                <w:bottom w:val="none" w:color="auto" w:sz="0" w:space="0"/>
              </w:pBdr>
              <w:tabs>
                <w:tab w:val="clear" w:pos="4153"/>
                <w:tab w:val="clear" w:pos="8306"/>
              </w:tabs>
              <w:adjustRightInd/>
              <w:spacing w:line="440" w:lineRule="exact"/>
              <w:jc w:val="left"/>
              <w:textAlignment w:val="auto"/>
              <w:rPr>
                <w:b/>
                <w:bCs/>
                <w:szCs w:val="24"/>
                <w:highlight w:val="none"/>
                <w:lang w:val="en-US"/>
              </w:rPr>
            </w:pPr>
            <w:r>
              <w:rPr>
                <w:rFonts w:hint="default"/>
                <w:b/>
                <w:bCs/>
                <w:szCs w:val="24"/>
                <w:highlight w:val="none"/>
                <w:lang w:val="en-US" w:eastAsia="zh-CN"/>
              </w:rPr>
              <w:t xml:space="preserve">2 </w:t>
            </w:r>
            <w:r>
              <w:rPr>
                <w:rFonts w:hint="eastAsia"/>
                <w:b/>
                <w:bCs/>
                <w:szCs w:val="24"/>
                <w:highlight w:val="none"/>
                <w:lang w:val="en-US" w:eastAsia="zh-CN"/>
              </w:rPr>
              <w:t>年（具体以供应商投标时承诺为准）</w:t>
            </w:r>
          </w:p>
        </w:tc>
      </w:tr>
      <w:tr w14:paraId="49EF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BC52210">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14:paraId="6240E6AC">
            <w:pPr>
              <w:pStyle w:val="8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代理</w:t>
            </w:r>
            <w:r>
              <w:rPr>
                <w:rFonts w:hint="eastAsia" w:ascii="宋体" w:hAnsi="宋体"/>
                <w:bCs/>
                <w:kern w:val="2"/>
                <w:szCs w:val="24"/>
              </w:rPr>
              <w:t>服务费</w:t>
            </w:r>
          </w:p>
        </w:tc>
        <w:tc>
          <w:tcPr>
            <w:tcW w:w="7308" w:type="dxa"/>
            <w:vAlign w:val="center"/>
          </w:tcPr>
          <w:p w14:paraId="361ECD3A">
            <w:pPr>
              <w:pStyle w:val="88"/>
              <w:pBdr>
                <w:bottom w:val="none" w:color="auto" w:sz="0" w:space="0"/>
              </w:pBdr>
              <w:tabs>
                <w:tab w:val="clear" w:pos="4153"/>
                <w:tab w:val="clear" w:pos="8306"/>
              </w:tabs>
              <w:adjustRightInd/>
              <w:spacing w:line="440" w:lineRule="exact"/>
              <w:jc w:val="left"/>
              <w:textAlignment w:val="auto"/>
              <w:rPr>
                <w:rFonts w:ascii="宋体" w:hAnsi="宋体" w:cs="宋体"/>
                <w:spacing w:val="-5"/>
                <w:szCs w:val="24"/>
                <w:highlight w:val="none"/>
                <w:lang w:val="en-US"/>
              </w:rPr>
            </w:pPr>
            <w:r>
              <w:rPr>
                <w:rFonts w:hint="eastAsia" w:ascii="宋体" w:hAnsi="宋体" w:cs="宋体"/>
                <w:szCs w:val="24"/>
              </w:rPr>
              <w:t>在</w:t>
            </w:r>
            <w:r>
              <w:rPr>
                <w:rFonts w:hint="eastAsia" w:ascii="宋体" w:hAnsi="宋体" w:cs="宋体"/>
                <w:szCs w:val="24"/>
                <w:highlight w:val="none"/>
              </w:rPr>
              <w:t>领取成交通知书时，成交供应商须向采购代理机构交纳招标代理服务费</w:t>
            </w:r>
            <w:r>
              <w:rPr>
                <w:rFonts w:hint="eastAsia" w:ascii="宋体" w:hAnsi="宋体" w:cs="宋体"/>
                <w:szCs w:val="24"/>
                <w:highlight w:val="none"/>
                <w:lang w:eastAsia="zh-CN"/>
              </w:rPr>
              <w:t>和评审费</w:t>
            </w:r>
            <w:r>
              <w:rPr>
                <w:rFonts w:hint="eastAsia" w:ascii="宋体" w:hAnsi="宋体" w:cs="宋体"/>
                <w:szCs w:val="24"/>
                <w:highlight w:val="none"/>
              </w:rPr>
              <w:t>。招标代理服务费计算基数为</w:t>
            </w:r>
            <w:r>
              <w:rPr>
                <w:rFonts w:hint="eastAsia" w:ascii="宋体" w:hAnsi="宋体" w:cs="宋体"/>
                <w:szCs w:val="24"/>
                <w:highlight w:val="none"/>
                <w:lang w:val="en-US"/>
              </w:rPr>
              <w:t>成交</w:t>
            </w:r>
            <w:r>
              <w:rPr>
                <w:rFonts w:hint="eastAsia" w:ascii="宋体" w:hAnsi="宋体" w:cs="宋体"/>
                <w:szCs w:val="24"/>
                <w:highlight w:val="none"/>
              </w:rPr>
              <w:t>价，</w:t>
            </w:r>
            <w:r>
              <w:rPr>
                <w:rFonts w:hint="eastAsia" w:ascii="宋体" w:hAnsi="宋体" w:cs="宋体"/>
                <w:spacing w:val="-5"/>
                <w:szCs w:val="24"/>
                <w:highlight w:val="none"/>
                <w:lang w:val="en-US"/>
              </w:rPr>
              <w:t>按下列标准的100%收取</w:t>
            </w:r>
            <w:r>
              <w:rPr>
                <w:rFonts w:hint="eastAsia" w:ascii="宋体" w:hAnsi="宋体" w:cs="宋体"/>
                <w:spacing w:val="-5"/>
                <w:szCs w:val="24"/>
                <w:highlight w:val="none"/>
                <w:lang w:val="en-US" w:eastAsia="zh-CN"/>
              </w:rPr>
              <w:t>，评审费据实收取。</w:t>
            </w:r>
            <w:r>
              <w:rPr>
                <w:rFonts w:hint="eastAsia" w:ascii="宋体" w:hAnsi="宋体" w:cs="宋体"/>
                <w:spacing w:val="-5"/>
                <w:szCs w:val="24"/>
                <w:highlight w:val="none"/>
                <w:lang w:val="en-US"/>
              </w:rPr>
              <w:t>代理服务费的收取采用差额定率累进计费方式，具体收费标准为下表：</w:t>
            </w:r>
          </w:p>
          <w:tbl>
            <w:tblPr>
              <w:tblStyle w:val="36"/>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73"/>
              <w:gridCol w:w="1773"/>
              <w:gridCol w:w="1773"/>
            </w:tblGrid>
            <w:tr w14:paraId="0801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2163B187">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ascii="宋体" w:hAnsi="宋体" w:cs="宋体"/>
                      <w:spacing w:val="-4"/>
                      <w:szCs w:val="24"/>
                      <w:highlight w:val="none"/>
                    </w:rPr>
                    <w:t>中标（成交）金额</w:t>
                  </w:r>
                  <w:r>
                    <w:rPr>
                      <w:rFonts w:ascii="宋体" w:hAnsi="宋体" w:cs="宋体"/>
                      <w:szCs w:val="24"/>
                      <w:highlight w:val="none"/>
                    </w:rPr>
                    <w:t xml:space="preserve"> </w:t>
                  </w:r>
                  <w:r>
                    <w:rPr>
                      <w:rFonts w:ascii="宋体" w:hAnsi="宋体" w:cs="宋体"/>
                      <w:spacing w:val="-6"/>
                      <w:szCs w:val="24"/>
                      <w:highlight w:val="none"/>
                    </w:rPr>
                    <w:t>（万元）</w:t>
                  </w:r>
                </w:p>
              </w:tc>
              <w:tc>
                <w:tcPr>
                  <w:tcW w:w="1773" w:type="dxa"/>
                  <w:noWrap w:val="0"/>
                  <w:vAlign w:val="center"/>
                </w:tcPr>
                <w:p w14:paraId="65C8009B">
                  <w:pPr>
                    <w:pStyle w:val="88"/>
                    <w:pBdr>
                      <w:bottom w:val="none" w:color="auto" w:sz="0" w:space="0"/>
                    </w:pBdr>
                    <w:tabs>
                      <w:tab w:val="clear" w:pos="4153"/>
                      <w:tab w:val="clear" w:pos="8306"/>
                    </w:tabs>
                    <w:adjustRightInd/>
                    <w:spacing w:line="440" w:lineRule="exact"/>
                    <w:textAlignment w:val="auto"/>
                    <w:rPr>
                      <w:rFonts w:ascii="宋体" w:hAnsi="宋体" w:cs="宋体"/>
                      <w:spacing w:val="-6"/>
                      <w:szCs w:val="24"/>
                      <w:highlight w:val="none"/>
                      <w:lang w:val="en-US"/>
                    </w:rPr>
                  </w:pPr>
                  <w:r>
                    <w:rPr>
                      <w:rFonts w:ascii="宋体" w:hAnsi="宋体" w:cs="宋体"/>
                      <w:spacing w:val="-6"/>
                      <w:szCs w:val="24"/>
                      <w:highlight w:val="none"/>
                    </w:rPr>
                    <w:t>货物类项目</w:t>
                  </w:r>
                </w:p>
              </w:tc>
              <w:tc>
                <w:tcPr>
                  <w:tcW w:w="1773" w:type="dxa"/>
                  <w:noWrap w:val="0"/>
                  <w:vAlign w:val="center"/>
                </w:tcPr>
                <w:p w14:paraId="754C1882">
                  <w:pPr>
                    <w:pStyle w:val="88"/>
                    <w:pBdr>
                      <w:bottom w:val="none" w:color="auto" w:sz="0" w:space="0"/>
                    </w:pBdr>
                    <w:tabs>
                      <w:tab w:val="clear" w:pos="4153"/>
                      <w:tab w:val="clear" w:pos="8306"/>
                    </w:tabs>
                    <w:adjustRightInd/>
                    <w:spacing w:line="440" w:lineRule="exact"/>
                    <w:textAlignment w:val="auto"/>
                    <w:rPr>
                      <w:rFonts w:ascii="宋体" w:hAnsi="宋体" w:cs="宋体"/>
                      <w:spacing w:val="-6"/>
                      <w:szCs w:val="24"/>
                      <w:highlight w:val="none"/>
                      <w:lang w:val="en-US"/>
                    </w:rPr>
                  </w:pPr>
                  <w:r>
                    <w:rPr>
                      <w:rFonts w:ascii="宋体" w:hAnsi="宋体" w:cs="宋体"/>
                      <w:spacing w:val="-6"/>
                      <w:szCs w:val="24"/>
                      <w:highlight w:val="none"/>
                    </w:rPr>
                    <w:t>服务类项目</w:t>
                  </w:r>
                </w:p>
              </w:tc>
              <w:tc>
                <w:tcPr>
                  <w:tcW w:w="1773" w:type="dxa"/>
                  <w:noWrap w:val="0"/>
                  <w:vAlign w:val="center"/>
                </w:tcPr>
                <w:p w14:paraId="55C3BFDD">
                  <w:pPr>
                    <w:pStyle w:val="88"/>
                    <w:pBdr>
                      <w:bottom w:val="none" w:color="auto" w:sz="0" w:space="0"/>
                    </w:pBdr>
                    <w:tabs>
                      <w:tab w:val="clear" w:pos="4153"/>
                      <w:tab w:val="clear" w:pos="8306"/>
                    </w:tabs>
                    <w:adjustRightInd/>
                    <w:spacing w:line="440" w:lineRule="exact"/>
                    <w:textAlignment w:val="auto"/>
                    <w:rPr>
                      <w:rFonts w:ascii="宋体" w:hAnsi="宋体" w:cs="宋体"/>
                      <w:spacing w:val="-6"/>
                      <w:szCs w:val="24"/>
                      <w:highlight w:val="none"/>
                      <w:lang w:val="en-US"/>
                    </w:rPr>
                  </w:pPr>
                  <w:r>
                    <w:rPr>
                      <w:rFonts w:ascii="宋体" w:hAnsi="宋体" w:cs="宋体"/>
                      <w:spacing w:val="-6"/>
                      <w:szCs w:val="24"/>
                      <w:highlight w:val="none"/>
                    </w:rPr>
                    <w:t>工程类项目</w:t>
                  </w:r>
                </w:p>
              </w:tc>
            </w:tr>
            <w:tr w14:paraId="5F65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4D66B4A8">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100以下</w:t>
                  </w:r>
                </w:p>
              </w:tc>
              <w:tc>
                <w:tcPr>
                  <w:tcW w:w="1773" w:type="dxa"/>
                  <w:noWrap w:val="0"/>
                  <w:vAlign w:val="center"/>
                </w:tcPr>
                <w:p w14:paraId="1969D01C">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1.5%</w:t>
                  </w:r>
                </w:p>
              </w:tc>
              <w:tc>
                <w:tcPr>
                  <w:tcW w:w="1773" w:type="dxa"/>
                  <w:noWrap w:val="0"/>
                  <w:vAlign w:val="center"/>
                </w:tcPr>
                <w:p w14:paraId="5BF2A5E3">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1.5%</w:t>
                  </w:r>
                </w:p>
              </w:tc>
              <w:tc>
                <w:tcPr>
                  <w:tcW w:w="1773" w:type="dxa"/>
                  <w:noWrap w:val="0"/>
                  <w:vAlign w:val="center"/>
                </w:tcPr>
                <w:p w14:paraId="04F8DB81">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1.0%</w:t>
                  </w:r>
                </w:p>
              </w:tc>
            </w:tr>
            <w:tr w14:paraId="55F2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2DC6EB21">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100-500</w:t>
                  </w:r>
                </w:p>
              </w:tc>
              <w:tc>
                <w:tcPr>
                  <w:tcW w:w="1773" w:type="dxa"/>
                  <w:noWrap w:val="0"/>
                  <w:vAlign w:val="center"/>
                </w:tcPr>
                <w:p w14:paraId="67DFB6EB">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1.1%</w:t>
                  </w:r>
                </w:p>
              </w:tc>
              <w:tc>
                <w:tcPr>
                  <w:tcW w:w="1773" w:type="dxa"/>
                  <w:noWrap w:val="0"/>
                  <w:vAlign w:val="center"/>
                </w:tcPr>
                <w:p w14:paraId="2A7EC51D">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0.8%</w:t>
                  </w:r>
                </w:p>
              </w:tc>
              <w:tc>
                <w:tcPr>
                  <w:tcW w:w="1773" w:type="dxa"/>
                  <w:noWrap w:val="0"/>
                  <w:vAlign w:val="center"/>
                </w:tcPr>
                <w:p w14:paraId="10F94BA0">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0.7%</w:t>
                  </w:r>
                </w:p>
              </w:tc>
            </w:tr>
            <w:tr w14:paraId="347E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1287BC7F">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500-1000</w:t>
                  </w:r>
                </w:p>
              </w:tc>
              <w:tc>
                <w:tcPr>
                  <w:tcW w:w="1773" w:type="dxa"/>
                  <w:noWrap w:val="0"/>
                  <w:vAlign w:val="center"/>
                </w:tcPr>
                <w:p w14:paraId="5CC9EC4E">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0.8%</w:t>
                  </w:r>
                </w:p>
              </w:tc>
              <w:tc>
                <w:tcPr>
                  <w:tcW w:w="1773" w:type="dxa"/>
                  <w:noWrap w:val="0"/>
                  <w:vAlign w:val="center"/>
                </w:tcPr>
                <w:p w14:paraId="1A745FCB">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0.45%</w:t>
                  </w:r>
                </w:p>
              </w:tc>
              <w:tc>
                <w:tcPr>
                  <w:tcW w:w="1773" w:type="dxa"/>
                  <w:noWrap w:val="0"/>
                  <w:vAlign w:val="center"/>
                </w:tcPr>
                <w:p w14:paraId="2AE613C7">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0.55%</w:t>
                  </w:r>
                </w:p>
              </w:tc>
            </w:tr>
            <w:tr w14:paraId="52BC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5AE99315">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1000-5000</w:t>
                  </w:r>
                </w:p>
              </w:tc>
              <w:tc>
                <w:tcPr>
                  <w:tcW w:w="1773" w:type="dxa"/>
                  <w:noWrap w:val="0"/>
                  <w:vAlign w:val="center"/>
                </w:tcPr>
                <w:p w14:paraId="27407803">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0.5%</w:t>
                  </w:r>
                </w:p>
              </w:tc>
              <w:tc>
                <w:tcPr>
                  <w:tcW w:w="1773" w:type="dxa"/>
                  <w:noWrap w:val="0"/>
                  <w:vAlign w:val="center"/>
                </w:tcPr>
                <w:p w14:paraId="036CF8A9">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0.25%</w:t>
                  </w:r>
                </w:p>
              </w:tc>
              <w:tc>
                <w:tcPr>
                  <w:tcW w:w="1773" w:type="dxa"/>
                  <w:noWrap w:val="0"/>
                  <w:vAlign w:val="center"/>
                </w:tcPr>
                <w:p w14:paraId="5FE55C00">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0.35%</w:t>
                  </w:r>
                </w:p>
              </w:tc>
            </w:tr>
            <w:tr w14:paraId="3A10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440B31C8">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5000-10000</w:t>
                  </w:r>
                </w:p>
              </w:tc>
              <w:tc>
                <w:tcPr>
                  <w:tcW w:w="1773" w:type="dxa"/>
                  <w:noWrap w:val="0"/>
                  <w:vAlign w:val="center"/>
                </w:tcPr>
                <w:p w14:paraId="3249EF18">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0.25%</w:t>
                  </w:r>
                </w:p>
              </w:tc>
              <w:tc>
                <w:tcPr>
                  <w:tcW w:w="1773" w:type="dxa"/>
                  <w:noWrap w:val="0"/>
                  <w:vAlign w:val="center"/>
                </w:tcPr>
                <w:p w14:paraId="105EBB6D">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0.1%</w:t>
                  </w:r>
                </w:p>
              </w:tc>
              <w:tc>
                <w:tcPr>
                  <w:tcW w:w="1773" w:type="dxa"/>
                  <w:noWrap w:val="0"/>
                  <w:vAlign w:val="center"/>
                </w:tcPr>
                <w:p w14:paraId="14C7F4F2">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0.2%</w:t>
                  </w:r>
                </w:p>
              </w:tc>
            </w:tr>
            <w:tr w14:paraId="1F07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5CB82C51">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10000-100000</w:t>
                  </w:r>
                </w:p>
              </w:tc>
              <w:tc>
                <w:tcPr>
                  <w:tcW w:w="1773" w:type="dxa"/>
                  <w:noWrap w:val="0"/>
                  <w:vAlign w:val="center"/>
                </w:tcPr>
                <w:p w14:paraId="23ABCB40">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0.05%</w:t>
                  </w:r>
                </w:p>
              </w:tc>
              <w:tc>
                <w:tcPr>
                  <w:tcW w:w="1773" w:type="dxa"/>
                  <w:noWrap w:val="0"/>
                  <w:vAlign w:val="center"/>
                </w:tcPr>
                <w:p w14:paraId="31F47DD7">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0.05%</w:t>
                  </w:r>
                </w:p>
              </w:tc>
              <w:tc>
                <w:tcPr>
                  <w:tcW w:w="1773" w:type="dxa"/>
                  <w:noWrap w:val="0"/>
                  <w:vAlign w:val="center"/>
                </w:tcPr>
                <w:p w14:paraId="1563C091">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0.05%</w:t>
                  </w:r>
                </w:p>
              </w:tc>
            </w:tr>
            <w:tr w14:paraId="3A85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217FD08D">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100000以上</w:t>
                  </w:r>
                </w:p>
              </w:tc>
              <w:tc>
                <w:tcPr>
                  <w:tcW w:w="1773" w:type="dxa"/>
                  <w:noWrap w:val="0"/>
                  <w:vAlign w:val="center"/>
                </w:tcPr>
                <w:p w14:paraId="3931DE38">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0.01%</w:t>
                  </w:r>
                </w:p>
              </w:tc>
              <w:tc>
                <w:tcPr>
                  <w:tcW w:w="1773" w:type="dxa"/>
                  <w:noWrap w:val="0"/>
                  <w:vAlign w:val="center"/>
                </w:tcPr>
                <w:p w14:paraId="7E734226">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0.01%</w:t>
                  </w:r>
                </w:p>
              </w:tc>
              <w:tc>
                <w:tcPr>
                  <w:tcW w:w="1773" w:type="dxa"/>
                  <w:noWrap w:val="0"/>
                  <w:vAlign w:val="center"/>
                </w:tcPr>
                <w:p w14:paraId="2121120E">
                  <w:pPr>
                    <w:pStyle w:val="88"/>
                    <w:pBdr>
                      <w:bottom w:val="none" w:color="auto" w:sz="0" w:space="0"/>
                    </w:pBdr>
                    <w:tabs>
                      <w:tab w:val="clear" w:pos="4153"/>
                      <w:tab w:val="clear" w:pos="8306"/>
                    </w:tabs>
                    <w:adjustRightInd/>
                    <w:spacing w:line="440" w:lineRule="exact"/>
                    <w:textAlignment w:val="auto"/>
                    <w:rPr>
                      <w:rFonts w:ascii="宋体" w:hAnsi="宋体" w:cs="宋体"/>
                      <w:spacing w:val="-5"/>
                      <w:szCs w:val="24"/>
                      <w:highlight w:val="none"/>
                      <w:lang w:val="en-US"/>
                    </w:rPr>
                  </w:pPr>
                  <w:r>
                    <w:rPr>
                      <w:rFonts w:hint="eastAsia" w:ascii="宋体" w:hAnsi="宋体" w:cs="宋体"/>
                      <w:spacing w:val="-5"/>
                      <w:szCs w:val="24"/>
                      <w:highlight w:val="none"/>
                      <w:lang w:val="en-US"/>
                    </w:rPr>
                    <w:t>0.01%</w:t>
                  </w:r>
                </w:p>
              </w:tc>
            </w:tr>
          </w:tbl>
          <w:p w14:paraId="7A36DC20">
            <w:pPr>
              <w:pStyle w:val="88"/>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bCs/>
                <w:sz w:val="24"/>
                <w:szCs w:val="24"/>
                <w:highlight w:val="none"/>
                <w:lang w:val="zh-CN"/>
              </w:rPr>
              <w:t>注：</w:t>
            </w:r>
            <w:r>
              <w:rPr>
                <w:rFonts w:hint="eastAsia" w:ascii="宋体" w:hAnsi="宋体" w:cs="宋体"/>
                <w:bCs/>
                <w:sz w:val="24"/>
                <w:szCs w:val="24"/>
              </w:rPr>
              <w:t>供应商在报价时应充分考虑上述费用，并包含在投标报价的单价、合价与总价中，不单独进行报价。</w:t>
            </w:r>
          </w:p>
        </w:tc>
      </w:tr>
      <w:tr w14:paraId="73E0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37" w:hRule="atLeast"/>
          <w:jc w:val="center"/>
        </w:trPr>
        <w:tc>
          <w:tcPr>
            <w:tcW w:w="804" w:type="dxa"/>
            <w:vAlign w:val="center"/>
          </w:tcPr>
          <w:p w14:paraId="235FD913">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502" w:type="dxa"/>
            <w:vAlign w:val="center"/>
          </w:tcPr>
          <w:p w14:paraId="43750CB5">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履约保证金</w:t>
            </w:r>
          </w:p>
        </w:tc>
        <w:tc>
          <w:tcPr>
            <w:tcW w:w="7308" w:type="dxa"/>
            <w:vAlign w:val="center"/>
          </w:tcPr>
          <w:p w14:paraId="4E6E6C6A">
            <w:pPr>
              <w:spacing w:line="400" w:lineRule="exact"/>
              <w:rPr>
                <w:rFonts w:ascii="宋体" w:hAnsi="宋体" w:cs="宋体"/>
                <w:bCs/>
                <w:sz w:val="24"/>
                <w:szCs w:val="32"/>
                <w:highlight w:val="none"/>
              </w:rPr>
            </w:pPr>
            <w:r>
              <w:rPr>
                <w:rFonts w:hint="eastAsia" w:ascii="宋体" w:hAnsi="宋体" w:cs="宋体"/>
                <w:bCs/>
                <w:sz w:val="24"/>
                <w:szCs w:val="32"/>
                <w:highlight w:val="none"/>
              </w:rPr>
              <w:t>1、成交供应商在签订合同时应向采购人提交合同总价</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u w:val="single"/>
                <w:lang w:val="en-US" w:eastAsia="zh-CN"/>
              </w:rPr>
              <w:t>/</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rPr>
              <w:t>%的履约保证金。</w:t>
            </w:r>
          </w:p>
          <w:p w14:paraId="3CF787D9">
            <w:pPr>
              <w:spacing w:line="440" w:lineRule="exact"/>
              <w:rPr>
                <w:rFonts w:ascii="宋体" w:hAnsi="宋体" w:cs="宋体"/>
                <w:bCs/>
                <w:sz w:val="24"/>
                <w:szCs w:val="32"/>
                <w:highlight w:val="none"/>
              </w:rPr>
            </w:pPr>
            <w:r>
              <w:rPr>
                <w:rFonts w:hint="eastAsia" w:ascii="宋体" w:hAnsi="宋体" w:cs="宋体"/>
                <w:bCs/>
                <w:sz w:val="24"/>
                <w:szCs w:val="32"/>
                <w:highlight w:val="none"/>
              </w:rPr>
              <w:t>2、成交供应商可以通过转账、网银支付、汇票、支票、保证保险、担保保函、银行履约保函等方式提交履约保证金。</w:t>
            </w:r>
          </w:p>
          <w:p w14:paraId="2BD2E83D">
            <w:pPr>
              <w:pStyle w:val="2"/>
              <w:ind w:firstLine="0"/>
              <w:rPr>
                <w:highlight w:val="none"/>
              </w:rPr>
            </w:pPr>
            <w:r>
              <w:rPr>
                <w:rFonts w:hint="eastAsia"/>
                <w:highlight w:val="none"/>
              </w:rPr>
              <w:t>3、项目验收结束后应及时退还履约保证金。</w:t>
            </w:r>
          </w:p>
        </w:tc>
      </w:tr>
      <w:tr w14:paraId="2A86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5CB963BF">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14:paraId="53E1FC88">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14:paraId="7F68CBEF">
            <w:pPr>
              <w:pStyle w:val="8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w:t>
            </w:r>
          </w:p>
        </w:tc>
      </w:tr>
      <w:tr w14:paraId="6297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428C19C9">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14:paraId="50A4E4BB">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14:paraId="55A20DAA">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eastAsia="宋体" w:cs="宋体"/>
                <w:sz w:val="24"/>
                <w:szCs w:val="24"/>
              </w:rPr>
              <w:t>以书面形式递交，递交至邮箱</w:t>
            </w:r>
            <w:r>
              <w:rPr>
                <w:rFonts w:hint="eastAsia" w:ascii="宋体" w:hAnsi="宋体" w:eastAsia="宋体" w:cs="宋体"/>
                <w:sz w:val="24"/>
                <w:szCs w:val="24"/>
                <w:lang w:val="en-US"/>
              </w:rPr>
              <w:t>943084965</w:t>
            </w:r>
            <w:r>
              <w:rPr>
                <w:rFonts w:hint="eastAsia" w:ascii="宋体" w:hAnsi="宋体" w:eastAsia="宋体" w:cs="宋体"/>
                <w:sz w:val="24"/>
                <w:szCs w:val="24"/>
              </w:rPr>
              <w:t>@qq.com。</w:t>
            </w:r>
          </w:p>
        </w:tc>
      </w:tr>
      <w:tr w14:paraId="73D8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4DAF0503">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14:paraId="1AE4020E">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14:paraId="2532F082">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eastAsia="宋体" w:cs="宋体"/>
                <w:sz w:val="24"/>
                <w:szCs w:val="24"/>
              </w:rPr>
              <w:t>以书面形式递交，递交至邮箱</w:t>
            </w:r>
            <w:r>
              <w:rPr>
                <w:rFonts w:hint="eastAsia" w:ascii="宋体" w:hAnsi="宋体" w:eastAsia="宋体" w:cs="宋体"/>
                <w:sz w:val="24"/>
                <w:szCs w:val="24"/>
                <w:lang w:val="en-US"/>
              </w:rPr>
              <w:t>943084965</w:t>
            </w:r>
            <w:r>
              <w:rPr>
                <w:rFonts w:hint="eastAsia" w:ascii="宋体" w:hAnsi="宋体" w:eastAsia="宋体" w:cs="宋体"/>
                <w:sz w:val="24"/>
                <w:szCs w:val="24"/>
              </w:rPr>
              <w:t>@qq.com。</w:t>
            </w:r>
          </w:p>
        </w:tc>
      </w:tr>
      <w:tr w14:paraId="282E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654BA82">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14:paraId="7B13615B">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eastAsia="宋体" w:cs="宋体"/>
                <w:bCs/>
                <w:kern w:val="2"/>
                <w:sz w:val="24"/>
                <w:szCs w:val="24"/>
              </w:rPr>
              <w:t>响应文件份数及要求</w:t>
            </w:r>
          </w:p>
        </w:tc>
        <w:tc>
          <w:tcPr>
            <w:tcW w:w="7308" w:type="dxa"/>
            <w:vAlign w:val="center"/>
          </w:tcPr>
          <w:p w14:paraId="3B5F4A46">
            <w:pPr>
              <w:pStyle w:val="88"/>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正本：1份 ；副本：</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14:paraId="29B313F0">
            <w:pPr>
              <w:pStyle w:val="88"/>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响应文件正本/副本需要分别装订。</w:t>
            </w:r>
          </w:p>
          <w:p w14:paraId="4CFF1724">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zh-CN" w:eastAsia="zh-CN" w:bidi="ar-SA"/>
              </w:rPr>
              <w:t>2、</w:t>
            </w:r>
            <w:r>
              <w:rPr>
                <w:rFonts w:hint="eastAsia" w:ascii="宋体" w:hAnsi="宋体" w:eastAsia="宋体" w:cs="宋体"/>
                <w:sz w:val="24"/>
                <w:szCs w:val="24"/>
              </w:rPr>
              <w:t>如果响应文件没有按规定</w:t>
            </w:r>
            <w:r>
              <w:rPr>
                <w:rFonts w:hint="eastAsia" w:ascii="宋体" w:hAnsi="宋体" w:eastAsia="宋体" w:cs="宋体"/>
                <w:sz w:val="24"/>
                <w:szCs w:val="24"/>
                <w:lang w:val="en-US"/>
              </w:rPr>
              <w:t>胶装</w:t>
            </w:r>
            <w:r>
              <w:rPr>
                <w:rFonts w:hint="eastAsia" w:ascii="宋体" w:hAnsi="宋体" w:eastAsia="宋体" w:cs="宋体"/>
                <w:sz w:val="24"/>
                <w:szCs w:val="24"/>
              </w:rPr>
              <w:t>装订、分装、标记和密封，采购人和代理机构不承担提前开封的责任。</w:t>
            </w:r>
          </w:p>
          <w:p w14:paraId="08EDB144">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eastAsia="宋体" w:cs="宋体"/>
                <w:sz w:val="24"/>
                <w:szCs w:val="24"/>
                <w:lang w:val="en-US"/>
              </w:rPr>
              <w:t>3、</w:t>
            </w:r>
            <w:r>
              <w:rPr>
                <w:rFonts w:hint="eastAsia" w:ascii="宋体" w:hAnsi="宋体" w:eastAsia="宋体" w:cs="宋体"/>
                <w:sz w:val="24"/>
                <w:szCs w:val="24"/>
              </w:rPr>
              <w:t>响应文件正本与副本分开包装密封提交，</w:t>
            </w:r>
            <w:r>
              <w:rPr>
                <w:rFonts w:hint="eastAsia" w:ascii="宋体" w:hAnsi="宋体" w:eastAsia="宋体" w:cs="宋体"/>
                <w:sz w:val="24"/>
                <w:szCs w:val="24"/>
                <w:lang w:val="en-US"/>
              </w:rPr>
              <w:t>共2个密封袋</w:t>
            </w:r>
            <w:r>
              <w:rPr>
                <w:rFonts w:hint="eastAsia" w:ascii="宋体" w:hAnsi="宋体" w:eastAsia="宋体" w:cs="宋体"/>
                <w:sz w:val="24"/>
                <w:szCs w:val="24"/>
              </w:rPr>
              <w:t>。</w:t>
            </w:r>
          </w:p>
        </w:tc>
      </w:tr>
      <w:tr w14:paraId="0C1B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4C1D7F5E">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14:paraId="69FFB1A7">
            <w:pPr>
              <w:spacing w:line="480" w:lineRule="exact"/>
              <w:rPr>
                <w:rFonts w:ascii="宋体" w:hAnsi="宋体"/>
                <w:bCs/>
                <w:kern w:val="2"/>
                <w:szCs w:val="24"/>
              </w:rPr>
            </w:pPr>
            <w:r>
              <w:rPr>
                <w:rFonts w:hint="eastAsia" w:ascii="宋体" w:hAnsi="宋体" w:eastAsia="宋体" w:cs="宋体"/>
                <w:sz w:val="24"/>
                <w:szCs w:val="24"/>
              </w:rPr>
              <w:t>封套上应载明的信息</w:t>
            </w:r>
          </w:p>
        </w:tc>
        <w:tc>
          <w:tcPr>
            <w:tcW w:w="7308" w:type="dxa"/>
            <w:vAlign w:val="center"/>
          </w:tcPr>
          <w:p w14:paraId="7CF73680">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shd w:val="clear" w:color="auto" w:fill="FFFFFF"/>
                <w:lang w:bidi="ar"/>
              </w:rPr>
              <w:t xml:space="preserve">                  </w:t>
            </w:r>
            <w:r>
              <w:rPr>
                <w:rFonts w:hint="eastAsia" w:ascii="宋体" w:hAnsi="宋体" w:eastAsia="宋体" w:cs="宋体"/>
                <w:sz w:val="24"/>
                <w:szCs w:val="24"/>
                <w:shd w:val="clear" w:color="auto" w:fill="FFFFFF"/>
                <w:lang w:bidi="ar"/>
              </w:rPr>
              <w:t>项目响应</w:t>
            </w:r>
            <w:r>
              <w:rPr>
                <w:rFonts w:hint="eastAsia" w:ascii="宋体" w:hAnsi="宋体" w:eastAsia="宋体" w:cs="宋体"/>
                <w:sz w:val="24"/>
                <w:szCs w:val="24"/>
              </w:rPr>
              <w:t>文件    （正本/副本）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81CF8C0">
            <w:pPr>
              <w:spacing w:line="480" w:lineRule="exact"/>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时前不得开启</w:t>
            </w:r>
          </w:p>
          <w:p w14:paraId="0B7202FA">
            <w:pPr>
              <w:pStyle w:val="98"/>
              <w:spacing w:line="480" w:lineRule="exact"/>
              <w:ind w:right="2858"/>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04EA8A5C">
            <w:pPr>
              <w:pStyle w:val="98"/>
              <w:spacing w:line="480" w:lineRule="exact"/>
              <w:ind w:right="2858" w:rightChars="0"/>
              <w:rPr>
                <w:rFonts w:ascii="宋体" w:hAnsi="宋体"/>
                <w:bCs/>
                <w:kern w:val="2"/>
                <w:szCs w:val="24"/>
              </w:rPr>
            </w:pPr>
            <w:r>
              <w:rPr>
                <w:rFonts w:hint="eastAsia" w:ascii="宋体" w:hAnsi="宋体" w:eastAsia="宋体" w:cs="宋体"/>
                <w:sz w:val="24"/>
                <w:szCs w:val="24"/>
              </w:rPr>
              <w:t>供应商地址：</w:t>
            </w:r>
          </w:p>
        </w:tc>
      </w:tr>
      <w:tr w14:paraId="2A0D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14:paraId="78106141">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502" w:type="dxa"/>
            <w:vAlign w:val="center"/>
          </w:tcPr>
          <w:p w14:paraId="2F601DB3">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eastAsia="宋体" w:cs="宋体"/>
                <w:bCs/>
                <w:kern w:val="2"/>
                <w:sz w:val="24"/>
                <w:szCs w:val="24"/>
                <w:lang w:val="en-US" w:eastAsia="zh-CN"/>
              </w:rPr>
              <w:t>磋商</w:t>
            </w:r>
            <w:r>
              <w:rPr>
                <w:rFonts w:hint="eastAsia" w:ascii="宋体" w:hAnsi="宋体" w:eastAsia="宋体" w:cs="宋体"/>
                <w:bCs/>
                <w:kern w:val="2"/>
                <w:sz w:val="24"/>
                <w:szCs w:val="24"/>
                <w:lang w:val="en-US"/>
              </w:rPr>
              <w:t>时间（</w:t>
            </w:r>
            <w:r>
              <w:rPr>
                <w:rFonts w:hint="eastAsia" w:ascii="宋体" w:hAnsi="宋体" w:eastAsia="宋体" w:cs="宋体"/>
                <w:bCs/>
                <w:kern w:val="2"/>
                <w:sz w:val="24"/>
                <w:szCs w:val="24"/>
              </w:rPr>
              <w:t>响应截止时间</w:t>
            </w:r>
            <w:r>
              <w:rPr>
                <w:rFonts w:hint="eastAsia" w:ascii="宋体" w:hAnsi="宋体" w:eastAsia="宋体" w:cs="宋体"/>
                <w:bCs/>
                <w:kern w:val="2"/>
                <w:sz w:val="24"/>
                <w:szCs w:val="24"/>
                <w:lang w:val="en-US"/>
              </w:rPr>
              <w:t>）及地点</w:t>
            </w:r>
          </w:p>
        </w:tc>
        <w:tc>
          <w:tcPr>
            <w:tcW w:w="7308" w:type="dxa"/>
            <w:vAlign w:val="center"/>
          </w:tcPr>
          <w:p w14:paraId="7B83683A">
            <w:pPr>
              <w:pStyle w:val="8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 w:val="24"/>
                <w:szCs w:val="24"/>
                <w:lang w:val="en-US" w:eastAsia="zh-CN"/>
              </w:rPr>
              <w:t>详见磋商公告</w:t>
            </w:r>
          </w:p>
        </w:tc>
      </w:tr>
      <w:tr w14:paraId="680E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7FB58600">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8</w:t>
            </w:r>
          </w:p>
        </w:tc>
        <w:tc>
          <w:tcPr>
            <w:tcW w:w="1502" w:type="dxa"/>
            <w:vAlign w:val="center"/>
          </w:tcPr>
          <w:p w14:paraId="2DA550CF">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w:t>
            </w:r>
          </w:p>
        </w:tc>
        <w:tc>
          <w:tcPr>
            <w:tcW w:w="7308" w:type="dxa"/>
            <w:vAlign w:val="center"/>
          </w:tcPr>
          <w:p w14:paraId="3A531227">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3A09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364560FF">
            <w:pPr>
              <w:pStyle w:val="88"/>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19</w:t>
            </w:r>
          </w:p>
        </w:tc>
        <w:tc>
          <w:tcPr>
            <w:tcW w:w="1502" w:type="dxa"/>
            <w:vAlign w:val="center"/>
          </w:tcPr>
          <w:p w14:paraId="63E1F591">
            <w:pPr>
              <w:pStyle w:val="88"/>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ascii="Times New Roman" w:hAnsi="Times New Roman"/>
              </w:rPr>
              <w:t>中标（成交）通知书发出的形式</w:t>
            </w:r>
          </w:p>
        </w:tc>
        <w:tc>
          <w:tcPr>
            <w:tcW w:w="7308" w:type="dxa"/>
            <w:vAlign w:val="center"/>
          </w:tcPr>
          <w:p w14:paraId="05CFBCF4">
            <w:pPr>
              <w:snapToGrid w:val="0"/>
              <w:rPr>
                <w:rFonts w:ascii="宋体" w:hAnsi="宋体"/>
                <w:bCs/>
                <w:sz w:val="24"/>
                <w:szCs w:val="24"/>
              </w:rPr>
            </w:pPr>
            <w:r>
              <w:rPr>
                <w:rFonts w:hint="eastAsia" w:ascii="宋体" w:hAnsi="宋体"/>
                <w:bCs/>
                <w:sz w:val="24"/>
                <w:szCs w:val="24"/>
              </w:rPr>
              <w:t xml:space="preserve">纸质  </w:t>
            </w:r>
          </w:p>
          <w:p w14:paraId="3399EBE8">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p>
        </w:tc>
      </w:tr>
    </w:tbl>
    <w:p w14:paraId="186E62D1">
      <w:pPr>
        <w:pStyle w:val="6"/>
        <w:pageBreakBefore w:val="0"/>
        <w:kinsoku/>
        <w:wordWrap/>
        <w:overflowPunct/>
        <w:topLinePunct w:val="0"/>
        <w:autoSpaceDE/>
        <w:autoSpaceDN/>
        <w:bidi w:val="0"/>
        <w:snapToGrid/>
        <w:spacing w:before="0" w:after="0" w:line="500" w:lineRule="exact"/>
        <w:ind w:firstLine="241" w:firstLineChars="100"/>
        <w:jc w:val="center"/>
        <w:rPr>
          <w:rFonts w:ascii="宋体" w:hAnsi="宋体" w:eastAsia="宋体" w:cs="宋体"/>
          <w:sz w:val="24"/>
          <w:szCs w:val="24"/>
        </w:rPr>
      </w:pPr>
      <w:bookmarkStart w:id="69" w:name="_Toc20274"/>
      <w:r>
        <w:rPr>
          <w:rFonts w:hint="eastAsia" w:ascii="宋体" w:hAnsi="宋体" w:eastAsia="宋体" w:cs="宋体"/>
          <w:sz w:val="24"/>
          <w:szCs w:val="24"/>
        </w:rPr>
        <w:t>（二）供应商资格</w:t>
      </w:r>
      <w:bookmarkEnd w:id="69"/>
    </w:p>
    <w:bookmarkEnd w:id="66"/>
    <w:p w14:paraId="0EEE1580">
      <w:pPr>
        <w:pStyle w:val="2"/>
        <w:pageBreakBefore w:val="0"/>
        <w:kinsoku/>
        <w:wordWrap/>
        <w:overflowPunct/>
        <w:topLinePunct w:val="0"/>
        <w:autoSpaceDE/>
        <w:autoSpaceDN/>
        <w:bidi w:val="0"/>
        <w:snapToGrid/>
        <w:spacing w:after="0" w:line="500" w:lineRule="exact"/>
        <w:ind w:firstLine="480" w:firstLineChars="200"/>
        <w:jc w:val="left"/>
      </w:pPr>
      <w:bookmarkStart w:id="70" w:name="_Toc438648662"/>
      <w:bookmarkStart w:id="71" w:name="_Toc363199266"/>
      <w:bookmarkStart w:id="72" w:name="_Toc216158625"/>
      <w:r>
        <w:rPr>
          <w:rFonts w:hint="eastAsia"/>
        </w:rPr>
        <w:t>见本项目采购公告</w:t>
      </w:r>
    </w:p>
    <w:p w14:paraId="0103E033">
      <w:pPr>
        <w:pStyle w:val="6"/>
        <w:pageBreakBefore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73" w:name="_Toc9145"/>
      <w:r>
        <w:rPr>
          <w:rFonts w:hint="eastAsia" w:ascii="宋体" w:hAnsi="宋体" w:eastAsia="宋体" w:cs="宋体"/>
          <w:sz w:val="24"/>
          <w:szCs w:val="24"/>
        </w:rPr>
        <w:t>（三）供应商必须提交的响应文件内容</w:t>
      </w:r>
      <w:bookmarkEnd w:id="70"/>
      <w:bookmarkEnd w:id="71"/>
      <w:bookmarkEnd w:id="72"/>
      <w:bookmarkEnd w:id="73"/>
    </w:p>
    <w:p w14:paraId="02F33083">
      <w:pPr>
        <w:pageBreakBefore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1、报价单；</w:t>
      </w:r>
    </w:p>
    <w:p w14:paraId="7C746EF5">
      <w:pPr>
        <w:pageBreakBefore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2、供应商基本信息；</w:t>
      </w:r>
    </w:p>
    <w:p w14:paraId="044A899C">
      <w:pPr>
        <w:pageBreakBefore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3、磋商授权书；</w:t>
      </w:r>
    </w:p>
    <w:p w14:paraId="29C501C7">
      <w:pPr>
        <w:pageBreakBefore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4、磋商响应函；</w:t>
      </w:r>
    </w:p>
    <w:p w14:paraId="5F2D25E4">
      <w:pPr>
        <w:pageBreakBefore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1C9B423A">
      <w:pPr>
        <w:pageBreakBefore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6、响应情况表；</w:t>
      </w:r>
    </w:p>
    <w:p w14:paraId="31632C7F">
      <w:pPr>
        <w:pageBreakBefore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w:t>
      </w:r>
      <w:r>
        <w:rPr>
          <w:rFonts w:hint="eastAsia" w:ascii="宋体" w:hAnsi="宋体" w:eastAsia="宋体" w:cs="宋体"/>
          <w:sz w:val="24"/>
          <w:szCs w:val="24"/>
          <w:highlight w:val="none"/>
          <w:lang w:val="en-US" w:eastAsia="zh-CN"/>
        </w:rPr>
        <w:t>技术标材料</w:t>
      </w:r>
      <w:r>
        <w:rPr>
          <w:rFonts w:hint="eastAsia" w:ascii="宋体" w:hAnsi="宋体" w:cs="宋体"/>
          <w:bCs/>
          <w:sz w:val="24"/>
          <w:szCs w:val="24"/>
        </w:rPr>
        <w:t>；</w:t>
      </w:r>
    </w:p>
    <w:p w14:paraId="3776AEA5">
      <w:pPr>
        <w:pageBreakBefore w:val="0"/>
        <w:kinsoku/>
        <w:wordWrap/>
        <w:overflowPunct/>
        <w:topLinePunct w:val="0"/>
        <w:autoSpaceDE/>
        <w:autoSpaceDN/>
        <w:bidi w:val="0"/>
        <w:snapToGrid/>
        <w:spacing w:line="500" w:lineRule="exact"/>
        <w:ind w:firstLine="480" w:firstLineChars="200"/>
        <w:jc w:val="left"/>
        <w:rPr>
          <w:rFonts w:ascii="宋体" w:hAnsi="宋体"/>
          <w:b/>
          <w:bCs/>
          <w:sz w:val="24"/>
          <w:szCs w:val="24"/>
        </w:rPr>
      </w:pPr>
      <w:r>
        <w:rPr>
          <w:rFonts w:hint="eastAsia" w:ascii="宋体" w:hAnsi="宋体"/>
          <w:sz w:val="24"/>
          <w:szCs w:val="24"/>
          <w:lang w:val="en-US" w:eastAsia="zh-CN"/>
        </w:rPr>
        <w:t>8</w:t>
      </w:r>
      <w:r>
        <w:rPr>
          <w:rFonts w:hint="eastAsia" w:ascii="宋体" w:hAnsi="宋体"/>
          <w:sz w:val="24"/>
          <w:szCs w:val="24"/>
        </w:rPr>
        <w:t xml:space="preserve">、磋商文件要求和供应商认为需要提供的其它说明和资料。 </w:t>
      </w:r>
    </w:p>
    <w:p w14:paraId="54767B13">
      <w:pPr>
        <w:pStyle w:val="6"/>
        <w:pageBreakBefore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74" w:name="_Toc17583"/>
      <w:bookmarkStart w:id="75" w:name="_Toc21125"/>
      <w:r>
        <w:rPr>
          <w:rFonts w:hint="eastAsia" w:ascii="宋体" w:hAnsi="宋体" w:eastAsia="宋体" w:cs="宋体"/>
          <w:sz w:val="24"/>
          <w:szCs w:val="24"/>
        </w:rPr>
        <w:t>（四）响应文件的提交</w:t>
      </w:r>
      <w:bookmarkEnd w:id="74"/>
      <w:bookmarkEnd w:id="75"/>
    </w:p>
    <w:bookmarkEnd w:id="67"/>
    <w:bookmarkEnd w:id="68"/>
    <w:p w14:paraId="768180CB">
      <w:pPr>
        <w:pageBreakBefore w:val="0"/>
        <w:kinsoku/>
        <w:wordWrap/>
        <w:overflowPunct/>
        <w:topLinePunct w:val="0"/>
        <w:autoSpaceDE/>
        <w:autoSpaceDN/>
        <w:bidi w:val="0"/>
        <w:snapToGrid/>
        <w:spacing w:line="510" w:lineRule="exact"/>
        <w:ind w:firstLine="480" w:firstLineChars="200"/>
        <w:rPr>
          <w:rFonts w:ascii="宋体" w:hAnsi="宋体"/>
          <w:sz w:val="24"/>
          <w:szCs w:val="24"/>
        </w:rPr>
      </w:pPr>
      <w:bookmarkStart w:id="76" w:name="_Toc15950"/>
      <w:bookmarkStart w:id="77" w:name="_Toc17885"/>
      <w:r>
        <w:rPr>
          <w:rFonts w:hint="eastAsia" w:ascii="宋体" w:hAnsi="宋体"/>
          <w:sz w:val="24"/>
          <w:szCs w:val="24"/>
        </w:rPr>
        <w:t>1.响应文件密封</w:t>
      </w:r>
    </w:p>
    <w:p w14:paraId="639EC2B6">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14:paraId="203FA923">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14:paraId="143FB937">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14:paraId="0298D201">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 xml:space="preserve">2.响应文件的提交 </w:t>
      </w:r>
    </w:p>
    <w:p w14:paraId="11FB8CFD">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14:paraId="5A8C25B1">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14:paraId="62945944">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14:paraId="3178A4D9">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14:paraId="7D4D176E">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3.响应文件的修改和撤回</w:t>
      </w:r>
    </w:p>
    <w:p w14:paraId="71BE82CF">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4F7D2536">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14:paraId="5C72C8AB">
      <w:pPr>
        <w:pageBreakBefore w:val="0"/>
        <w:kinsoku/>
        <w:wordWrap/>
        <w:overflowPunct/>
        <w:topLinePunct w:val="0"/>
        <w:autoSpaceDE/>
        <w:autoSpaceDN/>
        <w:bidi w:val="0"/>
        <w:snapToGrid/>
        <w:spacing w:line="510" w:lineRule="exact"/>
        <w:ind w:firstLine="480" w:firstLineChars="200"/>
        <w:rPr>
          <w:rFonts w:ascii="宋体" w:hAnsi="宋体" w:cs="宋体"/>
          <w:sz w:val="24"/>
          <w:szCs w:val="24"/>
        </w:rPr>
      </w:pPr>
      <w:r>
        <w:rPr>
          <w:rFonts w:hint="eastAsia" w:ascii="宋体" w:hAnsi="宋体"/>
          <w:sz w:val="24"/>
          <w:szCs w:val="24"/>
        </w:rPr>
        <w:t>3.3提交响应文件截止时间后不得修改响应文件。但属于</w:t>
      </w:r>
      <w:r>
        <w:rPr>
          <w:rFonts w:hint="eastAsia" w:ascii="宋体" w:hAnsi="宋体"/>
          <w:sz w:val="24"/>
          <w:szCs w:val="24"/>
          <w:lang w:eastAsia="zh-CN"/>
        </w:rPr>
        <w:t>磋商</w:t>
      </w:r>
      <w:r>
        <w:rPr>
          <w:rFonts w:hint="eastAsia" w:ascii="宋体" w:hAnsi="宋体"/>
          <w:sz w:val="24"/>
          <w:szCs w:val="24"/>
        </w:rPr>
        <w:t>小组在评审中发现的计算错误并进行核实的修改、按照</w:t>
      </w:r>
      <w:r>
        <w:rPr>
          <w:rFonts w:hint="eastAsia" w:ascii="宋体" w:hAnsi="宋体"/>
          <w:sz w:val="24"/>
          <w:szCs w:val="24"/>
          <w:lang w:eastAsia="zh-CN"/>
        </w:rPr>
        <w:t>磋商</w:t>
      </w:r>
      <w:r>
        <w:rPr>
          <w:rFonts w:hint="eastAsia" w:ascii="宋体" w:hAnsi="宋体"/>
          <w:sz w:val="24"/>
          <w:szCs w:val="24"/>
        </w:rPr>
        <w:t>文件的变动情况和</w:t>
      </w:r>
      <w:r>
        <w:rPr>
          <w:rFonts w:hint="eastAsia" w:ascii="宋体" w:hAnsi="宋体"/>
          <w:sz w:val="24"/>
          <w:szCs w:val="24"/>
          <w:lang w:eastAsia="zh-CN"/>
        </w:rPr>
        <w:t>磋商</w:t>
      </w:r>
      <w:r>
        <w:rPr>
          <w:rFonts w:hint="eastAsia" w:ascii="宋体" w:hAnsi="宋体"/>
          <w:sz w:val="24"/>
          <w:szCs w:val="24"/>
        </w:rPr>
        <w:t>小组的要求重新提交响应文件的，不在此列。</w:t>
      </w:r>
    </w:p>
    <w:p w14:paraId="67831658">
      <w:pPr>
        <w:pStyle w:val="6"/>
        <w:pageBreakBefore w:val="0"/>
        <w:kinsoku/>
        <w:wordWrap/>
        <w:overflowPunct/>
        <w:topLinePunct w:val="0"/>
        <w:autoSpaceDE/>
        <w:autoSpaceDN/>
        <w:bidi w:val="0"/>
        <w:snapToGrid/>
        <w:spacing w:before="0" w:after="0" w:line="500" w:lineRule="exact"/>
        <w:jc w:val="center"/>
        <w:rPr>
          <w:rFonts w:ascii="宋体" w:hAnsi="宋体" w:eastAsia="宋体" w:cs="宋体"/>
          <w:sz w:val="24"/>
          <w:szCs w:val="24"/>
        </w:rPr>
      </w:pPr>
      <w:r>
        <w:rPr>
          <w:rFonts w:hint="eastAsia" w:ascii="宋体" w:hAnsi="宋体" w:eastAsia="宋体" w:cs="宋体"/>
          <w:sz w:val="24"/>
          <w:szCs w:val="24"/>
        </w:rPr>
        <w:t>（五）磋商程序</w:t>
      </w:r>
      <w:bookmarkEnd w:id="76"/>
      <w:bookmarkEnd w:id="77"/>
    </w:p>
    <w:p w14:paraId="34AB208E">
      <w:pPr>
        <w:pageBreakBefore w:val="0"/>
        <w:tabs>
          <w:tab w:val="left" w:pos="900"/>
        </w:tabs>
        <w:kinsoku/>
        <w:wordWrap/>
        <w:overflowPunct/>
        <w:topLinePunct w:val="0"/>
        <w:autoSpaceDE/>
        <w:autoSpaceDN/>
        <w:bidi w:val="0"/>
        <w:snapToGrid/>
        <w:spacing w:line="500" w:lineRule="exact"/>
        <w:ind w:firstLine="480" w:firstLineChars="200"/>
        <w:jc w:val="left"/>
        <w:rPr>
          <w:rFonts w:ascii="宋体" w:hAnsi="宋体" w:cs="宋体"/>
          <w:sz w:val="24"/>
          <w:szCs w:val="24"/>
        </w:rPr>
      </w:pPr>
      <w:r>
        <w:rPr>
          <w:rFonts w:hint="eastAsia" w:ascii="宋体" w:hAnsi="宋体" w:cs="宋体"/>
          <w:sz w:val="24"/>
          <w:szCs w:val="24"/>
        </w:rPr>
        <w:t>1、磋商人员是按规定组成的三人或三人以上的磋商小组。</w:t>
      </w:r>
    </w:p>
    <w:p w14:paraId="41B5E6D5">
      <w:pPr>
        <w:pageBreakBefore w:val="0"/>
        <w:tabs>
          <w:tab w:val="left" w:pos="900"/>
        </w:tabs>
        <w:kinsoku/>
        <w:wordWrap/>
        <w:overflowPunct/>
        <w:topLinePunct w:val="0"/>
        <w:autoSpaceDE/>
        <w:autoSpaceDN/>
        <w:bidi w:val="0"/>
        <w:snapToGrid/>
        <w:spacing w:line="500" w:lineRule="exact"/>
        <w:ind w:firstLine="480" w:firstLineChars="200"/>
        <w:jc w:val="left"/>
        <w:rPr>
          <w:rFonts w:ascii="宋体" w:hAnsi="宋体" w:cs="宋体"/>
          <w:sz w:val="24"/>
          <w:szCs w:val="24"/>
        </w:rPr>
      </w:pPr>
      <w:r>
        <w:rPr>
          <w:rFonts w:hint="eastAsia" w:ascii="宋体" w:hAnsi="宋体" w:cs="宋体"/>
          <w:sz w:val="24"/>
          <w:szCs w:val="24"/>
        </w:rPr>
        <w:t>2、在掌握了供应商的基本情况后，磋商小组将与供应商分别进行磋商。</w:t>
      </w:r>
    </w:p>
    <w:p w14:paraId="49D839EC">
      <w:pPr>
        <w:pageBreakBefore w:val="0"/>
        <w:tabs>
          <w:tab w:val="left" w:pos="900"/>
        </w:tabs>
        <w:kinsoku/>
        <w:wordWrap/>
        <w:overflowPunct/>
        <w:topLinePunct w:val="0"/>
        <w:autoSpaceDE/>
        <w:autoSpaceDN/>
        <w:bidi w:val="0"/>
        <w:snapToGrid/>
        <w:spacing w:line="500" w:lineRule="exact"/>
        <w:ind w:firstLine="480" w:firstLineChars="200"/>
        <w:jc w:val="left"/>
        <w:rPr>
          <w:rFonts w:ascii="宋体" w:hAnsi="宋体" w:cs="宋体"/>
          <w:sz w:val="24"/>
          <w:szCs w:val="24"/>
          <w:highlight w:val="none"/>
        </w:rPr>
      </w:pPr>
      <w:r>
        <w:rPr>
          <w:rFonts w:hint="eastAsia" w:ascii="宋体" w:hAnsi="宋体" w:cs="宋体"/>
          <w:sz w:val="24"/>
          <w:szCs w:val="24"/>
        </w:rPr>
        <w:t>3、磋商是分别单独进行的。供应商不得与其他参与磋商的供应商相互串通；磋商</w:t>
      </w:r>
      <w:r>
        <w:rPr>
          <w:rFonts w:hint="eastAsia" w:ascii="宋体" w:hAnsi="宋体" w:cs="宋体"/>
          <w:sz w:val="24"/>
          <w:szCs w:val="24"/>
          <w:highlight w:val="none"/>
        </w:rPr>
        <w:t>小组也不得将与某一供应商的磋商情况向其他供应商及其关系人透露。</w:t>
      </w:r>
    </w:p>
    <w:p w14:paraId="058F751B">
      <w:pPr>
        <w:pageBreakBefore w:val="0"/>
        <w:tabs>
          <w:tab w:val="left" w:pos="900"/>
        </w:tabs>
        <w:kinsoku/>
        <w:wordWrap/>
        <w:overflowPunct/>
        <w:topLinePunct w:val="0"/>
        <w:autoSpaceDE/>
        <w:autoSpaceDN/>
        <w:bidi w:val="0"/>
        <w:snapToGrid/>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4、磋商采用</w:t>
      </w:r>
      <w:r>
        <w:rPr>
          <w:rFonts w:hint="eastAsia" w:ascii="宋体" w:hAnsi="宋体" w:cs="宋体"/>
          <w:sz w:val="24"/>
          <w:szCs w:val="24"/>
          <w:highlight w:val="none"/>
          <w:lang w:val="en-US" w:eastAsia="zh-CN"/>
        </w:rPr>
        <w:t>多</w:t>
      </w:r>
      <w:r>
        <w:rPr>
          <w:rFonts w:hint="eastAsia" w:ascii="宋体" w:hAnsi="宋体" w:cs="宋体"/>
          <w:sz w:val="24"/>
          <w:szCs w:val="24"/>
          <w:highlight w:val="none"/>
        </w:rPr>
        <w:t>轮磋商、</w:t>
      </w:r>
      <w:r>
        <w:rPr>
          <w:rFonts w:hint="eastAsia" w:ascii="宋体" w:hAnsi="宋体" w:cs="宋体"/>
          <w:sz w:val="24"/>
          <w:szCs w:val="24"/>
          <w:highlight w:val="none"/>
          <w:lang w:val="en-US" w:eastAsia="zh-CN"/>
        </w:rPr>
        <w:t>多</w:t>
      </w:r>
      <w:r>
        <w:rPr>
          <w:rFonts w:hint="eastAsia" w:ascii="宋体" w:hAnsi="宋体" w:cs="宋体"/>
          <w:sz w:val="24"/>
          <w:szCs w:val="24"/>
          <w:highlight w:val="none"/>
        </w:rPr>
        <w:t>轮报价的方式进行。最终采取多少轮磋商</w:t>
      </w:r>
      <w:r>
        <w:rPr>
          <w:rFonts w:hint="eastAsia" w:ascii="宋体" w:hAnsi="宋体" w:cs="宋体"/>
          <w:sz w:val="24"/>
          <w:szCs w:val="24"/>
          <w:highlight w:val="none"/>
          <w:lang w:eastAsia="zh-CN"/>
        </w:rPr>
        <w:t>多少轮报价</w:t>
      </w:r>
      <w:r>
        <w:rPr>
          <w:rFonts w:hint="eastAsia" w:ascii="宋体" w:hAnsi="宋体" w:cs="宋体"/>
          <w:sz w:val="24"/>
          <w:szCs w:val="24"/>
          <w:highlight w:val="none"/>
        </w:rPr>
        <w:t>，由磋商小组视情况而定。</w:t>
      </w:r>
    </w:p>
    <w:p w14:paraId="714B7E0E">
      <w:pPr>
        <w:pageBreakBefore w:val="0"/>
        <w:tabs>
          <w:tab w:val="left" w:pos="900"/>
        </w:tabs>
        <w:kinsoku/>
        <w:wordWrap/>
        <w:overflowPunct/>
        <w:topLinePunct w:val="0"/>
        <w:autoSpaceDE/>
        <w:autoSpaceDN/>
        <w:bidi w:val="0"/>
        <w:snapToGrid/>
        <w:spacing w:line="510" w:lineRule="exact"/>
        <w:ind w:firstLine="480" w:firstLineChars="200"/>
        <w:rPr>
          <w:rFonts w:ascii="宋体" w:hAnsi="宋体" w:cs="宋体"/>
          <w:sz w:val="24"/>
          <w:szCs w:val="24"/>
        </w:rPr>
      </w:pPr>
      <w:bookmarkStart w:id="78" w:name="_Toc6912"/>
      <w:r>
        <w:rPr>
          <w:rFonts w:hint="eastAsia" w:ascii="宋体" w:hAnsi="宋体" w:cs="宋体"/>
          <w:sz w:val="24"/>
          <w:szCs w:val="24"/>
          <w:highlight w:val="none"/>
        </w:rPr>
        <w:t>5、磋商结束后，磋商小组将要求所有符合条件的供应商在规定的时间内进行最后的报价。供应商应在磋商小组发出</w:t>
      </w:r>
      <w:r>
        <w:rPr>
          <w:rFonts w:hint="eastAsia" w:ascii="宋体" w:hAnsi="宋体" w:cs="宋体"/>
          <w:sz w:val="24"/>
          <w:szCs w:val="24"/>
          <w:highlight w:val="none"/>
          <w:lang w:val="en-US" w:eastAsia="zh-CN"/>
        </w:rPr>
        <w:t>下一</w:t>
      </w:r>
      <w:r>
        <w:rPr>
          <w:rFonts w:hint="eastAsia" w:ascii="宋体" w:hAnsi="宋体" w:cs="宋体"/>
          <w:sz w:val="24"/>
          <w:szCs w:val="24"/>
          <w:highlight w:val="none"/>
        </w:rPr>
        <w:t>轮报价指令后30分钟内完成报价</w:t>
      </w:r>
      <w:bookmarkEnd w:id="78"/>
      <w:r>
        <w:rPr>
          <w:rFonts w:hint="eastAsia" w:ascii="宋体" w:hAnsi="宋体" w:eastAsia="宋体" w:cs="宋体"/>
          <w:b w:val="0"/>
          <w:bCs/>
          <w:color w:val="auto"/>
          <w:sz w:val="24"/>
          <w:szCs w:val="24"/>
          <w:highlight w:val="none"/>
        </w:rPr>
        <w:t>，</w:t>
      </w:r>
      <w:r>
        <w:rPr>
          <w:rFonts w:hint="eastAsia" w:ascii="宋体" w:hAnsi="宋体"/>
          <w:b/>
          <w:bCs/>
          <w:sz w:val="24"/>
          <w:szCs w:val="24"/>
          <w:highlight w:val="none"/>
        </w:rPr>
        <w:t>若供应商未在</w:t>
      </w:r>
      <w:r>
        <w:rPr>
          <w:rFonts w:hint="eastAsia" w:ascii="宋体" w:hAnsi="宋体"/>
          <w:b/>
          <w:bCs/>
          <w:sz w:val="24"/>
          <w:szCs w:val="24"/>
          <w:highlight w:val="none"/>
          <w:lang w:eastAsia="zh-CN"/>
        </w:rPr>
        <w:t>磋商</w:t>
      </w:r>
      <w:r>
        <w:rPr>
          <w:rFonts w:hint="eastAsia" w:ascii="宋体" w:hAnsi="宋体"/>
          <w:b/>
          <w:bCs/>
          <w:sz w:val="24"/>
          <w:szCs w:val="24"/>
          <w:highlight w:val="none"/>
        </w:rPr>
        <w:t>小组规定的时间内提交最终报价，则其前一轮报价即为该供应商最终报价</w:t>
      </w:r>
      <w:r>
        <w:rPr>
          <w:rFonts w:hint="eastAsia" w:ascii="宋体" w:hAnsi="宋体"/>
          <w:b/>
          <w:bCs/>
          <w:sz w:val="24"/>
          <w:szCs w:val="24"/>
        </w:rPr>
        <w:t>（后一轮报价不得高于前一轮报价，否则，报价无效）。</w:t>
      </w:r>
    </w:p>
    <w:p w14:paraId="402AED94">
      <w:pPr>
        <w:pageBreakBefore w:val="0"/>
        <w:tabs>
          <w:tab w:val="left" w:pos="900"/>
        </w:tabs>
        <w:kinsoku/>
        <w:wordWrap/>
        <w:overflowPunct/>
        <w:topLinePunct w:val="0"/>
        <w:autoSpaceDE/>
        <w:autoSpaceDN/>
        <w:bidi w:val="0"/>
        <w:snapToGrid/>
        <w:spacing w:line="500" w:lineRule="exact"/>
        <w:ind w:firstLine="480" w:firstLineChars="200"/>
        <w:jc w:val="left"/>
        <w:rPr>
          <w:rFonts w:ascii="宋体" w:hAnsi="宋体" w:cs="宋体"/>
          <w:b/>
          <w:bCs/>
          <w:sz w:val="24"/>
          <w:szCs w:val="24"/>
        </w:rPr>
      </w:pPr>
      <w:r>
        <w:rPr>
          <w:rFonts w:hint="eastAsia" w:ascii="宋体" w:hAnsi="宋体" w:cs="宋体"/>
          <w:sz w:val="24"/>
          <w:szCs w:val="24"/>
        </w:rPr>
        <w:t>6、供应商必须在规定的时间内将自己在磋商中作出的澄清、变动以及最终的报价，经供应商</w:t>
      </w:r>
      <w:r>
        <w:rPr>
          <w:rFonts w:hint="eastAsia" w:ascii="宋体" w:hAnsi="宋体" w:cs="宋体"/>
          <w:sz w:val="24"/>
          <w:szCs w:val="24"/>
          <w:lang w:eastAsia="zh-CN"/>
        </w:rPr>
        <w:t>确定</w:t>
      </w:r>
      <w:r>
        <w:rPr>
          <w:rFonts w:hint="eastAsia" w:ascii="宋体" w:hAnsi="宋体" w:cs="宋体"/>
          <w:sz w:val="24"/>
          <w:szCs w:val="24"/>
        </w:rPr>
        <w:t>后，</w:t>
      </w:r>
      <w:r>
        <w:rPr>
          <w:rFonts w:hint="eastAsia" w:ascii="宋体" w:hAnsi="宋体" w:cs="宋体"/>
          <w:sz w:val="24"/>
          <w:szCs w:val="24"/>
          <w:lang w:eastAsia="zh-CN"/>
        </w:rPr>
        <w:t>现场</w:t>
      </w:r>
      <w:r>
        <w:rPr>
          <w:rFonts w:hint="eastAsia" w:ascii="宋体" w:hAnsi="宋体" w:cs="宋体"/>
          <w:sz w:val="24"/>
          <w:szCs w:val="24"/>
        </w:rPr>
        <w:t>提交给磋商小组。</w:t>
      </w:r>
    </w:p>
    <w:p w14:paraId="2F721274">
      <w:pPr>
        <w:pStyle w:val="6"/>
        <w:pageBreakBefore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79" w:name="_Toc23142"/>
      <w:bookmarkStart w:id="80" w:name="_Toc7501"/>
      <w:r>
        <w:rPr>
          <w:rFonts w:hint="eastAsia" w:ascii="宋体" w:hAnsi="宋体" w:eastAsia="宋体" w:cs="宋体"/>
          <w:sz w:val="24"/>
          <w:szCs w:val="24"/>
        </w:rPr>
        <w:t>（六）评审及异常情况处理</w:t>
      </w:r>
      <w:bookmarkEnd w:id="79"/>
      <w:bookmarkEnd w:id="80"/>
    </w:p>
    <w:p w14:paraId="39A614E0">
      <w:pPr>
        <w:pageBreakBefore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cs="宋体"/>
          <w:sz w:val="24"/>
          <w:szCs w:val="24"/>
        </w:rPr>
        <w:t>1、磋商小组将遵循公平、公正的原则，对供应商最终提交的确认价进行综合评审，根据得分由高到低顺序推荐不少于3名成交候选供应商。</w:t>
      </w:r>
    </w:p>
    <w:p w14:paraId="7C4E1743">
      <w:pPr>
        <w:pageBreakBefore w:val="0"/>
        <w:kinsoku/>
        <w:wordWrap/>
        <w:overflowPunct/>
        <w:topLinePunct w:val="0"/>
        <w:autoSpaceDE/>
        <w:autoSpaceDN/>
        <w:bidi w:val="0"/>
        <w:snapToGrid/>
        <w:spacing w:line="51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2、出现以下情况，现场转变采购方式：</w:t>
      </w:r>
    </w:p>
    <w:p w14:paraId="4E16734C">
      <w:pPr>
        <w:pageBreakBefore w:val="0"/>
        <w:kinsoku/>
        <w:wordWrap/>
        <w:overflowPunct/>
        <w:topLinePunct w:val="0"/>
        <w:autoSpaceDE/>
        <w:autoSpaceDN/>
        <w:bidi w:val="0"/>
        <w:snapToGrid/>
        <w:spacing w:line="510" w:lineRule="exact"/>
        <w:ind w:firstLine="480" w:firstLineChars="200"/>
        <w:rPr>
          <w:rFonts w:hint="eastAsia" w:ascii="宋体" w:hAnsi="宋体" w:eastAsia="宋体" w:cs="宋体"/>
          <w:sz w:val="24"/>
          <w:szCs w:val="24"/>
          <w:lang w:eastAsia="zh-CN"/>
        </w:rPr>
      </w:pPr>
      <w:r>
        <w:rPr>
          <w:rFonts w:hint="eastAsia" w:ascii="Calibri" w:hAnsi="Calibri" w:cs="Calibri"/>
          <w:sz w:val="24"/>
          <w:szCs w:val="24"/>
          <w:highlight w:val="none"/>
          <w:lang w:eastAsia="zh-CN"/>
        </w:rPr>
        <w:t>（</w:t>
      </w:r>
      <w:r>
        <w:rPr>
          <w:rFonts w:hint="eastAsia" w:ascii="Calibri" w:hAnsi="Calibri" w:cs="Calibri"/>
          <w:sz w:val="24"/>
          <w:szCs w:val="24"/>
          <w:highlight w:val="none"/>
          <w:lang w:val="en-US" w:eastAsia="zh-CN"/>
        </w:rPr>
        <w:t>1</w:t>
      </w:r>
      <w:r>
        <w:rPr>
          <w:rFonts w:hint="eastAsia" w:ascii="Calibri" w:hAnsi="Calibri" w:cs="Calibri"/>
          <w:sz w:val="24"/>
          <w:szCs w:val="24"/>
          <w:highlight w:val="none"/>
          <w:lang w:eastAsia="zh-CN"/>
        </w:rPr>
        <w:t>）</w:t>
      </w:r>
      <w:r>
        <w:rPr>
          <w:rFonts w:hint="default" w:ascii="Calibri" w:hAnsi="Calibri" w:cs="Calibri"/>
          <w:sz w:val="24"/>
          <w:szCs w:val="24"/>
          <w:highlight w:val="none"/>
          <w:lang w:eastAsia="zh-CN"/>
        </w:rPr>
        <w:t>①</w:t>
      </w:r>
      <w:r>
        <w:rPr>
          <w:rFonts w:hint="eastAsia" w:ascii="宋体" w:hAnsi="宋体" w:cs="宋体"/>
          <w:sz w:val="24"/>
          <w:szCs w:val="24"/>
          <w:highlight w:val="none"/>
          <w:lang w:eastAsia="zh-CN"/>
        </w:rPr>
        <w:t>若递交响应性文件的</w:t>
      </w:r>
      <w:r>
        <w:rPr>
          <w:rFonts w:hint="eastAsia" w:ascii="宋体" w:hAnsi="宋体" w:cs="宋体"/>
          <w:sz w:val="24"/>
          <w:szCs w:val="24"/>
          <w:highlight w:val="none"/>
        </w:rPr>
        <w:t>供应商不足三家的</w:t>
      </w:r>
      <w:r>
        <w:rPr>
          <w:rFonts w:hint="eastAsia" w:ascii="宋体" w:hAnsi="宋体" w:cs="宋体"/>
          <w:sz w:val="24"/>
          <w:szCs w:val="24"/>
          <w:highlight w:val="none"/>
          <w:lang w:eastAsia="zh-CN"/>
        </w:rPr>
        <w:t>，</w:t>
      </w:r>
      <w:r>
        <w:rPr>
          <w:rFonts w:hint="default" w:ascii="Calibri" w:hAnsi="Calibri" w:cs="Calibri"/>
          <w:sz w:val="24"/>
          <w:szCs w:val="24"/>
          <w:highlight w:val="none"/>
          <w:lang w:eastAsia="zh-CN"/>
        </w:rPr>
        <w:t>②</w:t>
      </w:r>
      <w:r>
        <w:rPr>
          <w:rFonts w:hint="eastAsia" w:ascii="宋体" w:hAnsi="宋体" w:cs="宋体"/>
          <w:sz w:val="24"/>
          <w:szCs w:val="24"/>
          <w:lang w:eastAsia="zh-CN"/>
        </w:rPr>
        <w:t>若</w:t>
      </w:r>
      <w:r>
        <w:rPr>
          <w:rFonts w:hint="eastAsia" w:ascii="宋体" w:hAnsi="宋体" w:cs="宋体"/>
          <w:sz w:val="24"/>
          <w:szCs w:val="24"/>
        </w:rPr>
        <w:t>符合专业条件的供应商或者对采购文件作实质性响应的供应商</w:t>
      </w:r>
      <w:r>
        <w:rPr>
          <w:rFonts w:hint="eastAsia" w:ascii="宋体" w:hAnsi="宋体" w:cs="宋体"/>
          <w:sz w:val="24"/>
          <w:szCs w:val="24"/>
          <w:lang w:eastAsia="zh-CN"/>
        </w:rPr>
        <w:t>只有</w:t>
      </w:r>
      <w:r>
        <w:rPr>
          <w:rFonts w:hint="eastAsia" w:ascii="宋体" w:hAnsi="宋体" w:cs="宋体"/>
          <w:sz w:val="24"/>
          <w:szCs w:val="24"/>
          <w:lang w:val="en-US" w:eastAsia="zh-CN"/>
        </w:rPr>
        <w:t>2家</w:t>
      </w:r>
      <w:r>
        <w:rPr>
          <w:rFonts w:hint="eastAsia" w:ascii="宋体" w:hAnsi="宋体" w:cs="宋体"/>
          <w:sz w:val="24"/>
          <w:szCs w:val="24"/>
        </w:rPr>
        <w:t>的</w:t>
      </w:r>
      <w:r>
        <w:rPr>
          <w:rFonts w:hint="eastAsia" w:ascii="宋体" w:hAnsi="宋体" w:cs="宋体"/>
          <w:sz w:val="24"/>
          <w:szCs w:val="24"/>
          <w:lang w:eastAsia="zh-CN"/>
        </w:rPr>
        <w:t>：经采购人同意后，</w:t>
      </w:r>
      <w:r>
        <w:rPr>
          <w:rFonts w:hint="eastAsia" w:ascii="宋体" w:hAnsi="宋体" w:cs="宋体"/>
          <w:sz w:val="24"/>
          <w:szCs w:val="24"/>
        </w:rPr>
        <w:t>竞争性磋商活动可以继续进行</w:t>
      </w:r>
      <w:r>
        <w:rPr>
          <w:rFonts w:hint="eastAsia" w:ascii="宋体" w:hAnsi="宋体" w:cs="宋体"/>
          <w:sz w:val="24"/>
          <w:szCs w:val="24"/>
          <w:lang w:eastAsia="zh-CN"/>
        </w:rPr>
        <w:t>或</w:t>
      </w:r>
      <w:r>
        <w:rPr>
          <w:rFonts w:ascii="宋体" w:hAnsi="宋体" w:eastAsia="宋体" w:cs="宋体"/>
          <w:sz w:val="24"/>
          <w:szCs w:val="24"/>
        </w:rPr>
        <w:t>依法重新</w:t>
      </w:r>
      <w:r>
        <w:rPr>
          <w:rFonts w:hint="eastAsia" w:ascii="宋体" w:hAnsi="宋体" w:cs="宋体"/>
          <w:sz w:val="24"/>
          <w:szCs w:val="24"/>
        </w:rPr>
        <w:t>磋商</w:t>
      </w:r>
      <w:r>
        <w:rPr>
          <w:rFonts w:hint="eastAsia" w:ascii="宋体" w:hAnsi="宋体" w:eastAsia="宋体" w:cs="宋体"/>
          <w:sz w:val="24"/>
          <w:szCs w:val="24"/>
          <w:lang w:eastAsia="zh-CN"/>
        </w:rPr>
        <w:t>。</w:t>
      </w:r>
    </w:p>
    <w:p w14:paraId="717B06AF">
      <w:pPr>
        <w:pageBreakBefore w:val="0"/>
        <w:kinsoku/>
        <w:wordWrap/>
        <w:overflowPunct/>
        <w:topLinePunct w:val="0"/>
        <w:autoSpaceDE/>
        <w:autoSpaceDN/>
        <w:bidi w:val="0"/>
        <w:snapToGrid/>
        <w:spacing w:line="510" w:lineRule="exact"/>
        <w:ind w:firstLine="480" w:firstLineChars="200"/>
        <w:rPr>
          <w:rFonts w:hint="eastAsia" w:ascii="宋体" w:hAnsi="宋体" w:cs="Arial"/>
          <w:sz w:val="24"/>
          <w:szCs w:val="24"/>
        </w:rPr>
      </w:pPr>
      <w:r>
        <w:rPr>
          <w:rFonts w:hint="eastAsia" w:ascii="Calibri" w:hAnsi="Calibri" w:cs="Calibri"/>
          <w:sz w:val="24"/>
          <w:szCs w:val="24"/>
          <w:highlight w:val="none"/>
          <w:lang w:eastAsia="zh-CN"/>
        </w:rPr>
        <w:t>（</w:t>
      </w:r>
      <w:r>
        <w:rPr>
          <w:rFonts w:hint="eastAsia" w:ascii="Calibri" w:hAnsi="Calibri" w:cs="Calibri"/>
          <w:sz w:val="24"/>
          <w:szCs w:val="24"/>
          <w:highlight w:val="none"/>
          <w:lang w:val="en-US" w:eastAsia="zh-CN"/>
        </w:rPr>
        <w:t>2</w:t>
      </w:r>
      <w:r>
        <w:rPr>
          <w:rFonts w:hint="eastAsia" w:ascii="Calibri" w:hAnsi="Calibri" w:cs="Calibri"/>
          <w:sz w:val="24"/>
          <w:szCs w:val="24"/>
          <w:highlight w:val="none"/>
          <w:lang w:eastAsia="zh-CN"/>
        </w:rPr>
        <w:t>）</w:t>
      </w:r>
      <w:r>
        <w:rPr>
          <w:rFonts w:hint="default" w:ascii="Calibri" w:hAnsi="Calibri" w:cs="Calibri"/>
          <w:sz w:val="24"/>
          <w:szCs w:val="24"/>
          <w:highlight w:val="none"/>
          <w:lang w:eastAsia="zh-CN"/>
        </w:rPr>
        <w:t>①</w:t>
      </w:r>
      <w:r>
        <w:rPr>
          <w:rFonts w:hint="eastAsia" w:ascii="宋体" w:hAnsi="宋体" w:cs="宋体"/>
          <w:sz w:val="24"/>
          <w:szCs w:val="24"/>
          <w:highlight w:val="none"/>
          <w:lang w:eastAsia="zh-CN"/>
        </w:rPr>
        <w:t>若递交响应性文件的</w:t>
      </w:r>
      <w:r>
        <w:rPr>
          <w:rFonts w:hint="eastAsia" w:ascii="宋体" w:hAnsi="宋体" w:cs="宋体"/>
          <w:sz w:val="24"/>
          <w:szCs w:val="24"/>
          <w:highlight w:val="none"/>
        </w:rPr>
        <w:t>供应商不足</w:t>
      </w:r>
      <w:r>
        <w:rPr>
          <w:rFonts w:hint="eastAsia" w:ascii="宋体" w:hAnsi="宋体" w:cs="宋体"/>
          <w:sz w:val="24"/>
          <w:szCs w:val="24"/>
          <w:highlight w:val="none"/>
          <w:lang w:eastAsia="zh-CN"/>
        </w:rPr>
        <w:t>两</w:t>
      </w:r>
      <w:r>
        <w:rPr>
          <w:rFonts w:hint="eastAsia" w:ascii="宋体" w:hAnsi="宋体" w:cs="宋体"/>
          <w:sz w:val="24"/>
          <w:szCs w:val="24"/>
          <w:highlight w:val="none"/>
        </w:rPr>
        <w:t>家的</w:t>
      </w:r>
      <w:r>
        <w:rPr>
          <w:rFonts w:hint="eastAsia" w:ascii="宋体" w:hAnsi="宋体" w:cs="宋体"/>
          <w:sz w:val="24"/>
          <w:szCs w:val="24"/>
          <w:highlight w:val="none"/>
          <w:lang w:eastAsia="zh-CN"/>
        </w:rPr>
        <w:t>，</w:t>
      </w:r>
      <w:r>
        <w:rPr>
          <w:rFonts w:hint="default" w:ascii="Calibri" w:hAnsi="Calibri" w:cs="Calibri"/>
          <w:sz w:val="24"/>
          <w:szCs w:val="24"/>
          <w:highlight w:val="none"/>
          <w:lang w:eastAsia="zh-CN"/>
        </w:rPr>
        <w:t>②</w:t>
      </w:r>
      <w:r>
        <w:rPr>
          <w:rFonts w:hint="eastAsia" w:ascii="宋体" w:hAnsi="宋体" w:cs="宋体"/>
          <w:sz w:val="24"/>
          <w:szCs w:val="24"/>
          <w:lang w:eastAsia="zh-CN"/>
        </w:rPr>
        <w:t>若</w:t>
      </w:r>
      <w:r>
        <w:rPr>
          <w:rFonts w:hint="eastAsia" w:ascii="宋体" w:hAnsi="宋体" w:cs="宋体"/>
          <w:sz w:val="24"/>
          <w:szCs w:val="24"/>
        </w:rPr>
        <w:t>符合专业条件的供应商或者对采购文件作实质性响应的供应商</w:t>
      </w:r>
      <w:r>
        <w:rPr>
          <w:rFonts w:hint="eastAsia" w:ascii="宋体" w:hAnsi="宋体" w:cs="宋体"/>
          <w:sz w:val="24"/>
          <w:szCs w:val="24"/>
          <w:lang w:eastAsia="zh-CN"/>
        </w:rPr>
        <w:t>只有</w:t>
      </w:r>
      <w:r>
        <w:rPr>
          <w:rFonts w:hint="eastAsia" w:ascii="宋体" w:hAnsi="宋体" w:cs="宋体"/>
          <w:sz w:val="24"/>
          <w:szCs w:val="24"/>
          <w:lang w:val="en-US" w:eastAsia="zh-CN"/>
        </w:rPr>
        <w:t>1家</w:t>
      </w:r>
      <w:r>
        <w:rPr>
          <w:rFonts w:hint="eastAsia" w:ascii="宋体" w:hAnsi="宋体" w:cs="宋体"/>
          <w:sz w:val="24"/>
          <w:szCs w:val="24"/>
        </w:rPr>
        <w:t>的</w:t>
      </w:r>
      <w:r>
        <w:rPr>
          <w:rFonts w:hint="eastAsia" w:ascii="宋体" w:hAnsi="宋体" w:cs="宋体"/>
          <w:sz w:val="24"/>
          <w:szCs w:val="24"/>
          <w:lang w:eastAsia="zh-CN"/>
        </w:rPr>
        <w:t>：经采购人同意后</w:t>
      </w:r>
      <w:r>
        <w:rPr>
          <w:rFonts w:hint="eastAsia" w:ascii="宋体" w:hAnsi="宋体" w:cs="宋体"/>
          <w:sz w:val="24"/>
          <w:szCs w:val="24"/>
          <w:lang w:val="en-US" w:eastAsia="zh-CN"/>
        </w:rPr>
        <w:t>，现场转为单一来源采购或</w:t>
      </w:r>
      <w:r>
        <w:rPr>
          <w:rFonts w:ascii="宋体" w:hAnsi="宋体" w:eastAsia="宋体" w:cs="宋体"/>
          <w:sz w:val="24"/>
          <w:szCs w:val="24"/>
        </w:rPr>
        <w:t>依法重新</w:t>
      </w:r>
      <w:r>
        <w:rPr>
          <w:rFonts w:hint="eastAsia" w:ascii="宋体" w:hAnsi="宋体" w:cs="宋体"/>
          <w:sz w:val="24"/>
          <w:szCs w:val="24"/>
        </w:rPr>
        <w:t>磋商</w:t>
      </w:r>
      <w:r>
        <w:rPr>
          <w:rFonts w:hint="eastAsia" w:ascii="宋体" w:hAnsi="宋体" w:eastAsia="宋体" w:cs="宋体"/>
          <w:sz w:val="24"/>
          <w:szCs w:val="24"/>
          <w:lang w:eastAsia="zh-CN"/>
        </w:rPr>
        <w:t>。</w:t>
      </w:r>
    </w:p>
    <w:p w14:paraId="06D4F890">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cs="宋体"/>
          <w:sz w:val="24"/>
          <w:szCs w:val="24"/>
        </w:rPr>
        <w:t>磋商</w:t>
      </w:r>
      <w:r>
        <w:rPr>
          <w:rFonts w:hint="eastAsia" w:ascii="宋体" w:hAnsi="宋体"/>
          <w:sz w:val="24"/>
          <w:szCs w:val="24"/>
        </w:rPr>
        <w:t>时出现以下情况之一的，将予以废标：</w:t>
      </w:r>
    </w:p>
    <w:p w14:paraId="6BDD5A99">
      <w:pPr>
        <w:pageBreakBefore w:val="0"/>
        <w:kinsoku/>
        <w:wordWrap/>
        <w:overflowPunct/>
        <w:topLinePunct w:val="0"/>
        <w:autoSpaceDE/>
        <w:autoSpaceDN/>
        <w:bidi w:val="0"/>
        <w:snapToGrid/>
        <w:spacing w:line="51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w:t>
      </w:r>
      <w:r>
        <w:rPr>
          <w:rFonts w:hint="eastAsia" w:ascii="宋体" w:hAnsi="宋体" w:cs="宋体"/>
          <w:sz w:val="24"/>
          <w:szCs w:val="24"/>
        </w:rPr>
        <w:t>供应商的报价均超过了采购预算，经过多轮磋商仍不能降到预算内、且采购人不能支付的；</w:t>
      </w:r>
    </w:p>
    <w:p w14:paraId="0774EEBD">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）经过</w:t>
      </w:r>
      <w:r>
        <w:rPr>
          <w:rFonts w:hint="eastAsia" w:ascii="宋体" w:hAnsi="宋体" w:cs="宋体"/>
          <w:sz w:val="24"/>
          <w:szCs w:val="24"/>
        </w:rPr>
        <w:t>磋商</w:t>
      </w:r>
      <w:r>
        <w:rPr>
          <w:rFonts w:hint="eastAsia" w:ascii="宋体" w:hAnsi="宋体"/>
          <w:sz w:val="24"/>
          <w:szCs w:val="24"/>
        </w:rPr>
        <w:t>，供应商所提供的货物服务仍无法满足</w:t>
      </w:r>
      <w:r>
        <w:rPr>
          <w:rFonts w:hint="eastAsia" w:ascii="宋体" w:hAnsi="宋体" w:cs="宋体"/>
          <w:sz w:val="24"/>
          <w:szCs w:val="24"/>
        </w:rPr>
        <w:t>磋商</w:t>
      </w:r>
      <w:r>
        <w:rPr>
          <w:rFonts w:hint="eastAsia" w:ascii="宋体" w:hAnsi="宋体"/>
          <w:sz w:val="24"/>
          <w:szCs w:val="24"/>
        </w:rPr>
        <w:t>文件实质性要求、影响工作的；</w:t>
      </w:r>
    </w:p>
    <w:p w14:paraId="75BEA218">
      <w:pPr>
        <w:pageBreakBefore w:val="0"/>
        <w:kinsoku/>
        <w:wordWrap/>
        <w:overflowPunct/>
        <w:topLinePunct w:val="0"/>
        <w:autoSpaceDE/>
        <w:autoSpaceDN/>
        <w:bidi w:val="0"/>
        <w:snapToGrid/>
        <w:spacing w:line="51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）出现影响采购公正的违法、违规行为的；</w:t>
      </w:r>
    </w:p>
    <w:p w14:paraId="00FB97F0">
      <w:pPr>
        <w:pageBreakBefore w:val="0"/>
        <w:kinsoku/>
        <w:wordWrap/>
        <w:overflowPunct/>
        <w:topLinePunct w:val="0"/>
        <w:autoSpaceDE/>
        <w:autoSpaceDN/>
        <w:bidi w:val="0"/>
        <w:snapToGrid/>
        <w:spacing w:line="510" w:lineRule="exact"/>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因重大变故，采购任务取消的。</w:t>
      </w:r>
    </w:p>
    <w:p w14:paraId="405CB43A">
      <w:pPr>
        <w:pageBreakBefore w:val="0"/>
        <w:kinsoku/>
        <w:wordWrap/>
        <w:overflowPunct/>
        <w:topLinePunct w:val="0"/>
        <w:autoSpaceDE/>
        <w:autoSpaceDN/>
        <w:bidi w:val="0"/>
        <w:snapToGrid/>
        <w:spacing w:line="510" w:lineRule="exact"/>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、重新组织磋商</w:t>
      </w:r>
      <w:r>
        <w:rPr>
          <w:rFonts w:hint="eastAsia" w:ascii="宋体" w:hAnsi="宋体" w:cs="宋体"/>
          <w:sz w:val="24"/>
          <w:szCs w:val="24"/>
          <w:lang w:eastAsia="zh-CN"/>
        </w:rPr>
        <w:t>的</w:t>
      </w:r>
      <w:r>
        <w:rPr>
          <w:rFonts w:hint="eastAsia" w:ascii="宋体" w:hAnsi="宋体" w:cs="宋体"/>
          <w:sz w:val="24"/>
          <w:szCs w:val="24"/>
        </w:rPr>
        <w:t>，采购单位将</w:t>
      </w:r>
      <w:r>
        <w:rPr>
          <w:rFonts w:hint="eastAsia" w:ascii="宋体" w:hAnsi="宋体" w:eastAsia="宋体" w:cs="宋体"/>
          <w:sz w:val="24"/>
          <w:szCs w:val="24"/>
        </w:rPr>
        <w:t>通过</w:t>
      </w:r>
      <w:r>
        <w:rPr>
          <w:rFonts w:hint="eastAsia" w:ascii="宋体" w:hAnsi="宋体" w:eastAsia="宋体" w:cs="宋体"/>
          <w:sz w:val="24"/>
          <w:szCs w:val="24"/>
          <w:lang w:eastAsia="zh-CN"/>
        </w:rPr>
        <w:t>本项目</w:t>
      </w:r>
      <w:r>
        <w:rPr>
          <w:rFonts w:hint="eastAsia" w:ascii="宋体" w:hAnsi="宋体" w:eastAsia="宋体" w:cs="宋体"/>
          <w:sz w:val="24"/>
          <w:szCs w:val="24"/>
        </w:rPr>
        <w:t>公告发布网站进行公告。</w:t>
      </w:r>
    </w:p>
    <w:p w14:paraId="10174209">
      <w:pPr>
        <w:pStyle w:val="6"/>
        <w:pageBreakBefore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81" w:name="_Toc23600"/>
      <w:r>
        <w:rPr>
          <w:rFonts w:hint="eastAsia" w:ascii="宋体" w:hAnsi="宋体" w:eastAsia="宋体" w:cs="宋体"/>
          <w:sz w:val="24"/>
          <w:szCs w:val="24"/>
        </w:rPr>
        <w:t>（七）报价响应及答疑</w:t>
      </w:r>
      <w:bookmarkEnd w:id="81"/>
    </w:p>
    <w:p w14:paraId="627E24D6">
      <w:pPr>
        <w:pageBreakBefore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培训和交付后规定免费维保期内维保等环节所发生的</w:t>
      </w:r>
      <w:r>
        <w:rPr>
          <w:rFonts w:hint="eastAsia" w:ascii="宋体" w:hAnsi="宋体"/>
          <w:sz w:val="24"/>
          <w:szCs w:val="24"/>
          <w:lang w:eastAsia="zh-CN"/>
        </w:rPr>
        <w:t>应有</w:t>
      </w:r>
      <w:r>
        <w:rPr>
          <w:rFonts w:hint="eastAsia" w:ascii="宋体" w:hAnsi="宋体"/>
          <w:sz w:val="24"/>
          <w:szCs w:val="24"/>
        </w:rPr>
        <w:t>费用。响应报价为供应商在响应文件中提出的各项支付金额的总和。只有总价而没有分项报价的响应文件无效。</w:t>
      </w:r>
    </w:p>
    <w:p w14:paraId="14A1F6B7">
      <w:pPr>
        <w:pageBreakBefore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磋商文件中没有提及磋商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磋商文件规定的规格、参数、质量、价格、有效期、售后服务等要求。</w:t>
      </w:r>
    </w:p>
    <w:p w14:paraId="4ED21C80">
      <w:pPr>
        <w:pageBreakBefore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2BE72A57">
      <w:pPr>
        <w:pageBreakBefore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737DA01D">
      <w:pPr>
        <w:pageBreakBefore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5、供应商如果对磋商文件的其他任何内容有相关疑问，可</w:t>
      </w:r>
      <w:r>
        <w:rPr>
          <w:rFonts w:hint="eastAsia" w:ascii="宋体" w:hAnsi="宋体"/>
          <w:sz w:val="24"/>
        </w:rPr>
        <w:t>以</w:t>
      </w:r>
      <w:r>
        <w:rPr>
          <w:rFonts w:hint="eastAsia" w:ascii="宋体" w:hAnsi="宋体"/>
          <w:sz w:val="24"/>
          <w:lang w:eastAsia="zh-CN"/>
        </w:rPr>
        <w:t>邮件</w:t>
      </w:r>
      <w:r>
        <w:rPr>
          <w:rFonts w:hint="eastAsia" w:ascii="宋体" w:hAnsi="宋体"/>
          <w:sz w:val="24"/>
        </w:rPr>
        <w:t>形式（</w:t>
      </w:r>
      <w:r>
        <w:rPr>
          <w:rFonts w:hint="eastAsia" w:ascii="宋体" w:hAnsi="宋体"/>
          <w:sz w:val="24"/>
          <w:lang w:val="en-US" w:eastAsia="zh-CN"/>
        </w:rPr>
        <w:t>943084965@qq.com）</w:t>
      </w:r>
      <w:r>
        <w:rPr>
          <w:rFonts w:hint="eastAsia" w:ascii="宋体" w:hAnsi="宋体"/>
          <w:sz w:val="24"/>
        </w:rPr>
        <w:t>提出（疑问文件以文档形式提供，如WORD文档等）。</w:t>
      </w:r>
    </w:p>
    <w:p w14:paraId="7C199658">
      <w:pPr>
        <w:pageBreakBefore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请供应商及时通过</w:t>
      </w:r>
      <w:r>
        <w:rPr>
          <w:rFonts w:hint="eastAsia" w:ascii="宋体" w:hAnsi="宋体"/>
          <w:sz w:val="24"/>
          <w:szCs w:val="24"/>
          <w:lang w:eastAsia="zh-CN"/>
        </w:rPr>
        <w:t>公告发布</w:t>
      </w:r>
      <w:r>
        <w:rPr>
          <w:rFonts w:hint="eastAsia" w:ascii="宋体" w:hAnsi="宋体"/>
          <w:sz w:val="24"/>
          <w:szCs w:val="24"/>
        </w:rPr>
        <w:t>网站答疑公告栏目查看答疑文件。</w:t>
      </w:r>
    </w:p>
    <w:p w14:paraId="0B46CE74">
      <w:pPr>
        <w:pageBreakBefore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14:paraId="274D3B85">
      <w:pPr>
        <w:pStyle w:val="6"/>
        <w:pageBreakBefore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82" w:name="_Toc402"/>
      <w:r>
        <w:rPr>
          <w:rFonts w:hint="eastAsia" w:ascii="宋体" w:hAnsi="宋体" w:eastAsia="宋体" w:cs="宋体"/>
          <w:sz w:val="24"/>
          <w:szCs w:val="24"/>
        </w:rPr>
        <w:t>（八）合同的签订</w:t>
      </w:r>
      <w:bookmarkEnd w:id="82"/>
    </w:p>
    <w:p w14:paraId="1C61B403">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4ED9349D">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lang w:val="en-US" w:eastAsia="zh-CN"/>
        </w:rPr>
        <w:t>2</w:t>
      </w:r>
      <w:r>
        <w:rPr>
          <w:rFonts w:hint="eastAsia" w:ascii="宋体" w:hAnsi="宋体" w:cs="Arial"/>
          <w:sz w:val="24"/>
          <w:szCs w:val="24"/>
        </w:rPr>
        <w:t>、成交供应商因不可抗力或者自身原因不能在规定的时间内与采购人签订采购合同，采购人可以与排在成交供应商后第一位的候选供应商签订采购合同，以此类推或重新组织采购。</w:t>
      </w:r>
    </w:p>
    <w:p w14:paraId="52C7EFC3">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、因政策变化等原因不能签订合同，造成企业合法利益受损的情形，采购人可以与供应商充分协商，给予合理补偿。</w:t>
      </w:r>
    </w:p>
    <w:p w14:paraId="1963D3D0">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lang w:val="en-US" w:eastAsia="zh-CN"/>
        </w:rPr>
        <w:t>4</w:t>
      </w:r>
      <w:r>
        <w:rPr>
          <w:rFonts w:hint="eastAsia" w:ascii="宋体" w:hAnsi="宋体" w:cs="Arial"/>
          <w:sz w:val="24"/>
          <w:szCs w:val="24"/>
        </w:rPr>
        <w:t>、在签订合同时，供应商书面明确表示无需预付款或者主动要求降低预付款比例的，采购人可不适用前述（即付款方式）规定。</w:t>
      </w:r>
    </w:p>
    <w:p w14:paraId="480B43D5">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、采购文件和合同中没有约定预付款的，经供应商申请，采购人可以支付预付款。</w:t>
      </w:r>
    </w:p>
    <w:p w14:paraId="002D9E24">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lang w:val="en-US" w:eastAsia="zh-CN"/>
        </w:rPr>
        <w:t>6</w:t>
      </w:r>
      <w:r>
        <w:rPr>
          <w:rFonts w:hint="eastAsia" w:ascii="宋体" w:hAnsi="宋体" w:cs="Arial"/>
          <w:sz w:val="24"/>
          <w:szCs w:val="24"/>
        </w:rPr>
        <w:t>、采购人可根据项目特点、供应商诚信等因素，要求供应商提交银行、保险公司、担保公司等金融机构出具的预付款保函或其他担保措施。</w:t>
      </w:r>
    </w:p>
    <w:p w14:paraId="5E84E7D0">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lang w:val="en-US" w:eastAsia="zh-CN"/>
        </w:rPr>
        <w:t>7</w:t>
      </w:r>
      <w:r>
        <w:rPr>
          <w:rFonts w:hint="eastAsia" w:ascii="宋体" w:hAnsi="宋体" w:cs="Arial"/>
          <w:sz w:val="24"/>
          <w:szCs w:val="24"/>
        </w:rPr>
        <w:t>、政府采购预付款应在合同、担保措施生效以及具备实施条件后 5 个工作日内支付。</w:t>
      </w:r>
    </w:p>
    <w:p w14:paraId="2F6988AC">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、延迟支付中小企业款项的，供应商可要求采购人按照合同约定支付逾期利息，合同没有约定的，按照同期人民银行 LPR支付逾期利息。</w:t>
      </w:r>
    </w:p>
    <w:p w14:paraId="24166DAA">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lang w:val="en-US" w:eastAsia="zh-CN"/>
        </w:rPr>
        <w:t>9</w:t>
      </w:r>
      <w:r>
        <w:rPr>
          <w:rFonts w:hint="eastAsia" w:ascii="宋体" w:hAnsi="宋体" w:cs="Arial"/>
          <w:sz w:val="24"/>
          <w:szCs w:val="24"/>
        </w:rPr>
        <w:t>、成交供应商无正当理由不与采购人订立合同的处罚依据：</w:t>
      </w:r>
    </w:p>
    <w:p w14:paraId="70BFC802">
      <w:pPr>
        <w:pageBreakBefore w:val="0"/>
        <w:kinsoku/>
        <w:wordWrap/>
        <w:overflowPunct/>
        <w:topLinePunct w:val="0"/>
        <w:autoSpaceDE/>
        <w:autoSpaceDN/>
        <w:bidi w:val="0"/>
        <w:snapToGrid/>
        <w:spacing w:line="50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14:paraId="30EE85C3">
      <w:pPr>
        <w:pageBreakBefore w:val="0"/>
        <w:kinsoku/>
        <w:wordWrap/>
        <w:overflowPunct/>
        <w:topLinePunct w:val="0"/>
        <w:autoSpaceDE/>
        <w:autoSpaceDN/>
        <w:bidi w:val="0"/>
        <w:snapToGrid/>
        <w:spacing w:line="500" w:lineRule="exact"/>
        <w:ind w:firstLine="480" w:firstLineChars="200"/>
        <w:jc w:val="left"/>
        <w:rPr>
          <w:rFonts w:hint="eastAsia" w:ascii="宋体" w:hAnsi="宋体" w:cs="Arial"/>
          <w:sz w:val="24"/>
          <w:szCs w:val="24"/>
        </w:rPr>
      </w:pPr>
      <w:r>
        <w:rPr>
          <w:rFonts w:hint="eastAsia" w:ascii="宋体" w:hAnsi="宋体" w:cs="Arial"/>
          <w:sz w:val="24"/>
          <w:szCs w:val="24"/>
        </w:rPr>
        <w:t>第七十二</w:t>
      </w:r>
      <w:r>
        <w:rPr>
          <w:rFonts w:hint="eastAsia" w:ascii="Times New Roman" w:hAnsi="Times New Roman" w:eastAsia="宋体" w:cs="Times New Roman"/>
          <w:kern w:val="2"/>
          <w:sz w:val="24"/>
          <w:szCs w:val="20"/>
          <w:lang w:val="en-US" w:eastAsia="zh-CN" w:bidi="ar-SA"/>
        </w:rPr>
        <w:t xml:space="preserve">条 </w:t>
      </w:r>
      <w:r>
        <w:rPr>
          <w:rFonts w:hint="eastAsia" w:ascii="宋体" w:hAnsi="宋体" w:cs="Arial"/>
          <w:sz w:val="24"/>
          <w:szCs w:val="24"/>
        </w:rPr>
        <w:t>供应商有下列情形之一的，依照政府采购法第七十七条第一款的规定追究法律责任：……</w:t>
      </w:r>
    </w:p>
    <w:p w14:paraId="436E09AC">
      <w:pPr>
        <w:pStyle w:val="2"/>
        <w:pageBreakBefore w:val="0"/>
        <w:kinsoku/>
        <w:wordWrap/>
        <w:overflowPunct/>
        <w:topLinePunct w:val="0"/>
        <w:autoSpaceDE/>
        <w:autoSpaceDN/>
        <w:bidi w:val="0"/>
        <w:snapToGrid/>
        <w:spacing w:after="0" w:line="500" w:lineRule="exact"/>
        <w:ind w:firstLine="480" w:firstLineChars="200"/>
      </w:pPr>
      <w:r>
        <w:rPr>
          <w:rFonts w:hint="eastAsia"/>
        </w:rPr>
        <w:t>（二）中标或者成交后无正当理由拒不与采购人签订政府采购合同；……</w:t>
      </w:r>
    </w:p>
    <w:p w14:paraId="6468CB67">
      <w:pPr>
        <w:pStyle w:val="2"/>
        <w:pageBreakBefore w:val="0"/>
        <w:kinsoku/>
        <w:wordWrap/>
        <w:overflowPunct/>
        <w:topLinePunct w:val="0"/>
        <w:autoSpaceDE/>
        <w:autoSpaceDN/>
        <w:bidi w:val="0"/>
        <w:snapToGrid/>
        <w:spacing w:after="0" w:line="500" w:lineRule="exact"/>
        <w:ind w:firstLine="480" w:firstLineChars="200"/>
      </w:pPr>
      <w:r>
        <w:rPr>
          <w:rFonts w:hint="eastAsia"/>
        </w:rPr>
        <w:t>（2）《中华人民共和国政府采购法》</w:t>
      </w:r>
    </w:p>
    <w:p w14:paraId="713E721D">
      <w:pPr>
        <w:pStyle w:val="2"/>
        <w:pageBreakBefore w:val="0"/>
        <w:kinsoku/>
        <w:wordWrap/>
        <w:overflowPunct/>
        <w:topLinePunct w:val="0"/>
        <w:autoSpaceDE/>
        <w:autoSpaceDN/>
        <w:bidi w:val="0"/>
        <w:snapToGrid/>
        <w:spacing w:after="0" w:line="50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EAC062A">
      <w:pPr>
        <w:pStyle w:val="2"/>
        <w:pageBreakBefore w:val="0"/>
        <w:kinsoku/>
        <w:wordWrap/>
        <w:overflowPunct/>
        <w:topLinePunct w:val="0"/>
        <w:autoSpaceDE/>
        <w:autoSpaceDN/>
        <w:bidi w:val="0"/>
        <w:snapToGrid/>
        <w:spacing w:after="0" w:line="500" w:lineRule="exact"/>
        <w:ind w:firstLine="480" w:firstLineChars="200"/>
      </w:pPr>
      <w:r>
        <w:rPr>
          <w:rFonts w:hint="eastAsia"/>
        </w:rPr>
        <w:t>（3）《政府采购非招标采购方式管理办法》（财政部令第74号）</w:t>
      </w:r>
    </w:p>
    <w:p w14:paraId="73EB1A74">
      <w:pPr>
        <w:pStyle w:val="2"/>
        <w:pageBreakBefore w:val="0"/>
        <w:kinsoku/>
        <w:wordWrap/>
        <w:overflowPunct/>
        <w:topLinePunct w:val="0"/>
        <w:autoSpaceDE/>
        <w:autoSpaceDN/>
        <w:bidi w:val="0"/>
        <w:snapToGrid/>
        <w:spacing w:after="0" w:line="50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3E138145">
      <w:pPr>
        <w:pStyle w:val="2"/>
        <w:pageBreakBefore w:val="0"/>
        <w:kinsoku/>
        <w:wordWrap/>
        <w:overflowPunct/>
        <w:topLinePunct w:val="0"/>
        <w:autoSpaceDE/>
        <w:autoSpaceDN/>
        <w:bidi w:val="0"/>
        <w:snapToGrid/>
        <w:spacing w:after="0" w:line="500" w:lineRule="exact"/>
        <w:ind w:firstLine="480" w:firstLineChars="200"/>
        <w:rPr>
          <w:rFonts w:ascii="宋体" w:hAnsi="宋体" w:cs="宋体"/>
          <w:szCs w:val="24"/>
        </w:rPr>
      </w:pPr>
      <w:r>
        <w:rPr>
          <w:rFonts w:hint="eastAsia"/>
        </w:rPr>
        <w:t>（二）成交后无正当理由不与采购人签订合同的；……</w:t>
      </w:r>
    </w:p>
    <w:p w14:paraId="043BA8F3">
      <w:pPr>
        <w:pStyle w:val="6"/>
        <w:pageBreakBefore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83" w:name="_Toc5724"/>
      <w:r>
        <w:rPr>
          <w:rFonts w:hint="eastAsia" w:ascii="宋体" w:hAnsi="宋体" w:eastAsia="宋体" w:cs="宋体"/>
          <w:sz w:val="24"/>
          <w:szCs w:val="24"/>
        </w:rPr>
        <w:t>（九）澄清及变更</w:t>
      </w:r>
      <w:bookmarkEnd w:id="83"/>
    </w:p>
    <w:p w14:paraId="72B9DB62">
      <w:pPr>
        <w:pageBreakBefore w:val="0"/>
        <w:kinsoku/>
        <w:wordWrap/>
        <w:overflowPunct/>
        <w:topLinePunct w:val="0"/>
        <w:autoSpaceDE/>
        <w:autoSpaceDN/>
        <w:bidi w:val="0"/>
        <w:snapToGrid/>
        <w:spacing w:line="500" w:lineRule="exact"/>
        <w:ind w:firstLine="480" w:firstLineChars="200"/>
      </w:pPr>
      <w:r>
        <w:rPr>
          <w:rFonts w:hint="eastAsia" w:ascii="宋体" w:hAnsi="宋体"/>
          <w:sz w:val="24"/>
          <w:szCs w:val="24"/>
        </w:rPr>
        <w:t>磋商文件如有澄清及变更，将以网上公告形式发布，请供应商及时关注。</w:t>
      </w:r>
    </w:p>
    <w:p w14:paraId="24A60605">
      <w:pPr>
        <w:pStyle w:val="6"/>
        <w:pageBreakBefore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84" w:name="_Toc31130"/>
      <w:r>
        <w:rPr>
          <w:rFonts w:hint="eastAsia" w:ascii="宋体" w:hAnsi="宋体" w:eastAsia="宋体" w:cs="宋体"/>
          <w:sz w:val="24"/>
          <w:szCs w:val="24"/>
        </w:rPr>
        <w:t>（十）验收与支付</w:t>
      </w:r>
      <w:bookmarkEnd w:id="84"/>
    </w:p>
    <w:p w14:paraId="16A7E780">
      <w:pPr>
        <w:pageBreakBefore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14:paraId="05920237">
      <w:pPr>
        <w:pageBreakBefore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5E30ADF6">
      <w:pPr>
        <w:pageBreakBefore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04BB209E">
      <w:pPr>
        <w:pStyle w:val="2"/>
        <w:pageBreakBefore w:val="0"/>
        <w:kinsoku/>
        <w:wordWrap/>
        <w:overflowPunct/>
        <w:topLinePunct w:val="0"/>
        <w:autoSpaceDE/>
        <w:autoSpaceDN/>
        <w:bidi w:val="0"/>
        <w:snapToGrid/>
        <w:spacing w:line="500" w:lineRule="exact"/>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14:paraId="63D91738">
      <w:pPr>
        <w:pStyle w:val="6"/>
        <w:pageBreakBefore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85" w:name="_Toc6589"/>
      <w:r>
        <w:rPr>
          <w:rFonts w:hint="eastAsia" w:ascii="宋体" w:hAnsi="宋体" w:eastAsia="宋体" w:cs="宋体"/>
          <w:sz w:val="24"/>
          <w:szCs w:val="24"/>
        </w:rPr>
        <w:t>（十一）质疑</w:t>
      </w:r>
      <w:bookmarkEnd w:id="85"/>
    </w:p>
    <w:p w14:paraId="703C7062">
      <w:pPr>
        <w:pageBreakBefore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14:paraId="1F472E76">
      <w:pPr>
        <w:pageBreakBefore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 xml:space="preserve">2、质疑应在规定时限内提出： </w:t>
      </w:r>
    </w:p>
    <w:p w14:paraId="2CA058F5">
      <w:pPr>
        <w:pageBreakBefore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14:paraId="7B4B6ACA">
      <w:pPr>
        <w:pageBreakBefore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3、</w:t>
      </w:r>
      <w:r>
        <w:rPr>
          <w:rFonts w:hint="eastAsia" w:ascii="宋体" w:hAnsi="宋体"/>
          <w:bCs/>
          <w:color w:val="auto"/>
          <w:sz w:val="24"/>
        </w:rPr>
        <w:t>质疑材料应当包括以下内容：</w:t>
      </w:r>
    </w:p>
    <w:p w14:paraId="73A44016">
      <w:pPr>
        <w:pageBreakBefore w:val="0"/>
        <w:widowControl/>
        <w:kinsoku/>
        <w:wordWrap/>
        <w:overflowPunct/>
        <w:topLinePunct w:val="0"/>
        <w:autoSpaceDE/>
        <w:autoSpaceDN/>
        <w:bidi w:val="0"/>
        <w:snapToGrid/>
        <w:spacing w:line="500" w:lineRule="exact"/>
        <w:ind w:firstLine="480" w:firstLineChars="200"/>
        <w:jc w:val="left"/>
        <w:rPr>
          <w:rFonts w:ascii="宋体" w:hAnsi="宋体"/>
          <w:bCs/>
          <w:sz w:val="24"/>
        </w:rPr>
      </w:pPr>
      <w:r>
        <w:rPr>
          <w:rFonts w:hint="eastAsia" w:ascii="宋体" w:hAnsi="宋体"/>
          <w:bCs/>
          <w:sz w:val="24"/>
        </w:rPr>
        <w:t>3.1质疑人的名称、地址、有效联系方式；</w:t>
      </w:r>
    </w:p>
    <w:p w14:paraId="7051A4A0">
      <w:pPr>
        <w:pageBreakBefore w:val="0"/>
        <w:widowControl/>
        <w:kinsoku/>
        <w:wordWrap/>
        <w:overflowPunct/>
        <w:topLinePunct w:val="0"/>
        <w:autoSpaceDE/>
        <w:autoSpaceDN/>
        <w:bidi w:val="0"/>
        <w:snapToGrid/>
        <w:spacing w:line="500" w:lineRule="exact"/>
        <w:ind w:firstLine="480" w:firstLineChars="200"/>
        <w:jc w:val="left"/>
        <w:rPr>
          <w:rFonts w:ascii="宋体" w:hAnsi="宋体"/>
          <w:bCs/>
          <w:sz w:val="24"/>
        </w:rPr>
      </w:pPr>
      <w:r>
        <w:rPr>
          <w:rFonts w:hint="eastAsia" w:ascii="宋体" w:hAnsi="宋体"/>
          <w:bCs/>
          <w:sz w:val="24"/>
        </w:rPr>
        <w:t>3.2项目名称、项目编号、包别号（如有）；</w:t>
      </w:r>
    </w:p>
    <w:p w14:paraId="60BAF018">
      <w:pPr>
        <w:pageBreakBefore w:val="0"/>
        <w:widowControl/>
        <w:kinsoku/>
        <w:wordWrap/>
        <w:overflowPunct/>
        <w:topLinePunct w:val="0"/>
        <w:autoSpaceDE/>
        <w:autoSpaceDN/>
        <w:bidi w:val="0"/>
        <w:snapToGrid/>
        <w:spacing w:line="500" w:lineRule="exact"/>
        <w:ind w:firstLine="480" w:firstLineChars="200"/>
        <w:jc w:val="left"/>
        <w:rPr>
          <w:rFonts w:ascii="宋体" w:hAnsi="宋体"/>
          <w:bCs/>
          <w:sz w:val="24"/>
        </w:rPr>
      </w:pPr>
      <w:r>
        <w:rPr>
          <w:rFonts w:hint="eastAsia" w:ascii="宋体" w:hAnsi="宋体"/>
          <w:bCs/>
          <w:sz w:val="24"/>
        </w:rPr>
        <w:t>3.3被质疑人名称；</w:t>
      </w:r>
    </w:p>
    <w:p w14:paraId="0A77A096">
      <w:pPr>
        <w:pageBreakBefore w:val="0"/>
        <w:widowControl/>
        <w:kinsoku/>
        <w:wordWrap/>
        <w:overflowPunct/>
        <w:topLinePunct w:val="0"/>
        <w:autoSpaceDE/>
        <w:autoSpaceDN/>
        <w:bidi w:val="0"/>
        <w:snapToGrid/>
        <w:spacing w:line="50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14:paraId="407F3FE7">
      <w:pPr>
        <w:pageBreakBefore w:val="0"/>
        <w:widowControl/>
        <w:kinsoku/>
        <w:wordWrap/>
        <w:overflowPunct/>
        <w:topLinePunct w:val="0"/>
        <w:autoSpaceDE/>
        <w:autoSpaceDN/>
        <w:bidi w:val="0"/>
        <w:snapToGrid/>
        <w:spacing w:line="500" w:lineRule="exact"/>
        <w:ind w:firstLine="480" w:firstLineChars="200"/>
        <w:jc w:val="left"/>
        <w:rPr>
          <w:rFonts w:ascii="宋体" w:hAnsi="宋体"/>
          <w:bCs/>
          <w:sz w:val="24"/>
        </w:rPr>
      </w:pPr>
      <w:r>
        <w:rPr>
          <w:rFonts w:hint="eastAsia" w:ascii="宋体" w:hAnsi="宋体"/>
          <w:bCs/>
          <w:sz w:val="24"/>
        </w:rPr>
        <w:t>3.5明确的请求及主张；</w:t>
      </w:r>
    </w:p>
    <w:p w14:paraId="7ECF6CCB">
      <w:pPr>
        <w:pageBreakBefore w:val="0"/>
        <w:widowControl/>
        <w:kinsoku/>
        <w:wordWrap/>
        <w:overflowPunct/>
        <w:topLinePunct w:val="0"/>
        <w:autoSpaceDE/>
        <w:autoSpaceDN/>
        <w:bidi w:val="0"/>
        <w:snapToGrid/>
        <w:spacing w:line="500" w:lineRule="exact"/>
        <w:ind w:firstLine="480" w:firstLineChars="200"/>
        <w:jc w:val="left"/>
        <w:rPr>
          <w:rFonts w:ascii="宋体" w:hAnsi="宋体"/>
          <w:bCs/>
          <w:sz w:val="24"/>
        </w:rPr>
      </w:pPr>
      <w:r>
        <w:rPr>
          <w:rFonts w:hint="eastAsia" w:ascii="宋体" w:hAnsi="宋体"/>
          <w:bCs/>
          <w:sz w:val="24"/>
        </w:rPr>
        <w:t>3.6提起质疑的日期。</w:t>
      </w:r>
    </w:p>
    <w:p w14:paraId="1F5043D8">
      <w:pPr>
        <w:pageBreakBefore w:val="0"/>
        <w:widowControl/>
        <w:kinsoku/>
        <w:wordWrap/>
        <w:overflowPunct/>
        <w:topLinePunct w:val="0"/>
        <w:autoSpaceDE/>
        <w:autoSpaceDN/>
        <w:bidi w:val="0"/>
        <w:snapToGrid/>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11D4A003">
      <w:pPr>
        <w:pageBreakBefore w:val="0"/>
        <w:widowControl/>
        <w:kinsoku/>
        <w:wordWrap/>
        <w:overflowPunct/>
        <w:topLinePunct w:val="0"/>
        <w:autoSpaceDE/>
        <w:autoSpaceDN/>
        <w:bidi w:val="0"/>
        <w:snapToGrid/>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3CB73AC9">
      <w:pPr>
        <w:pageBreakBefore w:val="0"/>
        <w:kinsoku/>
        <w:wordWrap/>
        <w:overflowPunct/>
        <w:topLinePunct w:val="0"/>
        <w:autoSpaceDE/>
        <w:autoSpaceDN/>
        <w:bidi w:val="0"/>
        <w:snapToGrid/>
        <w:spacing w:line="50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095A359D">
      <w:pPr>
        <w:pageBreakBefore w:val="0"/>
        <w:widowControl/>
        <w:kinsoku/>
        <w:wordWrap/>
        <w:overflowPunct/>
        <w:topLinePunct w:val="0"/>
        <w:autoSpaceDE/>
        <w:autoSpaceDN/>
        <w:bidi w:val="0"/>
        <w:snapToGrid/>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48DF5818">
      <w:pPr>
        <w:pageBreakBefore w:val="0"/>
        <w:widowControl/>
        <w:kinsoku/>
        <w:wordWrap/>
        <w:overflowPunct/>
        <w:topLinePunct w:val="0"/>
        <w:autoSpaceDE/>
        <w:autoSpaceDN/>
        <w:bidi w:val="0"/>
        <w:snapToGrid/>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A5C23EF">
      <w:pPr>
        <w:pageBreakBefore w:val="0"/>
        <w:widowControl/>
        <w:kinsoku/>
        <w:wordWrap/>
        <w:overflowPunct/>
        <w:topLinePunct w:val="0"/>
        <w:autoSpaceDE/>
        <w:autoSpaceDN/>
        <w:bidi w:val="0"/>
        <w:snapToGrid/>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2AF649B2">
      <w:pPr>
        <w:pageBreakBefore w:val="0"/>
        <w:widowControl/>
        <w:kinsoku/>
        <w:wordWrap/>
        <w:overflowPunct/>
        <w:topLinePunct w:val="0"/>
        <w:autoSpaceDE/>
        <w:autoSpaceDN/>
        <w:bidi w:val="0"/>
        <w:snapToGrid/>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1D77C775">
      <w:pPr>
        <w:pageBreakBefore w:val="0"/>
        <w:widowControl/>
        <w:kinsoku/>
        <w:wordWrap/>
        <w:overflowPunct/>
        <w:topLinePunct w:val="0"/>
        <w:autoSpaceDE/>
        <w:autoSpaceDN/>
        <w:bidi w:val="0"/>
        <w:snapToGrid/>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2D0540DA">
      <w:pPr>
        <w:pageBreakBefore w:val="0"/>
        <w:widowControl/>
        <w:kinsoku/>
        <w:wordWrap/>
        <w:overflowPunct/>
        <w:topLinePunct w:val="0"/>
        <w:autoSpaceDE/>
        <w:autoSpaceDN/>
        <w:bidi w:val="0"/>
        <w:snapToGrid/>
        <w:spacing w:line="50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71603F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310B50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6BC1EA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14:paraId="6B9086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sz w:val="24"/>
        </w:rPr>
      </w:pPr>
      <w:r>
        <w:rPr>
          <w:rFonts w:hint="eastAsia" w:ascii="宋体" w:hAnsi="宋体"/>
          <w:bCs/>
          <w:sz w:val="24"/>
        </w:rPr>
        <w:t>质疑人应在答复期满后十五个工作日内提起投诉。</w:t>
      </w:r>
    </w:p>
    <w:p w14:paraId="237915BA">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86"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14:paraId="2FAF46BD">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14:paraId="098E30A3">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r>
        <w:rPr>
          <w:rFonts w:hint="eastAsia" w:ascii="宋体" w:hAnsi="宋体" w:cs="Times New Roman"/>
          <w:bCs/>
          <w:kern w:val="2"/>
          <w:sz w:val="24"/>
          <w:szCs w:val="24"/>
          <w:lang w:val="en-US" w:eastAsia="zh-CN" w:bidi="ar-SA"/>
        </w:rPr>
        <w:t>；</w:t>
      </w:r>
    </w:p>
    <w:p w14:paraId="505662FA">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r>
        <w:rPr>
          <w:rFonts w:hint="eastAsia" w:ascii="宋体" w:hAnsi="宋体" w:cs="Times New Roman"/>
          <w:bCs/>
          <w:kern w:val="2"/>
          <w:sz w:val="24"/>
          <w:szCs w:val="24"/>
          <w:lang w:val="en-US" w:eastAsia="zh-CN" w:bidi="ar-SA"/>
        </w:rPr>
        <w:t>；</w:t>
      </w:r>
    </w:p>
    <w:p w14:paraId="27E787B1">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sz w:val="28"/>
          <w:szCs w:val="28"/>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14:paraId="5E107D6D">
      <w:pPr>
        <w:pStyle w:val="6"/>
        <w:spacing w:before="0" w:after="0" w:line="560" w:lineRule="exact"/>
        <w:ind w:firstLine="3373" w:firstLineChars="1200"/>
        <w:jc w:val="both"/>
        <w:rPr>
          <w:rFonts w:hint="eastAsia" w:ascii="宋体" w:hAnsi="宋体" w:eastAsia="宋体" w:cs="宋体"/>
          <w:sz w:val="28"/>
          <w:szCs w:val="28"/>
        </w:rPr>
      </w:pPr>
      <w:bookmarkStart w:id="87" w:name="_Toc4017"/>
    </w:p>
    <w:p w14:paraId="64CBCCB4">
      <w:pPr>
        <w:pStyle w:val="6"/>
        <w:spacing w:before="0" w:after="0" w:line="560" w:lineRule="exact"/>
        <w:ind w:firstLine="3373" w:firstLineChars="1200"/>
        <w:jc w:val="both"/>
        <w:rPr>
          <w:rFonts w:hint="eastAsia" w:ascii="宋体" w:hAnsi="宋体" w:eastAsia="宋体" w:cs="宋体"/>
          <w:sz w:val="28"/>
          <w:szCs w:val="28"/>
        </w:rPr>
      </w:pPr>
    </w:p>
    <w:p w14:paraId="1327F6CF">
      <w:pPr>
        <w:pStyle w:val="6"/>
        <w:spacing w:before="0" w:after="0" w:line="560" w:lineRule="exact"/>
        <w:ind w:firstLine="3373" w:firstLineChars="1200"/>
        <w:jc w:val="both"/>
        <w:rPr>
          <w:rFonts w:ascii="宋体" w:hAnsi="宋体" w:eastAsia="宋体" w:cs="宋体"/>
          <w:sz w:val="28"/>
          <w:szCs w:val="28"/>
        </w:rPr>
      </w:pPr>
      <w:r>
        <w:rPr>
          <w:rFonts w:hint="eastAsia" w:ascii="宋体" w:hAnsi="宋体" w:eastAsia="宋体" w:cs="宋体"/>
          <w:sz w:val="28"/>
          <w:szCs w:val="28"/>
        </w:rPr>
        <w:t>二、采购合同</w:t>
      </w:r>
      <w:bookmarkEnd w:id="86"/>
      <w:bookmarkEnd w:id="87"/>
      <w:bookmarkStart w:id="88" w:name="_Toc363199273"/>
    </w:p>
    <w:p w14:paraId="064C4783">
      <w:pPr>
        <w:spacing w:line="253" w:lineRule="auto"/>
        <w:rPr>
          <w:rFonts w:hint="eastAsia"/>
          <w:sz w:val="24"/>
          <w:szCs w:val="22"/>
        </w:rPr>
      </w:pPr>
      <w:r>
        <w:rPr>
          <w:rFonts w:hint="eastAsia"/>
          <w:sz w:val="24"/>
          <w:szCs w:val="22"/>
        </w:rPr>
        <w:t>（格式由采购人及</w:t>
      </w:r>
      <w:r>
        <w:rPr>
          <w:rFonts w:hint="eastAsia"/>
          <w:sz w:val="24"/>
          <w:szCs w:val="22"/>
          <w:lang w:val="en-US" w:eastAsia="zh-CN"/>
        </w:rPr>
        <w:t>成交</w:t>
      </w:r>
      <w:r>
        <w:rPr>
          <w:rFonts w:hint="eastAsia"/>
          <w:sz w:val="24"/>
          <w:szCs w:val="22"/>
        </w:rPr>
        <w:t>供应商按规定自行拟定，但不得违背磋商文件实质性规定）</w:t>
      </w:r>
    </w:p>
    <w:p w14:paraId="524CFDE2">
      <w:pPr>
        <w:pStyle w:val="13"/>
        <w:rPr>
          <w:rFonts w:hint="eastAsia"/>
          <w:sz w:val="24"/>
          <w:szCs w:val="22"/>
        </w:rPr>
      </w:pPr>
    </w:p>
    <w:p w14:paraId="134ECF0F">
      <w:pPr>
        <w:pStyle w:val="3"/>
        <w:rPr>
          <w:rFonts w:hint="eastAsia"/>
          <w:sz w:val="24"/>
          <w:szCs w:val="22"/>
        </w:rPr>
      </w:pPr>
    </w:p>
    <w:p w14:paraId="76D330D2">
      <w:pPr>
        <w:pStyle w:val="4"/>
      </w:pPr>
    </w:p>
    <w:p w14:paraId="7CF63D35">
      <w:pPr>
        <w:pStyle w:val="4"/>
      </w:pPr>
    </w:p>
    <w:p w14:paraId="18FAE278">
      <w:pPr>
        <w:pStyle w:val="4"/>
      </w:pPr>
    </w:p>
    <w:p w14:paraId="04367001">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560" w:lineRule="exact"/>
        <w:jc w:val="center"/>
        <w:textAlignment w:val="baseline"/>
        <w:rPr>
          <w:rFonts w:ascii="宋体" w:hAnsi="宋体" w:eastAsia="宋体" w:cs="宋体"/>
          <w:sz w:val="28"/>
          <w:szCs w:val="28"/>
          <w:highlight w:val="none"/>
        </w:rPr>
      </w:pPr>
      <w:bookmarkStart w:id="89" w:name="_Toc20210"/>
      <w:r>
        <w:rPr>
          <w:rFonts w:hint="eastAsia" w:ascii="宋体" w:hAnsi="宋体" w:eastAsia="宋体" w:cs="宋体"/>
          <w:b/>
          <w:kern w:val="0"/>
          <w:sz w:val="28"/>
          <w:szCs w:val="28"/>
          <w:highlight w:val="none"/>
          <w:lang w:val="en-US" w:eastAsia="zh-CN" w:bidi="ar-SA"/>
        </w:rPr>
        <w:t>三、</w:t>
      </w:r>
      <w:r>
        <w:rPr>
          <w:rFonts w:hint="eastAsia" w:ascii="宋体" w:hAnsi="宋体" w:eastAsia="宋体" w:cs="宋体"/>
          <w:sz w:val="28"/>
          <w:szCs w:val="28"/>
          <w:highlight w:val="none"/>
        </w:rPr>
        <w:t>采购需求</w:t>
      </w:r>
      <w:bookmarkEnd w:id="89"/>
    </w:p>
    <w:p w14:paraId="159CE62D">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textAlignment w:val="auto"/>
        <w:rPr>
          <w:rFonts w:hint="eastAsia" w:ascii="宋体" w:hAnsi="宋体"/>
          <w:bCs/>
          <w:sz w:val="24"/>
        </w:rPr>
      </w:pPr>
      <w:r>
        <w:rPr>
          <w:rFonts w:hint="eastAsia" w:ascii="宋体" w:hAnsi="宋体" w:eastAsia="宋体" w:cs="Times New Roman"/>
          <w:bCs/>
          <w:kern w:val="2"/>
          <w:sz w:val="24"/>
          <w:szCs w:val="20"/>
          <w:lang w:val="en-US" w:eastAsia="zh-CN" w:bidi="ar-SA"/>
        </w:rPr>
        <w:t>一、</w:t>
      </w:r>
      <w:r>
        <w:rPr>
          <w:rFonts w:hint="eastAsia" w:ascii="宋体" w:hAnsi="宋体"/>
          <w:bCs/>
          <w:sz w:val="24"/>
          <w:lang w:val="en-US" w:eastAsia="zh-CN"/>
        </w:rPr>
        <w:t>项目概况</w:t>
      </w:r>
      <w:r>
        <w:rPr>
          <w:rFonts w:hint="eastAsia" w:ascii="宋体" w:hAnsi="宋体"/>
          <w:bCs/>
          <w:sz w:val="24"/>
        </w:rPr>
        <w:t>：本</w:t>
      </w:r>
      <w:r>
        <w:rPr>
          <w:rFonts w:hint="eastAsia" w:ascii="宋体" w:hAnsi="宋体"/>
          <w:bCs/>
          <w:sz w:val="24"/>
          <w:lang w:val="en-US" w:eastAsia="zh-CN"/>
        </w:rPr>
        <w:t>项目为</w:t>
      </w:r>
      <w:r>
        <w:rPr>
          <w:rFonts w:hint="eastAsia" w:ascii="宋体" w:hAnsi="宋体"/>
          <w:bCs/>
          <w:sz w:val="24"/>
          <w:lang w:eastAsia="zh-CN"/>
        </w:rPr>
        <w:t>满路桥村农产品精加工项目</w:t>
      </w:r>
      <w:r>
        <w:rPr>
          <w:rFonts w:hint="eastAsia" w:ascii="宋体" w:hAnsi="宋体"/>
          <w:bCs/>
          <w:sz w:val="24"/>
          <w:lang w:val="en-US" w:eastAsia="zh-CN"/>
        </w:rPr>
        <w:t>中关于电梯暂估价的采购，</w:t>
      </w:r>
      <w:r>
        <w:rPr>
          <w:rFonts w:hint="eastAsia" w:ascii="宋体" w:hAnsi="宋体"/>
          <w:bCs/>
          <w:sz w:val="24"/>
          <w:lang w:eastAsia="zh-CN"/>
        </w:rPr>
        <w:t>4#、5#厂房和综合楼电梯采购，</w:t>
      </w:r>
      <w:r>
        <w:rPr>
          <w:rFonts w:hint="eastAsia" w:ascii="宋体" w:hAnsi="宋体"/>
          <w:bCs/>
          <w:sz w:val="24"/>
        </w:rPr>
        <w:t>主要包括</w:t>
      </w:r>
      <w:r>
        <w:rPr>
          <w:rFonts w:hint="eastAsia" w:ascii="宋体" w:hAnsi="宋体"/>
          <w:bCs/>
          <w:sz w:val="24"/>
          <w:lang w:val="en-US" w:eastAsia="zh-CN"/>
        </w:rPr>
        <w:t>安装货梯2台</w:t>
      </w:r>
      <w:r>
        <w:rPr>
          <w:rFonts w:hint="eastAsia" w:ascii="宋体" w:hAnsi="宋体"/>
          <w:bCs/>
          <w:sz w:val="24"/>
          <w:lang w:eastAsia="zh-CN"/>
        </w:rPr>
        <w:t>、</w:t>
      </w:r>
      <w:r>
        <w:rPr>
          <w:rFonts w:hint="eastAsia" w:ascii="宋体" w:hAnsi="宋体"/>
          <w:bCs/>
          <w:sz w:val="24"/>
          <w:lang w:val="en-US" w:eastAsia="zh-CN"/>
        </w:rPr>
        <w:t>客梯1台，</w:t>
      </w:r>
      <w:r>
        <w:rPr>
          <w:rFonts w:hint="eastAsia" w:ascii="宋体" w:hAnsi="宋体"/>
          <w:bCs/>
          <w:sz w:val="24"/>
        </w:rPr>
        <w:t>具体</w:t>
      </w:r>
      <w:r>
        <w:rPr>
          <w:rFonts w:hint="eastAsia" w:ascii="宋体" w:hAnsi="宋体"/>
          <w:bCs/>
          <w:sz w:val="24"/>
          <w:lang w:val="en-US" w:eastAsia="zh-CN"/>
        </w:rPr>
        <w:t>详见施工图纸内容</w:t>
      </w:r>
      <w:r>
        <w:rPr>
          <w:rFonts w:hint="eastAsia" w:ascii="宋体" w:hAnsi="宋体"/>
          <w:bCs/>
          <w:sz w:val="24"/>
        </w:rPr>
        <w:t>。</w:t>
      </w:r>
    </w:p>
    <w:p w14:paraId="5CABA348">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textAlignment w:val="auto"/>
      </w:pPr>
      <w:r>
        <w:rPr>
          <w:rFonts w:hint="eastAsia" w:ascii="宋体" w:hAnsi="宋体"/>
          <w:bCs/>
          <w:sz w:val="24"/>
          <w:lang w:val="en-US" w:eastAsia="zh-CN"/>
        </w:rPr>
        <w:t>二、电梯供货及安装一览表（具体详见附件施工图纸）</w:t>
      </w:r>
    </w:p>
    <w:tbl>
      <w:tblPr>
        <w:tblStyle w:val="97"/>
        <w:tblW w:w="9914" w:type="dxa"/>
        <w:tblInd w:w="-4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791"/>
        <w:gridCol w:w="996"/>
        <w:gridCol w:w="1091"/>
        <w:gridCol w:w="722"/>
        <w:gridCol w:w="1146"/>
        <w:gridCol w:w="3914"/>
      </w:tblGrid>
      <w:tr w14:paraId="6BECF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54" w:type="dxa"/>
            <w:vAlign w:val="center"/>
          </w:tcPr>
          <w:p w14:paraId="16999EC9">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名称</w:t>
            </w:r>
          </w:p>
        </w:tc>
        <w:tc>
          <w:tcPr>
            <w:tcW w:w="791" w:type="dxa"/>
            <w:vAlign w:val="center"/>
          </w:tcPr>
          <w:p w14:paraId="3576F66D">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数量（台）</w:t>
            </w:r>
          </w:p>
        </w:tc>
        <w:tc>
          <w:tcPr>
            <w:tcW w:w="996" w:type="dxa"/>
            <w:vAlign w:val="center"/>
          </w:tcPr>
          <w:p w14:paraId="596B24C4">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载重量（Kg）</w:t>
            </w:r>
          </w:p>
        </w:tc>
        <w:tc>
          <w:tcPr>
            <w:tcW w:w="1091" w:type="dxa"/>
            <w:vAlign w:val="center"/>
          </w:tcPr>
          <w:p w14:paraId="425835E6">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额定速度（m/s）</w:t>
            </w:r>
          </w:p>
        </w:tc>
        <w:tc>
          <w:tcPr>
            <w:tcW w:w="722" w:type="dxa"/>
            <w:vAlign w:val="center"/>
          </w:tcPr>
          <w:p w14:paraId="40AB45B2">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停站数</w:t>
            </w:r>
          </w:p>
        </w:tc>
        <w:tc>
          <w:tcPr>
            <w:tcW w:w="1146" w:type="dxa"/>
            <w:vAlign w:val="center"/>
          </w:tcPr>
          <w:p w14:paraId="4DE094CB">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轿厢尺寸（mm）</w:t>
            </w:r>
          </w:p>
        </w:tc>
        <w:tc>
          <w:tcPr>
            <w:tcW w:w="3914" w:type="dxa"/>
            <w:vAlign w:val="center"/>
          </w:tcPr>
          <w:p w14:paraId="67BF4EAE">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宋体" w:hAnsi="宋体"/>
                <w:bCs/>
                <w:sz w:val="24"/>
                <w:lang w:val="en-US" w:eastAsia="zh-CN"/>
              </w:rPr>
            </w:pPr>
            <w:r>
              <w:rPr>
                <w:rFonts w:hint="eastAsia" w:ascii="宋体" w:hAnsi="宋体"/>
                <w:bCs/>
                <w:sz w:val="24"/>
                <w:lang w:val="en-US" w:eastAsia="zh-CN"/>
              </w:rPr>
              <w:t>其他要求</w:t>
            </w:r>
          </w:p>
        </w:tc>
      </w:tr>
      <w:tr w14:paraId="0167A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1254" w:type="dxa"/>
            <w:vAlign w:val="center"/>
          </w:tcPr>
          <w:p w14:paraId="309D5806">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rPr>
              <w:t>4#</w:t>
            </w:r>
            <w:r>
              <w:rPr>
                <w:rFonts w:hint="eastAsia" w:ascii="宋体" w:hAnsi="宋体"/>
                <w:bCs/>
                <w:sz w:val="24"/>
                <w:lang w:val="en-US" w:eastAsia="zh-CN"/>
              </w:rPr>
              <w:t>厂房货梯</w:t>
            </w:r>
          </w:p>
        </w:tc>
        <w:tc>
          <w:tcPr>
            <w:tcW w:w="791" w:type="dxa"/>
            <w:vAlign w:val="center"/>
          </w:tcPr>
          <w:p w14:paraId="6E34962B">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1</w:t>
            </w:r>
          </w:p>
        </w:tc>
        <w:tc>
          <w:tcPr>
            <w:tcW w:w="996" w:type="dxa"/>
            <w:vAlign w:val="center"/>
          </w:tcPr>
          <w:p w14:paraId="1240F679">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5000kg</w:t>
            </w:r>
          </w:p>
        </w:tc>
        <w:tc>
          <w:tcPr>
            <w:tcW w:w="1091" w:type="dxa"/>
            <w:vAlign w:val="center"/>
          </w:tcPr>
          <w:p w14:paraId="7B246364">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宋体" w:hAnsi="宋体"/>
                <w:bCs/>
                <w:sz w:val="24"/>
                <w:lang w:val="en-US" w:eastAsia="zh-CN"/>
              </w:rPr>
            </w:pPr>
            <w:r>
              <w:rPr>
                <w:rFonts w:hint="eastAsia" w:ascii="宋体" w:hAnsi="宋体"/>
                <w:bCs/>
                <w:sz w:val="24"/>
                <w:lang w:val="en-US" w:eastAsia="zh-CN"/>
              </w:rPr>
              <w:t>0.5</w:t>
            </w:r>
          </w:p>
        </w:tc>
        <w:tc>
          <w:tcPr>
            <w:tcW w:w="722" w:type="dxa"/>
            <w:vAlign w:val="center"/>
          </w:tcPr>
          <w:p w14:paraId="29E53A99">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4</w:t>
            </w:r>
          </w:p>
        </w:tc>
        <w:tc>
          <w:tcPr>
            <w:tcW w:w="1146" w:type="dxa"/>
            <w:vAlign w:val="center"/>
          </w:tcPr>
          <w:p w14:paraId="57E5302B">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宋体" w:hAnsi="宋体"/>
                <w:bCs/>
                <w:sz w:val="24"/>
                <w:lang w:val="en-US" w:eastAsia="zh-CN"/>
              </w:rPr>
            </w:pPr>
            <w:r>
              <w:rPr>
                <w:rFonts w:hint="eastAsia" w:ascii="宋体" w:hAnsi="宋体"/>
                <w:bCs/>
                <w:sz w:val="24"/>
                <w:lang w:val="en-US" w:eastAsia="zh-CN"/>
              </w:rPr>
              <w:t>2500*3500*高2500</w:t>
            </w:r>
          </w:p>
        </w:tc>
        <w:tc>
          <w:tcPr>
            <w:tcW w:w="3914" w:type="dxa"/>
            <w:vMerge w:val="restart"/>
            <w:vAlign w:val="center"/>
          </w:tcPr>
          <w:p w14:paraId="4CAE8E6C">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eastAsia" w:ascii="宋体" w:hAnsi="宋体"/>
                <w:bCs/>
                <w:sz w:val="24"/>
                <w:lang w:val="en-US" w:eastAsia="zh-CN"/>
              </w:rPr>
            </w:pPr>
            <w:r>
              <w:rPr>
                <w:rFonts w:hint="eastAsia" w:ascii="宋体" w:hAnsi="宋体"/>
                <w:bCs/>
                <w:sz w:val="24"/>
                <w:lang w:val="en-US" w:eastAsia="zh-CN"/>
              </w:rPr>
              <w:t>1、5T货用电梯选型参考AFE200载货电梯</w:t>
            </w:r>
          </w:p>
          <w:p w14:paraId="7EECEBA6">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eastAsia" w:ascii="宋体" w:hAnsi="宋体"/>
                <w:bCs/>
                <w:sz w:val="24"/>
                <w:lang w:val="en-US" w:eastAsia="zh-CN"/>
              </w:rPr>
            </w:pPr>
            <w:r>
              <w:rPr>
                <w:rFonts w:hint="eastAsia" w:ascii="宋体" w:hAnsi="宋体"/>
                <w:bCs/>
                <w:sz w:val="24"/>
                <w:lang w:val="en-US" w:eastAsia="zh-CN"/>
              </w:rPr>
              <w:t>2、电梯选用国标13J404,电梯层门的耐火极限不应低于2.0h,完整性、隔热性要求应满足规范GB55037-2022第6.3.1条</w:t>
            </w:r>
          </w:p>
          <w:p w14:paraId="5B233A7A">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eastAsia" w:ascii="宋体" w:hAnsi="宋体"/>
                <w:bCs/>
                <w:sz w:val="24"/>
                <w:lang w:val="en-US" w:eastAsia="zh-CN"/>
              </w:rPr>
            </w:pPr>
            <w:r>
              <w:rPr>
                <w:rFonts w:hint="eastAsia" w:ascii="宋体" w:hAnsi="宋体"/>
                <w:bCs/>
                <w:sz w:val="24"/>
                <w:lang w:val="en-US" w:eastAsia="zh-CN"/>
              </w:rPr>
              <w:t>3、电梯选用国标13J404第14页,额定载重量5000KG,额定速度0.5m/s</w:t>
            </w:r>
          </w:p>
          <w:p w14:paraId="29347158">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default" w:ascii="宋体" w:hAnsi="宋体"/>
                <w:bCs/>
                <w:sz w:val="24"/>
                <w:lang w:val="en-US" w:eastAsia="zh-CN"/>
              </w:rPr>
            </w:pPr>
            <w:r>
              <w:rPr>
                <w:rFonts w:hint="eastAsia" w:ascii="宋体" w:hAnsi="宋体"/>
                <w:bCs/>
                <w:sz w:val="24"/>
                <w:lang w:val="en-US" w:eastAsia="zh-CN"/>
              </w:rPr>
              <w:t>4、含电梯采购（含税）及安装费，监控、五方对讲、空调、门套等，符合业主使用和通过消防验收。</w:t>
            </w:r>
          </w:p>
        </w:tc>
      </w:tr>
      <w:tr w14:paraId="18BB9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1254" w:type="dxa"/>
            <w:vAlign w:val="center"/>
          </w:tcPr>
          <w:p w14:paraId="1C7DC4F9">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rPr>
            </w:pPr>
            <w:r>
              <w:rPr>
                <w:rFonts w:hint="eastAsia" w:ascii="宋体" w:hAnsi="宋体"/>
                <w:bCs/>
                <w:sz w:val="24"/>
              </w:rPr>
              <w:t>5#</w:t>
            </w:r>
            <w:r>
              <w:rPr>
                <w:rFonts w:hint="eastAsia" w:ascii="宋体" w:hAnsi="宋体"/>
                <w:bCs/>
                <w:sz w:val="24"/>
                <w:lang w:val="en-US" w:eastAsia="zh-CN"/>
              </w:rPr>
              <w:t>厂房货梯</w:t>
            </w:r>
          </w:p>
        </w:tc>
        <w:tc>
          <w:tcPr>
            <w:tcW w:w="791" w:type="dxa"/>
            <w:vAlign w:val="center"/>
          </w:tcPr>
          <w:p w14:paraId="5CE07397">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宋体" w:hAnsi="宋体"/>
                <w:bCs/>
                <w:sz w:val="24"/>
                <w:lang w:val="en-US" w:eastAsia="zh-CN"/>
              </w:rPr>
            </w:pPr>
            <w:r>
              <w:rPr>
                <w:rFonts w:hint="eastAsia" w:ascii="宋体" w:hAnsi="宋体"/>
                <w:bCs/>
                <w:sz w:val="24"/>
                <w:lang w:val="en-US" w:eastAsia="zh-CN"/>
              </w:rPr>
              <w:t>1</w:t>
            </w:r>
          </w:p>
        </w:tc>
        <w:tc>
          <w:tcPr>
            <w:tcW w:w="996" w:type="dxa"/>
            <w:vAlign w:val="center"/>
          </w:tcPr>
          <w:p w14:paraId="2E4DA9F2">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5000kg</w:t>
            </w:r>
          </w:p>
        </w:tc>
        <w:tc>
          <w:tcPr>
            <w:tcW w:w="1091" w:type="dxa"/>
            <w:vAlign w:val="center"/>
          </w:tcPr>
          <w:p w14:paraId="3B92D0B0">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宋体" w:hAnsi="宋体"/>
                <w:bCs/>
                <w:sz w:val="24"/>
                <w:lang w:val="en-US" w:eastAsia="zh-CN"/>
              </w:rPr>
            </w:pPr>
            <w:r>
              <w:rPr>
                <w:rFonts w:hint="eastAsia" w:ascii="宋体" w:hAnsi="宋体"/>
                <w:bCs/>
                <w:sz w:val="24"/>
                <w:lang w:val="en-US" w:eastAsia="zh-CN"/>
              </w:rPr>
              <w:t>0.5</w:t>
            </w:r>
          </w:p>
        </w:tc>
        <w:tc>
          <w:tcPr>
            <w:tcW w:w="722" w:type="dxa"/>
            <w:vAlign w:val="center"/>
          </w:tcPr>
          <w:p w14:paraId="54A1B4C6">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宋体" w:hAnsi="宋体"/>
                <w:bCs/>
                <w:sz w:val="24"/>
                <w:lang w:val="en-US" w:eastAsia="zh-CN"/>
              </w:rPr>
            </w:pPr>
            <w:r>
              <w:rPr>
                <w:rFonts w:hint="eastAsia" w:ascii="宋体" w:hAnsi="宋体"/>
                <w:bCs/>
                <w:sz w:val="24"/>
                <w:lang w:val="en-US" w:eastAsia="zh-CN"/>
              </w:rPr>
              <w:t>4</w:t>
            </w:r>
          </w:p>
        </w:tc>
        <w:tc>
          <w:tcPr>
            <w:tcW w:w="1146" w:type="dxa"/>
            <w:vAlign w:val="center"/>
          </w:tcPr>
          <w:p w14:paraId="521E0219">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2500*3500*高2500</w:t>
            </w:r>
          </w:p>
        </w:tc>
        <w:tc>
          <w:tcPr>
            <w:tcW w:w="3914" w:type="dxa"/>
            <w:vMerge w:val="continue"/>
            <w:vAlign w:val="center"/>
          </w:tcPr>
          <w:p w14:paraId="06D0BAA9">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center"/>
              <w:textAlignment w:val="auto"/>
              <w:rPr>
                <w:rFonts w:hint="eastAsia" w:ascii="宋体" w:hAnsi="宋体"/>
                <w:bCs/>
                <w:sz w:val="24"/>
                <w:lang w:val="en-US" w:eastAsia="zh-CN"/>
              </w:rPr>
            </w:pPr>
          </w:p>
        </w:tc>
      </w:tr>
      <w:tr w14:paraId="7562E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1254" w:type="dxa"/>
            <w:vAlign w:val="center"/>
          </w:tcPr>
          <w:p w14:paraId="5555D2F6">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bCs/>
                <w:sz w:val="24"/>
              </w:rPr>
              <w:t>综合楼</w:t>
            </w:r>
            <w:r>
              <w:rPr>
                <w:rFonts w:hint="eastAsia" w:ascii="宋体" w:hAnsi="宋体"/>
                <w:bCs/>
                <w:sz w:val="24"/>
                <w:lang w:val="en-US" w:eastAsia="zh-CN"/>
              </w:rPr>
              <w:t>客梯</w:t>
            </w:r>
          </w:p>
        </w:tc>
        <w:tc>
          <w:tcPr>
            <w:tcW w:w="791" w:type="dxa"/>
            <w:vAlign w:val="center"/>
          </w:tcPr>
          <w:p w14:paraId="5E4D598D">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宋体" w:hAnsi="宋体"/>
                <w:bCs/>
                <w:sz w:val="24"/>
                <w:lang w:val="en-US" w:eastAsia="zh-CN"/>
              </w:rPr>
            </w:pPr>
            <w:r>
              <w:rPr>
                <w:rFonts w:hint="eastAsia" w:ascii="宋体" w:hAnsi="宋体"/>
                <w:bCs/>
                <w:sz w:val="24"/>
                <w:lang w:val="en-US" w:eastAsia="zh-CN"/>
              </w:rPr>
              <w:t>1</w:t>
            </w:r>
          </w:p>
        </w:tc>
        <w:tc>
          <w:tcPr>
            <w:tcW w:w="996" w:type="dxa"/>
            <w:vAlign w:val="center"/>
          </w:tcPr>
          <w:p w14:paraId="5CC599D9">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1000kg</w:t>
            </w:r>
          </w:p>
        </w:tc>
        <w:tc>
          <w:tcPr>
            <w:tcW w:w="1091" w:type="dxa"/>
            <w:vAlign w:val="center"/>
          </w:tcPr>
          <w:p w14:paraId="08F108B2">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1.5</w:t>
            </w:r>
          </w:p>
        </w:tc>
        <w:tc>
          <w:tcPr>
            <w:tcW w:w="722" w:type="dxa"/>
            <w:vAlign w:val="center"/>
          </w:tcPr>
          <w:p w14:paraId="5DE3E065">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宋体" w:hAnsi="宋体"/>
                <w:bCs/>
                <w:sz w:val="24"/>
                <w:lang w:val="en-US" w:eastAsia="zh-CN"/>
              </w:rPr>
            </w:pPr>
            <w:r>
              <w:rPr>
                <w:rFonts w:hint="eastAsia" w:ascii="宋体" w:hAnsi="宋体"/>
                <w:bCs/>
                <w:sz w:val="24"/>
                <w:lang w:val="en-US" w:eastAsia="zh-CN"/>
              </w:rPr>
              <w:t>5</w:t>
            </w:r>
          </w:p>
        </w:tc>
        <w:tc>
          <w:tcPr>
            <w:tcW w:w="1146" w:type="dxa"/>
            <w:vAlign w:val="center"/>
          </w:tcPr>
          <w:p w14:paraId="43BA8D40">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bCs/>
                <w:sz w:val="24"/>
                <w:lang w:val="en-US" w:eastAsia="zh-CN"/>
              </w:rPr>
            </w:pPr>
            <w:r>
              <w:rPr>
                <w:rFonts w:hint="eastAsia" w:ascii="宋体" w:hAnsi="宋体"/>
                <w:bCs/>
                <w:sz w:val="24"/>
                <w:lang w:val="en-US" w:eastAsia="zh-CN"/>
              </w:rPr>
              <w:t>1600*1400*高2300</w:t>
            </w:r>
          </w:p>
        </w:tc>
        <w:tc>
          <w:tcPr>
            <w:tcW w:w="3914" w:type="dxa"/>
            <w:vAlign w:val="center"/>
          </w:tcPr>
          <w:p w14:paraId="65C8912D">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eastAsia" w:ascii="宋体" w:hAnsi="宋体"/>
                <w:bCs/>
                <w:sz w:val="24"/>
                <w:lang w:val="en-US" w:eastAsia="zh-CN"/>
              </w:rPr>
            </w:pPr>
            <w:r>
              <w:rPr>
                <w:rFonts w:hint="eastAsia" w:ascii="宋体" w:hAnsi="宋体"/>
                <w:bCs/>
                <w:sz w:val="24"/>
                <w:lang w:val="en-US" w:eastAsia="zh-CN"/>
              </w:rPr>
              <w:t>1、电梯选用国标13J404,电梯层门的耐火极限不应低于2.0h,完整性、隔热性要求应满足规范GB55037-2022第6.3.1条;</w:t>
            </w:r>
          </w:p>
          <w:p w14:paraId="2F3B6BEF">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eastAsia" w:ascii="宋体" w:hAnsi="宋体"/>
                <w:bCs/>
                <w:sz w:val="24"/>
                <w:lang w:val="en-US" w:eastAsia="zh-CN"/>
              </w:rPr>
            </w:pPr>
            <w:r>
              <w:rPr>
                <w:rFonts w:hint="eastAsia" w:ascii="宋体" w:hAnsi="宋体"/>
                <w:bCs/>
                <w:sz w:val="24"/>
                <w:lang w:val="en-US" w:eastAsia="zh-CN"/>
              </w:rPr>
              <w:t>2、电梯选用国标13J404第10页,额定载重量1000KG,额定速度1.5m/s</w:t>
            </w:r>
          </w:p>
          <w:p w14:paraId="34A245E8">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default" w:ascii="宋体" w:hAnsi="宋体"/>
                <w:bCs/>
                <w:sz w:val="24"/>
                <w:lang w:val="en-US" w:eastAsia="zh-CN"/>
              </w:rPr>
            </w:pPr>
            <w:r>
              <w:rPr>
                <w:rFonts w:hint="eastAsia" w:ascii="宋体" w:hAnsi="宋体"/>
                <w:bCs/>
                <w:sz w:val="24"/>
                <w:lang w:val="en-US" w:eastAsia="zh-CN"/>
              </w:rPr>
              <w:t>3、含电梯采购（含税）及安装费，监控、五方对讲、空调、门套等，符合业主使用和通过消防验收。</w:t>
            </w:r>
          </w:p>
        </w:tc>
      </w:tr>
    </w:tbl>
    <w:p w14:paraId="3A271341">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三、电梯配置、轿厢装饰及厅门装饰</w:t>
      </w:r>
    </w:p>
    <w:tbl>
      <w:tblPr>
        <w:tblStyle w:val="97"/>
        <w:tblW w:w="9502"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9"/>
        <w:gridCol w:w="7573"/>
      </w:tblGrid>
      <w:tr w14:paraId="6CA5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29" w:type="dxa"/>
            <w:tcBorders>
              <w:top w:val="single" w:color="000000" w:sz="10" w:space="0"/>
              <w:left w:val="single" w:color="000000" w:sz="10" w:space="0"/>
              <w:bottom w:val="single" w:color="000000" w:sz="2" w:space="0"/>
              <w:right w:val="single" w:color="000000" w:sz="2" w:space="0"/>
            </w:tcBorders>
            <w:vAlign w:val="top"/>
          </w:tcPr>
          <w:p w14:paraId="011637D4">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主机</w:t>
            </w:r>
          </w:p>
        </w:tc>
        <w:tc>
          <w:tcPr>
            <w:tcW w:w="7573" w:type="dxa"/>
            <w:tcBorders>
              <w:top w:val="single" w:color="000000" w:sz="10" w:space="0"/>
              <w:left w:val="single" w:color="000000" w:sz="2" w:space="0"/>
              <w:bottom w:val="single" w:color="000000" w:sz="2" w:space="0"/>
              <w:right w:val="single" w:color="000000" w:sz="10" w:space="0"/>
            </w:tcBorders>
            <w:vAlign w:val="top"/>
          </w:tcPr>
          <w:p w14:paraId="7AB13E9A">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原厂原品牌</w:t>
            </w:r>
            <w:r>
              <w:rPr>
                <w:rFonts w:hint="eastAsia" w:ascii="宋体" w:hAnsi="宋体"/>
                <w:bCs/>
                <w:sz w:val="24"/>
                <w:lang w:val="en-US" w:eastAsia="zh-CN"/>
              </w:rPr>
              <w:t>（一线知名品牌）</w:t>
            </w:r>
          </w:p>
        </w:tc>
      </w:tr>
      <w:tr w14:paraId="7911A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29" w:type="dxa"/>
            <w:tcBorders>
              <w:top w:val="single" w:color="000000" w:sz="10" w:space="0"/>
              <w:left w:val="single" w:color="000000" w:sz="10" w:space="0"/>
              <w:bottom w:val="single" w:color="000000" w:sz="2" w:space="0"/>
              <w:right w:val="single" w:color="000000" w:sz="2" w:space="0"/>
            </w:tcBorders>
            <w:vAlign w:val="top"/>
          </w:tcPr>
          <w:p w14:paraId="3CFABC9E">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控制柜</w:t>
            </w:r>
          </w:p>
        </w:tc>
        <w:tc>
          <w:tcPr>
            <w:tcW w:w="7573" w:type="dxa"/>
            <w:tcBorders>
              <w:top w:val="single" w:color="000000" w:sz="10" w:space="0"/>
              <w:left w:val="single" w:color="000000" w:sz="2" w:space="0"/>
              <w:bottom w:val="single" w:color="000000" w:sz="2" w:space="0"/>
              <w:right w:val="single" w:color="000000" w:sz="10" w:space="0"/>
            </w:tcBorders>
            <w:vAlign w:val="top"/>
          </w:tcPr>
          <w:p w14:paraId="713B283B">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原厂原品牌</w:t>
            </w:r>
            <w:r>
              <w:rPr>
                <w:rFonts w:hint="eastAsia" w:ascii="宋体" w:hAnsi="宋体"/>
                <w:bCs/>
                <w:sz w:val="24"/>
                <w:lang w:val="en-US" w:eastAsia="zh-CN"/>
              </w:rPr>
              <w:t>（一线知名品牌）</w:t>
            </w:r>
          </w:p>
        </w:tc>
      </w:tr>
      <w:tr w14:paraId="524C5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929" w:type="dxa"/>
            <w:tcBorders>
              <w:top w:val="single" w:color="000000" w:sz="2" w:space="0"/>
              <w:left w:val="single" w:color="000000" w:sz="10" w:space="0"/>
              <w:bottom w:val="single" w:color="000000" w:sz="2" w:space="0"/>
              <w:right w:val="single" w:color="000000" w:sz="2" w:space="0"/>
            </w:tcBorders>
            <w:vAlign w:val="top"/>
          </w:tcPr>
          <w:p w14:paraId="3C431FC0">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门机/门锁</w:t>
            </w:r>
          </w:p>
        </w:tc>
        <w:tc>
          <w:tcPr>
            <w:tcW w:w="7573" w:type="dxa"/>
            <w:tcBorders>
              <w:top w:val="single" w:color="000000" w:sz="2" w:space="0"/>
              <w:left w:val="single" w:color="000000" w:sz="2" w:space="0"/>
              <w:bottom w:val="single" w:color="000000" w:sz="2" w:space="0"/>
              <w:right w:val="single" w:color="000000" w:sz="10" w:space="0"/>
            </w:tcBorders>
            <w:vAlign w:val="top"/>
          </w:tcPr>
          <w:p w14:paraId="31CB755D">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原厂原品牌</w:t>
            </w:r>
            <w:r>
              <w:rPr>
                <w:rFonts w:hint="eastAsia" w:ascii="宋体" w:hAnsi="宋体"/>
                <w:bCs/>
                <w:sz w:val="24"/>
                <w:lang w:val="en-US" w:eastAsia="zh-CN"/>
              </w:rPr>
              <w:t>（一线知名品牌）</w:t>
            </w:r>
          </w:p>
        </w:tc>
      </w:tr>
      <w:tr w14:paraId="5380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929" w:type="dxa"/>
            <w:tcBorders>
              <w:top w:val="single" w:color="000000" w:sz="2" w:space="0"/>
              <w:left w:val="single" w:color="000000" w:sz="10" w:space="0"/>
              <w:bottom w:val="single" w:color="000000" w:sz="2" w:space="0"/>
              <w:right w:val="single" w:color="000000" w:sz="2" w:space="0"/>
            </w:tcBorders>
            <w:vAlign w:val="top"/>
          </w:tcPr>
          <w:p w14:paraId="77971BC7">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轿门保护</w:t>
            </w:r>
          </w:p>
        </w:tc>
        <w:tc>
          <w:tcPr>
            <w:tcW w:w="7573" w:type="dxa"/>
            <w:tcBorders>
              <w:top w:val="single" w:color="000000" w:sz="2" w:space="0"/>
              <w:left w:val="single" w:color="000000" w:sz="2" w:space="0"/>
              <w:bottom w:val="single" w:color="000000" w:sz="2" w:space="0"/>
              <w:right w:val="single" w:color="000000" w:sz="10" w:space="0"/>
            </w:tcBorders>
            <w:vAlign w:val="top"/>
          </w:tcPr>
          <w:p w14:paraId="564A6523">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光幕</w:t>
            </w:r>
          </w:p>
        </w:tc>
      </w:tr>
      <w:tr w14:paraId="6D213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929" w:type="dxa"/>
            <w:tcBorders>
              <w:top w:val="single" w:color="000000" w:sz="2" w:space="0"/>
              <w:left w:val="single" w:color="000000" w:sz="10" w:space="0"/>
              <w:right w:val="single" w:color="000000" w:sz="2" w:space="0"/>
            </w:tcBorders>
            <w:vAlign w:val="top"/>
          </w:tcPr>
          <w:p w14:paraId="718F7D24">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轿 壁</w:t>
            </w:r>
          </w:p>
        </w:tc>
        <w:tc>
          <w:tcPr>
            <w:tcW w:w="7573" w:type="dxa"/>
            <w:tcBorders>
              <w:top w:val="single" w:color="000000" w:sz="2" w:space="0"/>
              <w:left w:val="single" w:color="000000" w:sz="2" w:space="0"/>
              <w:right w:val="single" w:color="000000" w:sz="10" w:space="0"/>
            </w:tcBorders>
            <w:vAlign w:val="top"/>
          </w:tcPr>
          <w:p w14:paraId="1A96A34D">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304 抗指纹发纹不锈钢</w:t>
            </w:r>
          </w:p>
        </w:tc>
      </w:tr>
      <w:tr w14:paraId="01E4E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29" w:type="dxa"/>
            <w:tcBorders>
              <w:left w:val="single" w:color="000000" w:sz="10" w:space="0"/>
            </w:tcBorders>
            <w:vAlign w:val="top"/>
          </w:tcPr>
          <w:p w14:paraId="1C320D22">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轿 门</w:t>
            </w:r>
          </w:p>
        </w:tc>
        <w:tc>
          <w:tcPr>
            <w:tcW w:w="7573" w:type="dxa"/>
            <w:tcBorders>
              <w:right w:val="single" w:color="000000" w:sz="10" w:space="0"/>
            </w:tcBorders>
            <w:vAlign w:val="top"/>
          </w:tcPr>
          <w:p w14:paraId="790F40A7">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304 抗指纹发纹不锈钢</w:t>
            </w:r>
          </w:p>
        </w:tc>
      </w:tr>
      <w:tr w14:paraId="6BD3A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929" w:type="dxa"/>
            <w:tcBorders>
              <w:left w:val="single" w:color="000000" w:sz="10" w:space="0"/>
            </w:tcBorders>
            <w:vAlign w:val="top"/>
          </w:tcPr>
          <w:p w14:paraId="2161B565">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轿厢地板</w:t>
            </w:r>
          </w:p>
        </w:tc>
        <w:tc>
          <w:tcPr>
            <w:tcW w:w="7573" w:type="dxa"/>
            <w:tcBorders>
              <w:right w:val="single" w:color="000000" w:sz="10" w:space="0"/>
            </w:tcBorders>
            <w:vAlign w:val="top"/>
          </w:tcPr>
          <w:p w14:paraId="505DA655">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PVC地板</w:t>
            </w:r>
          </w:p>
        </w:tc>
      </w:tr>
      <w:tr w14:paraId="097F3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929" w:type="dxa"/>
            <w:tcBorders>
              <w:left w:val="single" w:color="000000" w:sz="10" w:space="0"/>
            </w:tcBorders>
            <w:vAlign w:val="top"/>
          </w:tcPr>
          <w:p w14:paraId="035586D0">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操 纵 箱</w:t>
            </w:r>
          </w:p>
        </w:tc>
        <w:tc>
          <w:tcPr>
            <w:tcW w:w="7573" w:type="dxa"/>
            <w:tcBorders>
              <w:right w:val="single" w:color="000000" w:sz="10" w:space="0"/>
            </w:tcBorders>
            <w:vAlign w:val="top"/>
          </w:tcPr>
          <w:p w14:paraId="4D819DEA">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不小于9寸液晶显示及运行方向箭头(↑↓) 显示</w:t>
            </w:r>
          </w:p>
        </w:tc>
      </w:tr>
      <w:tr w14:paraId="240D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929" w:type="dxa"/>
            <w:tcBorders>
              <w:left w:val="single" w:color="000000" w:sz="10" w:space="0"/>
              <w:right w:val="single" w:color="000000" w:sz="2" w:space="0"/>
            </w:tcBorders>
            <w:vAlign w:val="top"/>
          </w:tcPr>
          <w:p w14:paraId="5F25681F">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厅门</w:t>
            </w:r>
            <w:r>
              <w:rPr>
                <w:rFonts w:hint="eastAsia" w:ascii="宋体" w:hAnsi="宋体"/>
                <w:bCs/>
                <w:sz w:val="24"/>
                <w:lang w:val="en-US" w:eastAsia="zh-CN"/>
              </w:rPr>
              <w:t>（中分门）</w:t>
            </w:r>
          </w:p>
        </w:tc>
        <w:tc>
          <w:tcPr>
            <w:tcW w:w="7573" w:type="dxa"/>
            <w:tcBorders>
              <w:left w:val="single" w:color="000000" w:sz="2" w:space="0"/>
              <w:right w:val="single" w:color="000000" w:sz="10" w:space="0"/>
            </w:tcBorders>
            <w:vAlign w:val="top"/>
          </w:tcPr>
          <w:p w14:paraId="0532BE5E">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304 抗指纹发纹不锈钢</w:t>
            </w:r>
          </w:p>
        </w:tc>
      </w:tr>
      <w:tr w14:paraId="2737C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29" w:type="dxa"/>
            <w:tcBorders>
              <w:left w:val="single" w:color="000000" w:sz="10" w:space="0"/>
            </w:tcBorders>
            <w:vAlign w:val="top"/>
          </w:tcPr>
          <w:p w14:paraId="0F164C64">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门    套</w:t>
            </w:r>
          </w:p>
        </w:tc>
        <w:tc>
          <w:tcPr>
            <w:tcW w:w="7573" w:type="dxa"/>
            <w:tcBorders>
              <w:right w:val="single" w:color="000000" w:sz="10" w:space="0"/>
            </w:tcBorders>
            <w:vAlign w:val="top"/>
          </w:tcPr>
          <w:p w14:paraId="78BBD129">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304 抗指纹发纹不锈钢</w:t>
            </w:r>
          </w:p>
        </w:tc>
      </w:tr>
      <w:tr w14:paraId="0E88A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929" w:type="dxa"/>
            <w:tcBorders>
              <w:left w:val="single" w:color="000000" w:sz="10" w:space="0"/>
            </w:tcBorders>
            <w:vAlign w:val="top"/>
          </w:tcPr>
          <w:p w14:paraId="38A25B21">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层站召唤</w:t>
            </w:r>
          </w:p>
        </w:tc>
        <w:tc>
          <w:tcPr>
            <w:tcW w:w="7573" w:type="dxa"/>
            <w:tcBorders>
              <w:right w:val="single" w:color="000000" w:sz="10" w:space="0"/>
            </w:tcBorders>
            <w:vAlign w:val="top"/>
          </w:tcPr>
          <w:p w14:paraId="2AC22A2B">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液晶显示，发纹不锈钢面板，微动控钮。</w:t>
            </w:r>
          </w:p>
        </w:tc>
      </w:tr>
      <w:tr w14:paraId="69AD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29" w:type="dxa"/>
            <w:tcBorders>
              <w:left w:val="single" w:color="000000" w:sz="10" w:space="0"/>
              <w:bottom w:val="single" w:color="000000" w:sz="10" w:space="0"/>
            </w:tcBorders>
            <w:vAlign w:val="top"/>
          </w:tcPr>
          <w:p w14:paraId="3114BDF6">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地    坎</w:t>
            </w:r>
          </w:p>
        </w:tc>
        <w:tc>
          <w:tcPr>
            <w:tcW w:w="7573" w:type="dxa"/>
            <w:tcBorders>
              <w:bottom w:val="single" w:color="000000" w:sz="10" w:space="0"/>
              <w:right w:val="single" w:color="000000" w:sz="10" w:space="0"/>
            </w:tcBorders>
            <w:vAlign w:val="top"/>
          </w:tcPr>
          <w:p w14:paraId="2195D5D0">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bCs/>
                <w:sz w:val="24"/>
                <w:lang w:val="en-US" w:eastAsia="zh-CN"/>
              </w:rPr>
            </w:pPr>
            <w:r>
              <w:rPr>
                <w:rFonts w:hint="eastAsia" w:ascii="宋体" w:hAnsi="宋体" w:eastAsia="宋体"/>
                <w:bCs/>
                <w:sz w:val="24"/>
                <w:lang w:val="en-US" w:eastAsia="zh-CN"/>
              </w:rPr>
              <w:t>铝合金</w:t>
            </w:r>
          </w:p>
        </w:tc>
      </w:tr>
    </w:tbl>
    <w:p w14:paraId="79D4CF73">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2" w:firstLineChars="200"/>
        <w:textAlignment w:val="auto"/>
        <w:rPr>
          <w:rFonts w:hint="default" w:ascii="宋体" w:hAnsi="宋体"/>
          <w:b/>
          <w:bCs w:val="0"/>
          <w:sz w:val="24"/>
          <w:lang w:val="en-US" w:eastAsia="zh-CN"/>
        </w:rPr>
      </w:pPr>
      <w:r>
        <w:rPr>
          <w:rFonts w:hint="eastAsia" w:ascii="宋体" w:hAnsi="宋体"/>
          <w:b/>
          <w:bCs w:val="0"/>
          <w:sz w:val="24"/>
          <w:lang w:val="en-US" w:eastAsia="zh-CN"/>
        </w:rPr>
        <w:t>四、其他要求</w:t>
      </w:r>
    </w:p>
    <w:p w14:paraId="46D01C2E">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1、</w:t>
      </w:r>
      <w:r>
        <w:rPr>
          <w:rFonts w:hint="eastAsia" w:ascii="宋体" w:hAnsi="宋体"/>
          <w:b/>
          <w:bCs w:val="0"/>
          <w:sz w:val="24"/>
        </w:rPr>
        <w:t>井道</w:t>
      </w:r>
      <w:r>
        <w:rPr>
          <w:rFonts w:hint="eastAsia" w:ascii="宋体" w:hAnsi="宋体"/>
          <w:b/>
          <w:bCs w:val="0"/>
          <w:sz w:val="24"/>
          <w:lang w:eastAsia="zh-CN"/>
        </w:rPr>
        <w:t>、</w:t>
      </w:r>
      <w:r>
        <w:rPr>
          <w:rFonts w:hint="eastAsia" w:ascii="宋体" w:hAnsi="宋体"/>
          <w:b/>
          <w:bCs w:val="0"/>
          <w:sz w:val="24"/>
        </w:rPr>
        <w:t>电梯基础</w:t>
      </w:r>
      <w:r>
        <w:rPr>
          <w:rFonts w:hint="eastAsia" w:ascii="宋体" w:hAnsi="宋体"/>
          <w:b/>
          <w:bCs w:val="0"/>
          <w:sz w:val="24"/>
          <w:lang w:val="en-US" w:eastAsia="zh-CN"/>
        </w:rPr>
        <w:t>等施工由工程项目施工单位负责，电梯厂家可现场技术指导。</w:t>
      </w:r>
    </w:p>
    <w:p w14:paraId="252819D1">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textAlignment w:val="auto"/>
        <w:rPr>
          <w:rFonts w:hint="eastAsia" w:ascii="Calibri" w:hAnsi="Calibri" w:cs="Calibri"/>
          <w:b w:val="0"/>
          <w:bCs/>
          <w:sz w:val="24"/>
          <w:lang w:val="en-US" w:eastAsia="zh-CN"/>
        </w:rPr>
      </w:pPr>
      <w:r>
        <w:rPr>
          <w:rFonts w:hint="eastAsia" w:ascii="宋体" w:hAnsi="宋体"/>
          <w:b w:val="0"/>
          <w:bCs/>
          <w:sz w:val="24"/>
          <w:lang w:val="en-US" w:eastAsia="zh-CN"/>
        </w:rPr>
        <w:t>2、</w:t>
      </w:r>
      <w:r>
        <w:rPr>
          <w:rFonts w:hint="default" w:ascii="Calibri" w:hAnsi="Calibri" w:cs="Calibri"/>
          <w:b w:val="0"/>
          <w:bCs/>
          <w:sz w:val="24"/>
          <w:lang w:val="en-US" w:eastAsia="zh-CN"/>
        </w:rPr>
        <w:t>验收标准</w:t>
      </w:r>
      <w:r>
        <w:rPr>
          <w:rFonts w:hint="eastAsia" w:ascii="Calibri" w:hAnsi="Calibri" w:cs="Calibri"/>
          <w:b w:val="0"/>
          <w:bCs/>
          <w:sz w:val="24"/>
          <w:lang w:val="en-US" w:eastAsia="zh-CN"/>
        </w:rPr>
        <w:t>按国家相关标准最新版执行，符合业主使用和通过消防验收。</w:t>
      </w:r>
    </w:p>
    <w:p w14:paraId="029E17F7">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2" w:firstLineChars="200"/>
        <w:textAlignment w:val="auto"/>
        <w:rPr>
          <w:rFonts w:hint="eastAsia" w:ascii="宋体" w:hAnsi="宋体"/>
          <w:b/>
          <w:bCs/>
          <w:sz w:val="24"/>
          <w:lang w:val="en-US" w:eastAsia="zh-CN"/>
        </w:rPr>
      </w:pPr>
      <w:r>
        <w:rPr>
          <w:rFonts w:hint="eastAsia" w:ascii="Calibri" w:hAnsi="Calibri" w:cs="Calibri"/>
          <w:b/>
          <w:bCs w:val="0"/>
          <w:sz w:val="24"/>
          <w:lang w:val="en-US" w:eastAsia="zh-CN"/>
        </w:rPr>
        <w:t>3、</w:t>
      </w:r>
      <w:r>
        <w:rPr>
          <w:rFonts w:hint="eastAsia" w:asciiTheme="minorEastAsia" w:hAnsiTheme="minorEastAsia" w:eastAsiaTheme="minorEastAsia" w:cstheme="minorEastAsia"/>
          <w:b/>
          <w:bCs/>
          <w:color w:val="auto"/>
          <w:spacing w:val="0"/>
          <w:position w:val="0"/>
          <w:sz w:val="24"/>
          <w:szCs w:val="24"/>
          <w:lang w:eastAsia="zh-CN"/>
        </w:rPr>
        <w:t>本项目采用总价包干，供应商报价应包括</w:t>
      </w:r>
      <w:r>
        <w:rPr>
          <w:rFonts w:hint="eastAsia" w:ascii="宋体" w:hAnsi="宋体"/>
          <w:b/>
          <w:bCs/>
          <w:sz w:val="24"/>
          <w:lang w:val="en-US" w:eastAsia="zh-CN"/>
        </w:rPr>
        <w:t>含电梯、监控、五方对讲、空调、门套等购置费、包装费、运输费、人工费、保险费、安装调试费、各种税费、资料费、售后服务费及总承包服务费（1.5%）等完成项目应有的全部费用，采购人后期不再支付其他任何费用。</w:t>
      </w:r>
    </w:p>
    <w:p w14:paraId="70F2CE66">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textAlignment w:val="auto"/>
        <w:rPr>
          <w:rFonts w:hint="default" w:ascii="宋体" w:hAnsi="宋体" w:cs="宋体"/>
          <w:sz w:val="28"/>
          <w:szCs w:val="28"/>
          <w:lang w:val="en-US" w:eastAsia="zh-CN"/>
        </w:rPr>
        <w:sectPr>
          <w:headerReference r:id="rId3" w:type="default"/>
          <w:footerReference r:id="rId4" w:type="default"/>
          <w:pgSz w:w="11906" w:h="16838"/>
          <w:pgMar w:top="1440" w:right="1531" w:bottom="1440" w:left="1531" w:header="851" w:footer="992" w:gutter="0"/>
          <w:pgNumType w:fmt="decimal"/>
          <w:cols w:space="425" w:num="1"/>
          <w:docGrid w:type="lines" w:linePitch="312" w:charSpace="0"/>
        </w:sectPr>
      </w:pPr>
      <w:r>
        <w:rPr>
          <w:rFonts w:hint="eastAsia" w:ascii="宋体" w:hAnsi="宋体" w:eastAsia="宋体" w:cs="Times New Roman"/>
          <w:bCs/>
          <w:sz w:val="24"/>
          <w:lang w:val="en-US" w:eastAsia="zh-CN"/>
        </w:rPr>
        <w:t>4、</w:t>
      </w:r>
      <w:r>
        <w:rPr>
          <w:rFonts w:hint="eastAsia" w:ascii="宋体" w:hAnsi="宋体" w:eastAsia="宋体" w:cs="宋体"/>
          <w:spacing w:val="-10"/>
          <w:sz w:val="24"/>
          <w:szCs w:val="24"/>
          <w:lang w:val="en-US" w:eastAsia="zh-CN"/>
        </w:rPr>
        <w:t>电梯</w:t>
      </w:r>
      <w:r>
        <w:rPr>
          <w:rFonts w:hint="eastAsia" w:ascii="宋体" w:hAnsi="宋体" w:eastAsia="宋体" w:cs="宋体"/>
          <w:spacing w:val="-10"/>
          <w:sz w:val="24"/>
          <w:szCs w:val="24"/>
        </w:rPr>
        <w:t>技术参数</w:t>
      </w:r>
      <w:r>
        <w:rPr>
          <w:rFonts w:hint="eastAsia" w:ascii="宋体" w:hAnsi="宋体" w:eastAsia="宋体" w:cs="宋体"/>
          <w:spacing w:val="-10"/>
          <w:sz w:val="24"/>
          <w:szCs w:val="24"/>
          <w:lang w:eastAsia="zh-CN"/>
        </w:rPr>
        <w:t>：</w:t>
      </w:r>
      <w:r>
        <w:rPr>
          <w:rFonts w:hint="eastAsia" w:ascii="宋体" w:hAnsi="宋体" w:eastAsia="宋体" w:cs="Times New Roman"/>
          <w:bCs/>
          <w:sz w:val="24"/>
          <w:lang w:val="en-US" w:eastAsia="zh-CN"/>
        </w:rPr>
        <w:t>供应商须满足采购需求要求；电梯配置、轿厢装饰及厅门装饰：供应商须满足或优于采购需求要求；本项目不接受负偏离。</w:t>
      </w:r>
    </w:p>
    <w:p w14:paraId="2C12D722">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560" w:lineRule="exact"/>
        <w:jc w:val="center"/>
        <w:textAlignment w:val="baseline"/>
        <w:rPr>
          <w:rFonts w:hint="eastAsia" w:ascii="宋体" w:hAnsi="宋体" w:eastAsia="宋体" w:cs="宋体"/>
          <w:sz w:val="28"/>
          <w:szCs w:val="28"/>
          <w:highlight w:val="none"/>
        </w:rPr>
      </w:pPr>
      <w:bookmarkStart w:id="90" w:name="_Toc25911"/>
      <w:bookmarkStart w:id="91" w:name="_Toc21831"/>
      <w:bookmarkStart w:id="92" w:name="_Toc323"/>
      <w:r>
        <w:rPr>
          <w:rFonts w:hint="eastAsia" w:ascii="宋体" w:hAnsi="宋体" w:eastAsia="宋体" w:cs="宋体"/>
          <w:sz w:val="28"/>
          <w:szCs w:val="28"/>
          <w:highlight w:val="none"/>
        </w:rPr>
        <w:t>四、</w:t>
      </w:r>
      <w:bookmarkEnd w:id="90"/>
      <w:bookmarkEnd w:id="91"/>
      <w:r>
        <w:rPr>
          <w:rFonts w:hint="eastAsia" w:ascii="宋体" w:hAnsi="宋体" w:eastAsia="宋体" w:cs="宋体"/>
          <w:sz w:val="28"/>
          <w:szCs w:val="28"/>
          <w:highlight w:val="none"/>
          <w:lang w:val="en-US" w:eastAsia="zh-CN"/>
        </w:rPr>
        <w:t>评审方法和标准</w:t>
      </w:r>
      <w:bookmarkEnd w:id="92"/>
    </w:p>
    <w:p w14:paraId="1D8E48F0">
      <w:pPr>
        <w:keepNext w:val="0"/>
        <w:keepLines w:val="0"/>
        <w:pageBreakBefore w:val="0"/>
        <w:widowControl w:val="0"/>
        <w:kinsoku/>
        <w:overflowPunct/>
        <w:topLinePunct w:val="0"/>
        <w:autoSpaceDE/>
        <w:autoSpaceDN/>
        <w:bidi w:val="0"/>
        <w:adjustRightInd/>
        <w:snapToGrid/>
        <w:spacing w:line="520" w:lineRule="exact"/>
        <w:ind w:firstLine="474" w:firstLineChars="200"/>
        <w:textAlignment w:val="auto"/>
        <w:outlineLvl w:val="0"/>
        <w:rPr>
          <w:rFonts w:hint="eastAsia" w:ascii="宋体" w:hAnsi="宋体" w:eastAsia="宋体" w:cs="宋体"/>
          <w:b/>
          <w:bCs/>
          <w:sz w:val="24"/>
          <w:szCs w:val="24"/>
          <w:u w:val="none"/>
        </w:rPr>
      </w:pPr>
      <w:r>
        <w:rPr>
          <w:rFonts w:hint="eastAsia" w:ascii="宋体" w:hAnsi="宋体" w:eastAsia="宋体" w:cs="宋体"/>
          <w:b/>
          <w:bCs/>
          <w:spacing w:val="-2"/>
          <w:sz w:val="24"/>
          <w:szCs w:val="24"/>
          <w:u w:val="none"/>
          <w:lang w:eastAsia="zh-CN"/>
        </w:rPr>
        <w:t>（一）</w:t>
      </w:r>
      <w:r>
        <w:rPr>
          <w:rFonts w:hint="eastAsia" w:ascii="宋体" w:hAnsi="宋体" w:eastAsia="宋体" w:cs="宋体"/>
          <w:b/>
          <w:bCs/>
          <w:spacing w:val="-2"/>
          <w:sz w:val="24"/>
          <w:szCs w:val="24"/>
          <w:u w:val="none"/>
        </w:rPr>
        <w:t>资格审查</w:t>
      </w:r>
    </w:p>
    <w:p w14:paraId="0BE7BC89">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采购人或代理机构对供应商的资格进行审查，审查响应文件是否响应了磋商文件的资格要求。</w:t>
      </w:r>
      <w:r>
        <w:rPr>
          <w:rFonts w:hint="eastAsia" w:ascii="宋体" w:hAnsi="宋体" w:eastAsia="宋体" w:cs="宋体"/>
          <w:i w:val="0"/>
          <w:iCs w:val="0"/>
          <w:spacing w:val="0"/>
          <w:w w:val="100"/>
          <w:position w:val="0"/>
          <w:sz w:val="24"/>
          <w:szCs w:val="24"/>
          <w:u w:val="none"/>
          <w:lang w:val="en-US" w:eastAsia="zh-CN"/>
        </w:rPr>
        <w:t>当发现供应商或其响应文件存在下列情况之一时，将判定供应商的资格不符合要求，资格审查不通过。</w:t>
      </w:r>
    </w:p>
    <w:p w14:paraId="41580925">
      <w:pPr>
        <w:spacing w:line="192" w:lineRule="exact"/>
        <w:rPr>
          <w:rFonts w:hint="eastAsia" w:ascii="宋体" w:hAnsi="宋体" w:eastAsia="宋体" w:cs="宋体"/>
          <w:sz w:val="24"/>
          <w:szCs w:val="24"/>
          <w:u w:val="none"/>
        </w:rPr>
      </w:pPr>
    </w:p>
    <w:tbl>
      <w:tblPr>
        <w:tblStyle w:val="97"/>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929"/>
        <w:gridCol w:w="1441"/>
        <w:gridCol w:w="6489"/>
      </w:tblGrid>
      <w:tr w14:paraId="1A0F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370" w:type="dxa"/>
            <w:gridSpan w:val="2"/>
            <w:noWrap w:val="0"/>
            <w:vAlign w:val="center"/>
          </w:tcPr>
          <w:p w14:paraId="4F7267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审查内容</w:t>
            </w:r>
          </w:p>
        </w:tc>
        <w:tc>
          <w:tcPr>
            <w:tcW w:w="6489" w:type="dxa"/>
            <w:noWrap w:val="0"/>
            <w:vAlign w:val="center"/>
          </w:tcPr>
          <w:p w14:paraId="1A5CA3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审查标准</w:t>
            </w:r>
          </w:p>
        </w:tc>
      </w:tr>
      <w:tr w14:paraId="29947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restart"/>
            <w:tcBorders>
              <w:bottom w:val="nil"/>
            </w:tcBorders>
            <w:noWrap w:val="0"/>
            <w:vAlign w:val="center"/>
          </w:tcPr>
          <w:p w14:paraId="5774E2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w:t>
            </w:r>
          </w:p>
          <w:p w14:paraId="4BE8EF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审查</w:t>
            </w:r>
          </w:p>
        </w:tc>
        <w:tc>
          <w:tcPr>
            <w:tcW w:w="1441" w:type="dxa"/>
            <w:noWrap w:val="0"/>
            <w:vAlign w:val="center"/>
          </w:tcPr>
          <w:p w14:paraId="1EAFCE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营业执照</w:t>
            </w:r>
          </w:p>
        </w:tc>
        <w:tc>
          <w:tcPr>
            <w:tcW w:w="6489" w:type="dxa"/>
            <w:noWrap w:val="0"/>
            <w:vAlign w:val="center"/>
          </w:tcPr>
          <w:p w14:paraId="7FB06F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未提供营业执照</w:t>
            </w:r>
          </w:p>
        </w:tc>
      </w:tr>
      <w:tr w14:paraId="34B64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noWrap w:val="0"/>
            <w:vAlign w:val="center"/>
          </w:tcPr>
          <w:p w14:paraId="30099F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p>
        </w:tc>
        <w:tc>
          <w:tcPr>
            <w:tcW w:w="1441" w:type="dxa"/>
            <w:noWrap w:val="0"/>
            <w:vAlign w:val="center"/>
          </w:tcPr>
          <w:p w14:paraId="1193F8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资格条件</w:t>
            </w:r>
          </w:p>
        </w:tc>
        <w:tc>
          <w:tcPr>
            <w:tcW w:w="6489" w:type="dxa"/>
            <w:noWrap w:val="0"/>
            <w:vAlign w:val="center"/>
          </w:tcPr>
          <w:p w14:paraId="41BEAC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w:t>
            </w:r>
          </w:p>
        </w:tc>
      </w:tr>
      <w:tr w14:paraId="2DEF0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noWrap w:val="0"/>
            <w:vAlign w:val="center"/>
          </w:tcPr>
          <w:p w14:paraId="2653EF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p>
        </w:tc>
        <w:tc>
          <w:tcPr>
            <w:tcW w:w="1441" w:type="dxa"/>
            <w:noWrap w:val="0"/>
            <w:vAlign w:val="center"/>
          </w:tcPr>
          <w:p w14:paraId="330E76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信用要求</w:t>
            </w:r>
          </w:p>
        </w:tc>
        <w:tc>
          <w:tcPr>
            <w:tcW w:w="6489" w:type="dxa"/>
            <w:noWrap w:val="0"/>
            <w:vAlign w:val="center"/>
          </w:tcPr>
          <w:p w14:paraId="2DCF6E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w:t>
            </w:r>
          </w:p>
          <w:p w14:paraId="1119A1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注 ：</w:t>
            </w:r>
          </w:p>
          <w:p w14:paraId="6CA7BE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1.信用记录查询渠道：</w:t>
            </w:r>
          </w:p>
          <w:p w14:paraId="0DE37F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(1)被人民法院列入失信被执行人名单的(以</w:t>
            </w:r>
          </w:p>
          <w:p w14:paraId="553FD5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www.creditchina.gov.cn查询为准)</w:t>
            </w:r>
          </w:p>
          <w:p w14:paraId="121B33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(2)被税务机关列入重大税收违法失信主体名单的(以ww w.creditchina.gov.cn查询为准)</w:t>
            </w:r>
          </w:p>
          <w:p w14:paraId="62189D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(3)被财政部门列入政府采购严重违法失信行为记录名单的 (以www.ccgp.gov.cn/查询为准)</w:t>
            </w:r>
          </w:p>
          <w:p w14:paraId="09FC27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(4)被市场监督管理部门列入严重违法失信名单的(以 www.gsxt.gov.cn查询为准)</w:t>
            </w:r>
          </w:p>
          <w:p w14:paraId="72804A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2.供应商在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文件中无需提供证明材料，由采购人或者采 购代理机构查询供应商的信用记录，信用记录以投标截止时间 的记录信息为准。</w:t>
            </w:r>
          </w:p>
          <w:p w14:paraId="07D980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3.信用信息记录方式：采购人或采购代理机构工作人员将查 询网页截图随其他采购资料一同存档备查。</w:t>
            </w:r>
          </w:p>
          <w:p w14:paraId="04C990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4.在上述规定的查询时间之外，网站信息发生的任何变更均 不作为资格审查依据。</w:t>
            </w:r>
          </w:p>
        </w:tc>
      </w:tr>
      <w:tr w14:paraId="39A13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929" w:type="dxa"/>
            <w:vMerge w:val="continue"/>
            <w:tcBorders>
              <w:top w:val="nil"/>
            </w:tcBorders>
            <w:noWrap w:val="0"/>
            <w:vAlign w:val="center"/>
          </w:tcPr>
          <w:p w14:paraId="1B6DB50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p>
        </w:tc>
        <w:tc>
          <w:tcPr>
            <w:tcW w:w="1441" w:type="dxa"/>
            <w:noWrap w:val="0"/>
            <w:vAlign w:val="center"/>
          </w:tcPr>
          <w:p w14:paraId="797123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6489" w:type="dxa"/>
            <w:noWrap w:val="0"/>
            <w:vAlign w:val="center"/>
          </w:tcPr>
          <w:p w14:paraId="0DDE6C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供应商被行政监督部门作出禁止</w:t>
            </w:r>
            <w:r>
              <w:rPr>
                <w:rFonts w:hint="eastAsia" w:ascii="宋体" w:hAnsi="宋体" w:eastAsia="宋体" w:cs="宋体"/>
                <w:sz w:val="24"/>
                <w:szCs w:val="24"/>
                <w:lang w:val="en-US" w:eastAsia="zh-CN"/>
              </w:rPr>
              <w:t>响应</w:t>
            </w:r>
            <w:r>
              <w:rPr>
                <w:rFonts w:hint="eastAsia" w:ascii="宋体" w:hAnsi="宋体" w:eastAsia="宋体" w:cs="宋体"/>
                <w:sz w:val="24"/>
                <w:szCs w:val="24"/>
              </w:rPr>
              <w:t>处罚且在有效期内的，或其他违反法律法规和</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文件规定的应该按无效</w:t>
            </w:r>
            <w:r>
              <w:rPr>
                <w:rFonts w:hint="eastAsia" w:ascii="宋体" w:hAnsi="宋体" w:eastAsia="宋体" w:cs="宋体"/>
                <w:sz w:val="24"/>
                <w:szCs w:val="24"/>
                <w:lang w:val="en-US" w:eastAsia="zh-CN"/>
              </w:rPr>
              <w:t>响应</w:t>
            </w:r>
            <w:r>
              <w:rPr>
                <w:rFonts w:hint="eastAsia" w:ascii="宋体" w:hAnsi="宋体" w:eastAsia="宋体" w:cs="宋体"/>
                <w:sz w:val="24"/>
                <w:szCs w:val="24"/>
              </w:rPr>
              <w:t>处理的情形</w:t>
            </w:r>
          </w:p>
        </w:tc>
      </w:tr>
    </w:tbl>
    <w:p w14:paraId="5DB08FD4">
      <w:pPr>
        <w:keepNext w:val="0"/>
        <w:keepLines w:val="0"/>
        <w:pageBreakBefore w:val="0"/>
        <w:widowControl w:val="0"/>
        <w:kinsoku/>
        <w:wordWrap/>
        <w:overflowPunct/>
        <w:topLinePunct w:val="0"/>
        <w:autoSpaceDE/>
        <w:autoSpaceDN/>
        <w:bidi w:val="0"/>
        <w:adjustRightInd/>
        <w:snapToGrid/>
        <w:spacing w:line="520" w:lineRule="exact"/>
        <w:ind w:left="0" w:firstLine="474" w:firstLineChars="200"/>
        <w:textAlignment w:val="auto"/>
        <w:outlineLvl w:val="0"/>
        <w:rPr>
          <w:rFonts w:hint="eastAsia" w:ascii="宋体" w:hAnsi="宋体" w:eastAsia="宋体" w:cs="宋体"/>
          <w:b/>
          <w:bCs/>
          <w:spacing w:val="-2"/>
          <w:sz w:val="24"/>
          <w:szCs w:val="24"/>
          <w:u w:val="none"/>
          <w:lang w:val="en-US" w:eastAsia="zh-CN"/>
        </w:rPr>
      </w:pPr>
      <w:r>
        <w:rPr>
          <w:rFonts w:hint="eastAsia" w:ascii="宋体" w:hAnsi="宋体" w:eastAsia="宋体" w:cs="宋体"/>
          <w:b/>
          <w:bCs/>
          <w:spacing w:val="-2"/>
          <w:sz w:val="24"/>
          <w:szCs w:val="24"/>
          <w:u w:val="none"/>
          <w:lang w:val="en-US" w:eastAsia="zh-CN"/>
        </w:rPr>
        <w:t>（二）综合评审</w:t>
      </w:r>
    </w:p>
    <w:p w14:paraId="739DD712">
      <w:pPr>
        <w:keepNext w:val="0"/>
        <w:keepLines w:val="0"/>
        <w:pageBreakBefore w:val="0"/>
        <w:widowControl w:val="0"/>
        <w:kinsoku/>
        <w:wordWrap/>
        <w:overflowPunct/>
        <w:topLinePunct w:val="0"/>
        <w:autoSpaceDE/>
        <w:autoSpaceDN/>
        <w:bidi w:val="0"/>
        <w:adjustRightInd/>
        <w:snapToGrid/>
        <w:spacing w:line="520" w:lineRule="exact"/>
        <w:ind w:firstLine="472" w:firstLineChars="200"/>
        <w:jc w:val="left"/>
        <w:textAlignment w:val="auto"/>
        <w:rPr>
          <w:rFonts w:hint="eastAsia" w:ascii="宋体" w:hAnsi="宋体" w:eastAsia="宋体" w:cs="宋体"/>
          <w:sz w:val="24"/>
          <w:szCs w:val="24"/>
          <w:u w:val="none"/>
        </w:rPr>
      </w:pPr>
      <w:r>
        <w:rPr>
          <w:rFonts w:hint="eastAsia" w:ascii="宋体" w:hAnsi="宋体" w:eastAsia="宋体" w:cs="宋体"/>
          <w:spacing w:val="-2"/>
          <w:sz w:val="24"/>
          <w:szCs w:val="24"/>
          <w:u w:val="none"/>
          <w:lang w:val="en-US" w:eastAsia="zh-CN"/>
        </w:rPr>
        <w:t>由磋商小组根据磋商文件规定的评审程序、评审方法和评审标准进行评审。</w:t>
      </w:r>
    </w:p>
    <w:p w14:paraId="0452354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本次磋商采用百分制评分法，商务（报价）权重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即</w:t>
      </w:r>
      <w:r>
        <w:rPr>
          <w:rFonts w:hint="eastAsia" w:ascii="宋体" w:hAnsi="宋体" w:cs="宋体"/>
          <w:sz w:val="24"/>
          <w:szCs w:val="24"/>
        </w:rPr>
        <w:t>价格满分</w:t>
      </w:r>
      <w:r>
        <w:rPr>
          <w:rFonts w:hint="eastAsia" w:ascii="宋体" w:hAnsi="宋体" w:cs="宋体"/>
          <w:sz w:val="24"/>
          <w:szCs w:val="24"/>
          <w:lang w:val="en-US" w:eastAsia="zh-CN"/>
        </w:rPr>
        <w:t>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w:t>
      </w:r>
      <w:r>
        <w:rPr>
          <w:rFonts w:hint="eastAsia" w:ascii="宋体" w:hAnsi="宋体" w:cs="宋体"/>
          <w:sz w:val="24"/>
          <w:szCs w:val="24"/>
          <w:u w:val="single"/>
        </w:rPr>
        <w:t xml:space="preserve"> </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rPr>
        <w:t>供应商的价格分统一按下列</w:t>
      </w:r>
      <w:r>
        <w:rPr>
          <w:rFonts w:hint="eastAsia" w:ascii="宋体" w:hAnsi="宋体" w:cs="宋体"/>
          <w:sz w:val="24"/>
          <w:szCs w:val="24"/>
          <w:lang w:val="en-US" w:eastAsia="zh-CN"/>
        </w:rPr>
        <w:t>表格</w:t>
      </w:r>
      <w:r>
        <w:rPr>
          <w:rFonts w:hint="eastAsia" w:ascii="宋体" w:hAnsi="宋体" w:eastAsia="宋体" w:cs="宋体"/>
          <w:sz w:val="24"/>
          <w:szCs w:val="24"/>
        </w:rPr>
        <w:t>评分细则</w:t>
      </w:r>
      <w:r>
        <w:rPr>
          <w:rFonts w:hint="eastAsia" w:ascii="宋体" w:hAnsi="宋体" w:cs="宋体"/>
          <w:sz w:val="24"/>
          <w:szCs w:val="24"/>
          <w:lang w:val="en-US" w:eastAsia="zh-CN"/>
        </w:rPr>
        <w:t>规定</w:t>
      </w:r>
      <w:r>
        <w:rPr>
          <w:rFonts w:hint="eastAsia" w:ascii="宋体" w:hAnsi="宋体" w:cs="宋体"/>
          <w:sz w:val="24"/>
          <w:szCs w:val="24"/>
        </w:rPr>
        <w:t>计算</w:t>
      </w:r>
      <w:r>
        <w:rPr>
          <w:rFonts w:hint="eastAsia" w:ascii="宋体" w:hAnsi="宋体" w:cs="宋体"/>
          <w:sz w:val="24"/>
          <w:szCs w:val="24"/>
          <w:lang w:eastAsia="zh-CN"/>
        </w:rPr>
        <w:t>。</w:t>
      </w:r>
    </w:p>
    <w:p w14:paraId="1D5F8BB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z w:val="24"/>
          <w:szCs w:val="24"/>
        </w:rPr>
      </w:pPr>
      <w:r>
        <w:rPr>
          <w:rFonts w:hint="eastAsia" w:ascii="宋体" w:hAnsi="宋体" w:cs="宋体"/>
          <w:sz w:val="24"/>
          <w:szCs w:val="24"/>
        </w:rPr>
        <w:t>注：超过最高限价的最后磋商报价为无效报价，按废标处理。</w:t>
      </w:r>
    </w:p>
    <w:p w14:paraId="5EFDDD6D">
      <w:pPr>
        <w:pStyle w:val="13"/>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具体评分细则如下：</w:t>
      </w:r>
    </w:p>
    <w:tbl>
      <w:tblPr>
        <w:tblStyle w:val="3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369"/>
        <w:gridCol w:w="653"/>
      </w:tblGrid>
      <w:tr w14:paraId="44B1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4FCAE991">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3F5B5000">
            <w:pPr>
              <w:spacing w:line="400" w:lineRule="exact"/>
              <w:jc w:val="center"/>
              <w:rPr>
                <w:rFonts w:ascii="宋体" w:hAnsi="宋体" w:cs="宋体"/>
                <w:b/>
                <w:bCs/>
                <w:sz w:val="24"/>
                <w:szCs w:val="24"/>
              </w:rPr>
            </w:pPr>
            <w:r>
              <w:rPr>
                <w:rFonts w:hint="eastAsia" w:ascii="宋体" w:hAnsi="宋体" w:cs="宋体"/>
                <w:b/>
                <w:bCs/>
                <w:sz w:val="24"/>
                <w:szCs w:val="24"/>
              </w:rPr>
              <w:t>评分内容</w:t>
            </w:r>
          </w:p>
        </w:tc>
        <w:tc>
          <w:tcPr>
            <w:tcW w:w="6369" w:type="dxa"/>
            <w:tcBorders>
              <w:top w:val="single" w:color="auto" w:sz="4" w:space="0"/>
              <w:left w:val="single" w:color="auto" w:sz="4" w:space="0"/>
              <w:bottom w:val="single" w:color="auto" w:sz="4" w:space="0"/>
              <w:right w:val="single" w:color="auto" w:sz="4" w:space="0"/>
            </w:tcBorders>
            <w:vAlign w:val="center"/>
          </w:tcPr>
          <w:p w14:paraId="6488D21D">
            <w:pPr>
              <w:spacing w:line="400" w:lineRule="exact"/>
              <w:jc w:val="center"/>
              <w:rPr>
                <w:rFonts w:ascii="宋体" w:hAnsi="宋体" w:cs="宋体"/>
                <w:b/>
                <w:bCs/>
                <w:sz w:val="24"/>
                <w:szCs w:val="24"/>
              </w:rPr>
            </w:pPr>
            <w:r>
              <w:rPr>
                <w:rFonts w:hint="eastAsia" w:ascii="宋体" w:hAnsi="宋体" w:cs="宋体"/>
                <w:b/>
                <w:bCs/>
                <w:sz w:val="24"/>
                <w:szCs w:val="24"/>
              </w:rPr>
              <w:t>评分标准</w:t>
            </w:r>
          </w:p>
        </w:tc>
        <w:tc>
          <w:tcPr>
            <w:tcW w:w="653" w:type="dxa"/>
            <w:tcBorders>
              <w:top w:val="single" w:color="auto" w:sz="4" w:space="0"/>
              <w:left w:val="single" w:color="auto" w:sz="4" w:space="0"/>
              <w:bottom w:val="single" w:color="auto" w:sz="4" w:space="0"/>
              <w:right w:val="single" w:color="auto" w:sz="4" w:space="0"/>
            </w:tcBorders>
            <w:vAlign w:val="center"/>
          </w:tcPr>
          <w:p w14:paraId="10BDC432">
            <w:pPr>
              <w:spacing w:line="400" w:lineRule="exact"/>
              <w:jc w:val="center"/>
              <w:rPr>
                <w:rFonts w:ascii="宋体" w:hAnsi="宋体" w:cs="宋体"/>
                <w:b/>
                <w:bCs/>
                <w:sz w:val="24"/>
                <w:szCs w:val="24"/>
              </w:rPr>
            </w:pPr>
            <w:r>
              <w:rPr>
                <w:rFonts w:hint="eastAsia" w:ascii="宋体" w:hAnsi="宋体" w:cs="宋体"/>
                <w:b/>
                <w:bCs/>
                <w:sz w:val="24"/>
                <w:szCs w:val="24"/>
              </w:rPr>
              <w:t>分值范围</w:t>
            </w:r>
          </w:p>
        </w:tc>
      </w:tr>
      <w:tr w14:paraId="3B52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1183" w:type="dxa"/>
            <w:vMerge w:val="restart"/>
            <w:tcBorders>
              <w:top w:val="single" w:color="auto" w:sz="4" w:space="0"/>
              <w:left w:val="single" w:color="auto" w:sz="4" w:space="0"/>
              <w:right w:val="single" w:color="auto" w:sz="4" w:space="0"/>
            </w:tcBorders>
            <w:vAlign w:val="center"/>
          </w:tcPr>
          <w:p w14:paraId="16F8E22A">
            <w:pPr>
              <w:spacing w:line="400" w:lineRule="exact"/>
              <w:jc w:val="center"/>
              <w:rPr>
                <w:rFonts w:ascii="宋体" w:hAnsi="宋体" w:cs="宋体"/>
                <w:sz w:val="24"/>
                <w:szCs w:val="24"/>
              </w:rPr>
            </w:pPr>
            <w:r>
              <w:rPr>
                <w:rFonts w:hint="eastAsia" w:ascii="宋体" w:hAnsi="宋体" w:cs="宋体"/>
                <w:sz w:val="24"/>
                <w:szCs w:val="24"/>
              </w:rPr>
              <w:t>技术标分</w:t>
            </w:r>
          </w:p>
          <w:p w14:paraId="12B0DD4B">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lang w:val="en-US" w:eastAsia="zh-CN"/>
              </w:rPr>
              <w:t>80</w:t>
            </w:r>
            <w:r>
              <w:rPr>
                <w:rFonts w:hint="eastAsia" w:ascii="宋体" w:hAnsi="宋体" w:cs="宋体"/>
                <w:sz w:val="24"/>
                <w:szCs w:val="24"/>
                <w:u w:val="single"/>
              </w:rPr>
              <w:t xml:space="preserve"> </w:t>
            </w:r>
            <w:r>
              <w:rPr>
                <w:rFonts w:hint="eastAsia" w:ascii="宋体" w:hAnsi="宋体" w:cs="宋体"/>
                <w:sz w:val="24"/>
                <w:szCs w:val="24"/>
              </w:rPr>
              <w:t>分）</w:t>
            </w:r>
          </w:p>
        </w:tc>
        <w:tc>
          <w:tcPr>
            <w:tcW w:w="1074" w:type="dxa"/>
            <w:tcBorders>
              <w:top w:val="single" w:color="auto" w:sz="4" w:space="0"/>
              <w:left w:val="single" w:color="auto" w:sz="4" w:space="0"/>
              <w:right w:val="single" w:color="auto" w:sz="4" w:space="0"/>
            </w:tcBorders>
            <w:vAlign w:val="center"/>
          </w:tcPr>
          <w:p w14:paraId="1D0CB945">
            <w:pPr>
              <w:widowControl/>
              <w:spacing w:line="400" w:lineRule="exact"/>
              <w:jc w:val="center"/>
              <w:rPr>
                <w:rFonts w:ascii="宋体" w:hAnsi="宋体" w:cs="宋体"/>
                <w:bCs/>
                <w:color w:val="000000"/>
                <w:sz w:val="24"/>
                <w:szCs w:val="24"/>
              </w:rPr>
            </w:pPr>
            <w:r>
              <w:rPr>
                <w:rFonts w:hint="eastAsia" w:ascii="宋体" w:hAnsi="宋体" w:cs="宋体"/>
                <w:bCs/>
                <w:color w:val="000000"/>
                <w:sz w:val="24"/>
                <w:szCs w:val="24"/>
                <w:lang w:eastAsia="zh-CN"/>
              </w:rPr>
              <w:t>体系认证</w:t>
            </w:r>
          </w:p>
        </w:tc>
        <w:tc>
          <w:tcPr>
            <w:tcW w:w="6369" w:type="dxa"/>
            <w:tcBorders>
              <w:top w:val="single" w:color="auto" w:sz="4" w:space="0"/>
              <w:left w:val="single" w:color="auto" w:sz="4" w:space="0"/>
              <w:right w:val="single" w:color="auto" w:sz="4" w:space="0"/>
            </w:tcBorders>
            <w:vAlign w:val="center"/>
          </w:tcPr>
          <w:p w14:paraId="4375399D">
            <w:pPr>
              <w:widowControl/>
              <w:adjustRightInd w:val="0"/>
              <w:snapToGrid w:val="0"/>
              <w:spacing w:line="400" w:lineRule="exact"/>
              <w:ind w:firstLine="482" w:firstLineChars="200"/>
              <w:rPr>
                <w:rFonts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电梯制造商</w:t>
            </w:r>
            <w:r>
              <w:rPr>
                <w:rFonts w:ascii="宋体" w:hAnsi="宋体" w:cs="宋体"/>
                <w:bCs/>
                <w:color w:val="auto"/>
                <w:sz w:val="24"/>
                <w:szCs w:val="24"/>
                <w:highlight w:val="none"/>
              </w:rPr>
              <w:t>具有中国国家认证认可监督管理委员会批准认证机构颁发的</w:t>
            </w:r>
            <w:r>
              <w:rPr>
                <w:rFonts w:hint="eastAsia" w:ascii="宋体" w:hAnsi="宋体" w:cs="宋体"/>
                <w:bCs/>
                <w:color w:val="auto"/>
                <w:sz w:val="24"/>
                <w:szCs w:val="24"/>
                <w:highlight w:val="none"/>
                <w:lang w:eastAsia="zh-CN"/>
              </w:rPr>
              <w:t>有效的</w:t>
            </w:r>
            <w:r>
              <w:rPr>
                <w:rFonts w:ascii="宋体" w:hAnsi="宋体" w:cs="宋体"/>
                <w:bCs/>
                <w:color w:val="auto"/>
                <w:sz w:val="24"/>
                <w:szCs w:val="24"/>
                <w:highlight w:val="none"/>
              </w:rPr>
              <w:t>：</w:t>
            </w:r>
          </w:p>
          <w:p w14:paraId="0CA92883">
            <w:pPr>
              <w:widowControl/>
              <w:adjustRightInd w:val="0"/>
              <w:snapToGrid w:val="0"/>
              <w:spacing w:line="40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①质量管理体系认证证书；</w:t>
            </w:r>
          </w:p>
          <w:p w14:paraId="44DC3354">
            <w:pPr>
              <w:widowControl/>
              <w:adjustRightInd w:val="0"/>
              <w:snapToGrid w:val="0"/>
              <w:spacing w:line="40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②</w:t>
            </w:r>
            <w:r>
              <w:rPr>
                <w:rFonts w:hint="eastAsia" w:ascii="宋体" w:hAnsi="宋体" w:cs="宋体"/>
                <w:bCs/>
                <w:color w:val="000000"/>
                <w:sz w:val="24"/>
                <w:szCs w:val="24"/>
              </w:rPr>
              <w:t>环境管理体系认证</w:t>
            </w:r>
            <w:r>
              <w:rPr>
                <w:rFonts w:ascii="宋体" w:hAnsi="宋体" w:cs="宋体"/>
                <w:bCs/>
                <w:color w:val="auto"/>
                <w:sz w:val="24"/>
                <w:szCs w:val="24"/>
                <w:highlight w:val="none"/>
              </w:rPr>
              <w:t>；</w:t>
            </w:r>
          </w:p>
          <w:p w14:paraId="33F3C3E8">
            <w:pPr>
              <w:widowControl/>
              <w:adjustRightInd w:val="0"/>
              <w:snapToGrid w:val="0"/>
              <w:spacing w:line="400" w:lineRule="exact"/>
              <w:ind w:firstLine="480" w:firstLineChars="200"/>
              <w:rPr>
                <w:rFonts w:hint="eastAsia" w:ascii="宋体" w:hAnsi="宋体" w:cs="宋体"/>
                <w:bCs/>
                <w:color w:val="auto"/>
                <w:sz w:val="24"/>
                <w:szCs w:val="24"/>
                <w:highlight w:val="none"/>
                <w:lang w:eastAsia="zh-CN"/>
              </w:rPr>
            </w:pPr>
            <w:r>
              <w:rPr>
                <w:rFonts w:hint="default" w:ascii="宋体" w:hAnsi="宋体" w:eastAsia="宋体" w:cs="宋体"/>
                <w:bCs/>
                <w:color w:val="auto"/>
                <w:sz w:val="24"/>
                <w:szCs w:val="24"/>
                <w:highlight w:val="none"/>
              </w:rPr>
              <w:t>③</w:t>
            </w:r>
            <w:r>
              <w:rPr>
                <w:rFonts w:ascii="宋体" w:hAnsi="宋体" w:cs="宋体"/>
                <w:bCs/>
                <w:color w:val="auto"/>
                <w:sz w:val="24"/>
                <w:szCs w:val="24"/>
                <w:highlight w:val="none"/>
              </w:rPr>
              <w:t>职业健康安全管理体系认证证书</w:t>
            </w:r>
            <w:r>
              <w:rPr>
                <w:rFonts w:hint="eastAsia" w:ascii="宋体" w:hAnsi="宋体" w:cs="宋体"/>
                <w:bCs/>
                <w:color w:val="auto"/>
                <w:sz w:val="24"/>
                <w:szCs w:val="24"/>
                <w:highlight w:val="none"/>
                <w:lang w:eastAsia="zh-CN"/>
              </w:rPr>
              <w:t>。</w:t>
            </w:r>
          </w:p>
          <w:p w14:paraId="6897CB8A">
            <w:pPr>
              <w:widowControl/>
              <w:adjustRightInd w:val="0"/>
              <w:snapToGrid w:val="0"/>
              <w:spacing w:line="40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以上每提供一项得</w:t>
            </w:r>
            <w:r>
              <w:rPr>
                <w:rFonts w:hint="eastAsia" w:ascii="宋体" w:hAnsi="宋体" w:cs="宋体"/>
                <w:bCs/>
                <w:color w:val="auto"/>
                <w:sz w:val="24"/>
                <w:szCs w:val="24"/>
                <w:highlight w:val="none"/>
                <w:lang w:val="en-US" w:eastAsia="zh-CN"/>
              </w:rPr>
              <w:t>3</w:t>
            </w:r>
            <w:r>
              <w:rPr>
                <w:rFonts w:ascii="宋体" w:hAnsi="宋体" w:cs="宋体"/>
                <w:bCs/>
                <w:color w:val="auto"/>
                <w:sz w:val="24"/>
                <w:szCs w:val="24"/>
                <w:highlight w:val="none"/>
              </w:rPr>
              <w:t>分，本项</w:t>
            </w:r>
            <w:r>
              <w:rPr>
                <w:rFonts w:hint="eastAsia" w:ascii="宋体" w:hAnsi="宋体" w:cs="宋体"/>
                <w:color w:val="auto"/>
                <w:sz w:val="24"/>
                <w:szCs w:val="24"/>
                <w:highlight w:val="none"/>
                <w:lang w:val="zh-CN" w:eastAsia="zh-CN"/>
              </w:rPr>
              <w:t>满分</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val="zh-CN" w:eastAsia="zh-CN"/>
              </w:rPr>
              <w:t>分</w:t>
            </w:r>
            <w:r>
              <w:rPr>
                <w:rFonts w:ascii="宋体" w:hAnsi="宋体" w:cs="宋体"/>
                <w:bCs/>
                <w:color w:val="auto"/>
                <w:sz w:val="24"/>
                <w:szCs w:val="24"/>
                <w:highlight w:val="none"/>
              </w:rPr>
              <w:t>。</w:t>
            </w:r>
          </w:p>
          <w:p w14:paraId="311F5C4D">
            <w:pPr>
              <w:widowControl/>
              <w:adjustRightInd w:val="0"/>
              <w:snapToGrid w:val="0"/>
              <w:spacing w:line="400" w:lineRule="exact"/>
              <w:rPr>
                <w:rFonts w:ascii="宋体" w:hAnsi="宋体" w:cs="宋体"/>
                <w:bCs/>
                <w:color w:val="auto"/>
                <w:sz w:val="24"/>
                <w:szCs w:val="24"/>
                <w:highlight w:val="none"/>
              </w:rPr>
            </w:pPr>
            <w:r>
              <w:rPr>
                <w:rFonts w:ascii="宋体" w:hAnsi="宋体" w:cs="宋体"/>
                <w:bCs/>
                <w:color w:val="auto"/>
                <w:sz w:val="24"/>
                <w:szCs w:val="24"/>
                <w:highlight w:val="none"/>
              </w:rPr>
              <w:t>注：</w:t>
            </w:r>
            <w:r>
              <w:rPr>
                <w:rFonts w:hint="eastAsia" w:ascii="宋体" w:hAnsi="宋体" w:cs="宋体"/>
                <w:bCs/>
                <w:color w:val="auto"/>
                <w:sz w:val="24"/>
                <w:szCs w:val="24"/>
                <w:highlight w:val="none"/>
                <w:lang w:val="en-US" w:eastAsia="zh-CN"/>
              </w:rPr>
              <w:t>响应文件中提供须证书</w:t>
            </w:r>
            <w:r>
              <w:rPr>
                <w:rFonts w:ascii="宋体" w:hAnsi="宋体" w:cs="宋体"/>
                <w:bCs/>
                <w:color w:val="auto"/>
                <w:sz w:val="24"/>
                <w:szCs w:val="24"/>
                <w:highlight w:val="none"/>
              </w:rPr>
              <w:t>清晰</w:t>
            </w:r>
            <w:r>
              <w:rPr>
                <w:rFonts w:hint="eastAsia" w:ascii="宋体" w:hAnsi="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 xml:space="preserve">扫描件或复印件并加盖公 </w:t>
            </w:r>
          </w:p>
          <w:p w14:paraId="4B363DC4">
            <w:pPr>
              <w:widowControl/>
              <w:adjustRightInd w:val="0"/>
              <w:snapToGrid w:val="0"/>
              <w:spacing w:line="400" w:lineRule="exact"/>
              <w:rPr>
                <w:rFonts w:hint="eastAsia" w:ascii="宋体" w:hAnsi="宋体" w:cs="宋体"/>
                <w:bCs/>
                <w:color w:val="000000"/>
                <w:sz w:val="24"/>
                <w:szCs w:val="24"/>
              </w:rPr>
            </w:pPr>
            <w:r>
              <w:rPr>
                <w:rFonts w:hint="eastAsia" w:ascii="宋体" w:hAnsi="宋体" w:cs="宋体"/>
                <w:bCs/>
                <w:color w:val="auto"/>
                <w:sz w:val="24"/>
                <w:szCs w:val="24"/>
                <w:highlight w:val="none"/>
                <w:lang w:val="en-US" w:eastAsia="zh-CN"/>
              </w:rPr>
              <w:t>章，</w:t>
            </w:r>
            <w:r>
              <w:rPr>
                <w:rFonts w:ascii="宋体" w:hAnsi="宋体" w:cs="宋体"/>
                <w:bCs/>
                <w:color w:val="auto"/>
                <w:sz w:val="24"/>
                <w:szCs w:val="24"/>
                <w:highlight w:val="none"/>
              </w:rPr>
              <w:t>不提供不得分。</w:t>
            </w:r>
          </w:p>
        </w:tc>
        <w:tc>
          <w:tcPr>
            <w:tcW w:w="653" w:type="dxa"/>
            <w:tcBorders>
              <w:top w:val="single" w:color="auto" w:sz="4" w:space="0"/>
              <w:left w:val="single" w:color="auto" w:sz="4" w:space="0"/>
              <w:right w:val="single" w:color="auto" w:sz="4" w:space="0"/>
            </w:tcBorders>
            <w:vAlign w:val="center"/>
          </w:tcPr>
          <w:p w14:paraId="42B0F78B">
            <w:pPr>
              <w:adjustRightInd w:val="0"/>
              <w:snapToGrid w:val="0"/>
              <w:spacing w:line="400" w:lineRule="exact"/>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0-9分</w:t>
            </w:r>
          </w:p>
        </w:tc>
      </w:tr>
      <w:tr w14:paraId="28FD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14:paraId="1FAE8243">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7A05DEDF">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人员配备</w:t>
            </w:r>
          </w:p>
        </w:tc>
        <w:tc>
          <w:tcPr>
            <w:tcW w:w="6369" w:type="dxa"/>
            <w:tcBorders>
              <w:top w:val="single" w:color="auto" w:sz="4" w:space="0"/>
              <w:left w:val="single" w:color="auto" w:sz="4" w:space="0"/>
              <w:bottom w:val="single" w:color="auto" w:sz="4" w:space="0"/>
              <w:right w:val="single" w:color="auto" w:sz="4" w:space="0"/>
            </w:tcBorders>
            <w:vAlign w:val="center"/>
          </w:tcPr>
          <w:p w14:paraId="7A25068E">
            <w:pPr>
              <w:spacing w:line="400" w:lineRule="exact"/>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1、项目负责人（8分）：</w:t>
            </w:r>
          </w:p>
          <w:p w14:paraId="254B9D2F">
            <w:pPr>
              <w:spacing w:line="400" w:lineRule="exact"/>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eastAsia="zh-CN"/>
              </w:rPr>
              <w:t>拟派项目负责人具备机电</w:t>
            </w:r>
            <w:r>
              <w:rPr>
                <w:rFonts w:hint="eastAsia" w:ascii="宋体" w:hAnsi="宋体" w:cs="宋体"/>
                <w:color w:val="000000"/>
                <w:sz w:val="24"/>
                <w:szCs w:val="24"/>
                <w:lang w:val="en-US" w:eastAsia="zh-CN"/>
              </w:rPr>
              <w:t>工程</w:t>
            </w:r>
            <w:r>
              <w:rPr>
                <w:rFonts w:hint="eastAsia" w:ascii="宋体" w:hAnsi="宋体" w:cs="宋体"/>
                <w:color w:val="000000"/>
                <w:sz w:val="24"/>
                <w:szCs w:val="24"/>
                <w:lang w:val="zh-CN" w:eastAsia="zh-CN"/>
              </w:rPr>
              <w:t>二级及以上建造师的得</w:t>
            </w:r>
            <w:r>
              <w:rPr>
                <w:rFonts w:hint="eastAsia" w:ascii="宋体" w:hAnsi="宋体" w:cs="宋体"/>
                <w:color w:val="000000"/>
                <w:sz w:val="24"/>
                <w:szCs w:val="24"/>
                <w:lang w:val="en-US" w:eastAsia="zh-CN"/>
              </w:rPr>
              <w:t>5</w:t>
            </w:r>
            <w:r>
              <w:rPr>
                <w:rFonts w:hint="eastAsia" w:ascii="宋体" w:hAnsi="宋体" w:cs="宋体"/>
                <w:color w:val="000000"/>
                <w:sz w:val="24"/>
                <w:szCs w:val="24"/>
                <w:lang w:val="zh-CN" w:eastAsia="zh-CN"/>
              </w:rPr>
              <w:t>分，同时具有检验检测人员证（许可项目：电梯）或特种设备操作证的再得</w:t>
            </w:r>
            <w:r>
              <w:rPr>
                <w:rFonts w:hint="eastAsia" w:ascii="宋体" w:hAnsi="宋体" w:cs="宋体"/>
                <w:color w:val="000000"/>
                <w:sz w:val="24"/>
                <w:szCs w:val="24"/>
                <w:lang w:val="en-US" w:eastAsia="zh-CN"/>
              </w:rPr>
              <w:t>3</w:t>
            </w:r>
            <w:r>
              <w:rPr>
                <w:rFonts w:hint="eastAsia" w:ascii="宋体" w:hAnsi="宋体" w:cs="宋体"/>
                <w:color w:val="000000"/>
                <w:sz w:val="24"/>
                <w:szCs w:val="24"/>
                <w:lang w:val="zh-CN" w:eastAsia="zh-CN"/>
              </w:rPr>
              <w:t>分，本项最高分</w:t>
            </w:r>
            <w:r>
              <w:rPr>
                <w:rFonts w:hint="eastAsia" w:ascii="宋体" w:hAnsi="宋体" w:cs="宋体"/>
                <w:color w:val="000000"/>
                <w:sz w:val="24"/>
                <w:szCs w:val="24"/>
                <w:lang w:val="en-US" w:eastAsia="zh-CN"/>
              </w:rPr>
              <w:t>8</w:t>
            </w:r>
            <w:r>
              <w:rPr>
                <w:rFonts w:hint="eastAsia" w:ascii="宋体" w:hAnsi="宋体" w:cs="宋体"/>
                <w:color w:val="000000"/>
                <w:sz w:val="24"/>
                <w:szCs w:val="24"/>
                <w:lang w:val="zh-CN" w:eastAsia="zh-CN"/>
              </w:rPr>
              <w:t xml:space="preserve">分，未提供证书或其他情况不得分。 </w:t>
            </w:r>
          </w:p>
          <w:p w14:paraId="79556948">
            <w:pPr>
              <w:spacing w:line="400" w:lineRule="exact"/>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2、项目组其他人员（6分）：</w:t>
            </w:r>
          </w:p>
          <w:p w14:paraId="10BCBD23">
            <w:pPr>
              <w:spacing w:line="400" w:lineRule="exact"/>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eastAsia="zh-CN"/>
              </w:rPr>
              <w:t>拟派遣项目组成员具有特种设备操作证的,每提供一个得</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eastAsia="zh-CN"/>
              </w:rPr>
              <w:t>分，本项最高得</w:t>
            </w:r>
            <w:r>
              <w:rPr>
                <w:rFonts w:hint="eastAsia" w:ascii="宋体" w:hAnsi="宋体" w:cs="宋体"/>
                <w:color w:val="000000"/>
                <w:sz w:val="24"/>
                <w:szCs w:val="24"/>
                <w:lang w:val="en-US" w:eastAsia="zh-CN"/>
              </w:rPr>
              <w:t>6</w:t>
            </w:r>
            <w:r>
              <w:rPr>
                <w:rFonts w:hint="eastAsia" w:ascii="宋体" w:hAnsi="宋体" w:cs="宋体"/>
                <w:color w:val="000000"/>
                <w:sz w:val="24"/>
                <w:szCs w:val="24"/>
                <w:lang w:val="zh-CN" w:eastAsia="zh-CN"/>
              </w:rPr>
              <w:t xml:space="preserve">分。 </w:t>
            </w:r>
          </w:p>
          <w:p w14:paraId="0DFE42CB">
            <w:pPr>
              <w:spacing w:line="400" w:lineRule="exact"/>
              <w:jc w:val="left"/>
              <w:rPr>
                <w:rFonts w:ascii="宋体" w:hAnsi="宋体" w:cs="宋体"/>
                <w:color w:val="000000"/>
                <w:sz w:val="24"/>
                <w:szCs w:val="24"/>
                <w:lang w:val="zh-CN"/>
              </w:rPr>
            </w:pPr>
            <w:r>
              <w:rPr>
                <w:rFonts w:hint="eastAsia" w:ascii="宋体" w:hAnsi="宋体" w:cs="宋体"/>
                <w:color w:val="000000"/>
                <w:sz w:val="24"/>
                <w:szCs w:val="24"/>
                <w:lang w:val="zh-CN" w:eastAsia="zh-CN"/>
              </w:rPr>
              <w:t>注：须提供证书原件扫描件加盖公章，未按要求提供的不得分。</w:t>
            </w:r>
          </w:p>
        </w:tc>
        <w:tc>
          <w:tcPr>
            <w:tcW w:w="653" w:type="dxa"/>
            <w:tcBorders>
              <w:top w:val="single" w:color="auto" w:sz="4" w:space="0"/>
              <w:left w:val="single" w:color="auto" w:sz="4" w:space="0"/>
              <w:bottom w:val="single" w:color="auto" w:sz="4" w:space="0"/>
              <w:right w:val="single" w:color="auto" w:sz="4" w:space="0"/>
            </w:tcBorders>
            <w:vAlign w:val="center"/>
          </w:tcPr>
          <w:p w14:paraId="22028297">
            <w:pPr>
              <w:adjustRightInd w:val="0"/>
              <w:snapToGrid w:val="0"/>
              <w:spacing w:line="400" w:lineRule="exact"/>
              <w:jc w:val="center"/>
              <w:rPr>
                <w:rFonts w:hint="default" w:ascii="宋体" w:hAnsi="宋体" w:eastAsia="宋体" w:cs="宋体"/>
                <w:color w:val="000000"/>
                <w:sz w:val="24"/>
                <w:szCs w:val="24"/>
                <w:lang w:val="en-US" w:eastAsia="zh-CN"/>
              </w:rPr>
            </w:pPr>
            <w:r>
              <w:rPr>
                <w:rFonts w:hint="eastAsia" w:ascii="宋体" w:hAnsi="宋体" w:cs="宋体"/>
                <w:b/>
                <w:color w:val="000000"/>
                <w:sz w:val="24"/>
                <w:szCs w:val="24"/>
                <w:lang w:val="en-US" w:eastAsia="zh-CN"/>
              </w:rPr>
              <w:t>0-14分</w:t>
            </w:r>
          </w:p>
        </w:tc>
      </w:tr>
      <w:tr w14:paraId="7E3A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14:paraId="47D2AD05">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710A4139">
            <w:pPr>
              <w:spacing w:line="40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供应商业绩</w:t>
            </w:r>
          </w:p>
        </w:tc>
        <w:tc>
          <w:tcPr>
            <w:tcW w:w="6369" w:type="dxa"/>
            <w:tcBorders>
              <w:top w:val="single" w:color="auto" w:sz="4" w:space="0"/>
              <w:left w:val="single" w:color="auto" w:sz="4" w:space="0"/>
              <w:bottom w:val="single" w:color="auto" w:sz="4" w:space="0"/>
              <w:right w:val="single" w:color="auto" w:sz="4" w:space="0"/>
            </w:tcBorders>
            <w:vAlign w:val="center"/>
          </w:tcPr>
          <w:p w14:paraId="1F1651CE">
            <w:pPr>
              <w:spacing w:line="400" w:lineRule="exact"/>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供应商具备类似业绩，每提供一个得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eastAsia="zh-CN"/>
              </w:rPr>
              <w:t>分，本项满分</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val="zh-CN" w:eastAsia="zh-CN"/>
              </w:rPr>
              <w:t xml:space="preserve">分。 </w:t>
            </w:r>
          </w:p>
          <w:p w14:paraId="43DFBC34">
            <w:pPr>
              <w:spacing w:line="400" w:lineRule="exact"/>
              <w:ind w:firstLine="480" w:firstLineChars="200"/>
              <w:jc w:val="lef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）类似业绩须结合本项目采购需求认定。</w:t>
            </w:r>
          </w:p>
          <w:p w14:paraId="3B6093B0">
            <w:pPr>
              <w:spacing w:line="400" w:lineRule="exact"/>
              <w:ind w:firstLine="480" w:firstLineChars="200"/>
              <w:jc w:val="left"/>
              <w:rPr>
                <w:rFonts w:ascii="宋体" w:hAnsi="宋体" w:cs="宋体"/>
                <w:color w:val="000000"/>
                <w:sz w:val="24"/>
                <w:szCs w:val="24"/>
                <w:lang w:val="zh-CN"/>
              </w:rPr>
            </w:pP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）响应文件中须提供业绩合同扫描件或复印件</w:t>
            </w:r>
            <w:r>
              <w:rPr>
                <w:rFonts w:hint="eastAsia" w:ascii="宋体" w:hAnsi="宋体" w:cs="宋体"/>
                <w:bCs/>
                <w:color w:val="auto"/>
                <w:sz w:val="24"/>
                <w:szCs w:val="24"/>
                <w:highlight w:val="none"/>
                <w:lang w:val="en-US" w:eastAsia="zh-CN"/>
              </w:rPr>
              <w:t>并加盖公章</w:t>
            </w:r>
            <w:r>
              <w:rPr>
                <w:rFonts w:hint="eastAsia" w:ascii="宋体" w:hAnsi="宋体" w:cs="宋体"/>
                <w:color w:val="auto"/>
                <w:sz w:val="24"/>
                <w:szCs w:val="24"/>
                <w:highlight w:val="none"/>
                <w:lang w:val="zh-CN" w:eastAsia="zh-CN"/>
              </w:rPr>
              <w:t>，若合同不能体现评审内容的须同时另附合同甲方出具的证明材料（加盖合同甲方公章），未提供不得分。</w:t>
            </w:r>
          </w:p>
        </w:tc>
        <w:tc>
          <w:tcPr>
            <w:tcW w:w="653" w:type="dxa"/>
            <w:tcBorders>
              <w:top w:val="single" w:color="auto" w:sz="4" w:space="0"/>
              <w:left w:val="single" w:color="auto" w:sz="4" w:space="0"/>
              <w:bottom w:val="single" w:color="auto" w:sz="4" w:space="0"/>
              <w:right w:val="single" w:color="auto" w:sz="4" w:space="0"/>
            </w:tcBorders>
            <w:vAlign w:val="center"/>
          </w:tcPr>
          <w:p w14:paraId="07FF5871">
            <w:pPr>
              <w:spacing w:line="400" w:lineRule="exact"/>
              <w:jc w:val="center"/>
              <w:rPr>
                <w:rFonts w:ascii="宋体" w:hAnsi="宋体" w:cs="宋体"/>
                <w:color w:val="000000"/>
                <w:sz w:val="24"/>
                <w:szCs w:val="24"/>
              </w:rPr>
            </w:pPr>
            <w:r>
              <w:rPr>
                <w:rFonts w:hint="eastAsia" w:ascii="宋体" w:hAnsi="宋体" w:cs="宋体"/>
                <w:b/>
                <w:color w:val="000000"/>
                <w:sz w:val="24"/>
                <w:szCs w:val="24"/>
                <w:lang w:val="en-US" w:eastAsia="zh-CN"/>
              </w:rPr>
              <w:t>0-14分</w:t>
            </w:r>
          </w:p>
        </w:tc>
      </w:tr>
      <w:tr w14:paraId="752D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14:paraId="2229E399">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08CFED2B">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服务能力</w:t>
            </w:r>
          </w:p>
        </w:tc>
        <w:tc>
          <w:tcPr>
            <w:tcW w:w="6369" w:type="dxa"/>
            <w:tcBorders>
              <w:top w:val="single" w:color="auto" w:sz="4" w:space="0"/>
              <w:left w:val="single" w:color="auto" w:sz="4" w:space="0"/>
              <w:bottom w:val="single" w:color="auto" w:sz="4" w:space="0"/>
              <w:right w:val="single" w:color="auto" w:sz="4" w:space="0"/>
            </w:tcBorders>
            <w:vAlign w:val="center"/>
          </w:tcPr>
          <w:p w14:paraId="1890C18D">
            <w:pPr>
              <w:numPr>
                <w:ilvl w:val="0"/>
                <w:numId w:val="0"/>
              </w:numPr>
              <w:spacing w:line="400" w:lineRule="exact"/>
              <w:ind w:firstLine="480" w:firstLineChars="200"/>
              <w:jc w:val="left"/>
              <w:rPr>
                <w:rFonts w:hint="eastAsia" w:ascii="宋体" w:hAnsi="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1、</w:t>
            </w:r>
            <w:r>
              <w:rPr>
                <w:rFonts w:hint="eastAsia" w:ascii="宋体" w:hAnsi="宋体" w:cs="宋体"/>
                <w:color w:val="000000"/>
                <w:sz w:val="24"/>
                <w:szCs w:val="24"/>
                <w:lang w:val="en-US" w:eastAsia="zh-CN"/>
              </w:rPr>
              <w:t>质保期：在响应采购文件免费质保期基础上，每增加一年得2分，</w:t>
            </w:r>
            <w:r>
              <w:rPr>
                <w:rFonts w:hint="eastAsia" w:ascii="宋体" w:hAnsi="宋体" w:cs="宋体"/>
                <w:color w:val="auto"/>
                <w:sz w:val="24"/>
                <w:szCs w:val="24"/>
                <w:highlight w:val="none"/>
                <w:lang w:val="zh-CN" w:eastAsia="zh-CN"/>
              </w:rPr>
              <w:t>本</w:t>
            </w:r>
            <w:r>
              <w:rPr>
                <w:rFonts w:hint="eastAsia" w:ascii="宋体" w:hAnsi="宋体" w:cs="宋体"/>
                <w:color w:val="auto"/>
                <w:sz w:val="24"/>
                <w:szCs w:val="24"/>
                <w:highlight w:val="none"/>
                <w:lang w:val="en-US" w:eastAsia="zh-CN"/>
              </w:rPr>
              <w:t>小</w:t>
            </w:r>
            <w:r>
              <w:rPr>
                <w:rFonts w:hint="eastAsia" w:ascii="宋体" w:hAnsi="宋体" w:cs="宋体"/>
                <w:color w:val="auto"/>
                <w:sz w:val="24"/>
                <w:szCs w:val="24"/>
                <w:highlight w:val="none"/>
                <w:lang w:val="zh-CN" w:eastAsia="zh-CN"/>
              </w:rPr>
              <w:t>项满分</w:t>
            </w:r>
            <w:r>
              <w:rPr>
                <w:rFonts w:hint="eastAsia" w:ascii="宋体" w:hAnsi="宋体" w:cs="宋体"/>
                <w:color w:val="000000"/>
                <w:sz w:val="24"/>
                <w:szCs w:val="24"/>
                <w:lang w:val="en-US" w:eastAsia="zh-CN"/>
              </w:rPr>
              <w:t>4分。</w:t>
            </w:r>
          </w:p>
          <w:p w14:paraId="23EA166F">
            <w:pPr>
              <w:numPr>
                <w:ilvl w:val="0"/>
                <w:numId w:val="0"/>
              </w:numPr>
              <w:spacing w:line="400" w:lineRule="exact"/>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2、供应商或所投电梯制造商有免费服务电话提供24小时售后服务的得3分，响应文件中提供有效的免费服务电话号码，没有不得分。 </w:t>
            </w:r>
          </w:p>
          <w:p w14:paraId="561278AE">
            <w:pPr>
              <w:numPr>
                <w:ilvl w:val="0"/>
                <w:numId w:val="0"/>
              </w:numPr>
              <w:spacing w:line="400" w:lineRule="exact"/>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3、供应商在接到故障或事故报警后120分钟内到达现场处理直至故障排除的得3分。</w:t>
            </w:r>
          </w:p>
          <w:p w14:paraId="2D7EF604">
            <w:pPr>
              <w:numPr>
                <w:ilvl w:val="0"/>
                <w:numId w:val="0"/>
              </w:numPr>
              <w:spacing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备注：本项服务能力需提供承诺函，格式可自拟，否则本不得分。</w:t>
            </w:r>
          </w:p>
        </w:tc>
        <w:tc>
          <w:tcPr>
            <w:tcW w:w="653" w:type="dxa"/>
            <w:tcBorders>
              <w:top w:val="single" w:color="auto" w:sz="4" w:space="0"/>
              <w:left w:val="single" w:color="auto" w:sz="4" w:space="0"/>
              <w:bottom w:val="single" w:color="auto" w:sz="4" w:space="0"/>
              <w:right w:val="single" w:color="auto" w:sz="4" w:space="0"/>
            </w:tcBorders>
            <w:vAlign w:val="center"/>
          </w:tcPr>
          <w:p w14:paraId="61C5A247">
            <w:pPr>
              <w:spacing w:line="400" w:lineRule="exact"/>
              <w:jc w:val="center"/>
              <w:rPr>
                <w:rFonts w:ascii="宋体" w:hAnsi="宋体" w:cs="宋体"/>
                <w:color w:val="000000"/>
                <w:sz w:val="24"/>
                <w:szCs w:val="24"/>
              </w:rPr>
            </w:pPr>
            <w:r>
              <w:rPr>
                <w:rFonts w:hint="eastAsia" w:ascii="宋体" w:hAnsi="宋体" w:cs="宋体"/>
                <w:b/>
                <w:color w:val="000000"/>
                <w:sz w:val="24"/>
                <w:szCs w:val="24"/>
                <w:lang w:val="en-US" w:eastAsia="zh-CN"/>
              </w:rPr>
              <w:t>0-10分</w:t>
            </w:r>
          </w:p>
        </w:tc>
      </w:tr>
      <w:tr w14:paraId="5B40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6074236B">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553D838F">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bidi="ar"/>
              </w:rPr>
              <w:t>技术</w:t>
            </w:r>
            <w:r>
              <w:rPr>
                <w:rFonts w:hint="eastAsia" w:ascii="宋体" w:hAnsi="宋体" w:cs="宋体"/>
                <w:color w:val="000000"/>
                <w:kern w:val="0"/>
                <w:sz w:val="24"/>
                <w:szCs w:val="24"/>
                <w:lang w:val="en-US" w:eastAsia="zh-CN" w:bidi="ar"/>
              </w:rPr>
              <w:t>响应</w:t>
            </w:r>
          </w:p>
        </w:tc>
        <w:tc>
          <w:tcPr>
            <w:tcW w:w="6369" w:type="dxa"/>
            <w:tcBorders>
              <w:top w:val="single" w:color="auto" w:sz="4" w:space="0"/>
              <w:left w:val="single" w:color="auto" w:sz="4" w:space="0"/>
              <w:bottom w:val="single" w:color="auto" w:sz="4" w:space="0"/>
              <w:right w:val="single" w:color="auto" w:sz="4" w:space="0"/>
            </w:tcBorders>
            <w:vAlign w:val="center"/>
          </w:tcPr>
          <w:p w14:paraId="3C0FD9CF">
            <w:pPr>
              <w:adjustRightInd w:val="0"/>
              <w:snapToGrid w:val="0"/>
              <w:spacing w:line="400" w:lineRule="exact"/>
              <w:ind w:firstLine="440" w:firstLineChars="200"/>
              <w:jc w:val="left"/>
              <w:rPr>
                <w:rFonts w:hint="eastAsia" w:ascii="宋体" w:hAnsi="宋体" w:eastAsia="宋体" w:cs="宋体"/>
                <w:spacing w:val="-10"/>
                <w:sz w:val="24"/>
                <w:szCs w:val="24"/>
                <w:lang w:eastAsia="zh-CN"/>
              </w:rPr>
            </w:pPr>
            <w:r>
              <w:rPr>
                <w:rFonts w:hint="eastAsia" w:ascii="宋体" w:hAnsi="宋体" w:eastAsia="宋体" w:cs="宋体"/>
                <w:spacing w:val="-10"/>
                <w:sz w:val="24"/>
                <w:szCs w:val="24"/>
                <w:lang w:val="en-US" w:eastAsia="zh-CN"/>
              </w:rPr>
              <w:t>供应商</w:t>
            </w:r>
            <w:r>
              <w:rPr>
                <w:rFonts w:hint="eastAsia" w:ascii="宋体" w:hAnsi="宋体" w:eastAsia="宋体" w:cs="宋体"/>
                <w:spacing w:val="-10"/>
                <w:sz w:val="24"/>
                <w:szCs w:val="24"/>
              </w:rPr>
              <w:t>对</w:t>
            </w:r>
            <w:r>
              <w:rPr>
                <w:rFonts w:hint="eastAsia" w:ascii="宋体" w:hAnsi="宋体" w:eastAsia="宋体" w:cs="Times New Roman"/>
                <w:bCs/>
                <w:sz w:val="24"/>
                <w:lang w:val="en-US" w:eastAsia="zh-CN"/>
              </w:rPr>
              <w:t>电梯配置、轿厢装饰及厅门装饰</w:t>
            </w:r>
            <w:r>
              <w:rPr>
                <w:rFonts w:hint="eastAsia" w:ascii="宋体" w:hAnsi="宋体" w:eastAsia="宋体" w:cs="宋体"/>
                <w:spacing w:val="-10"/>
                <w:sz w:val="24"/>
                <w:szCs w:val="24"/>
              </w:rPr>
              <w:t>响应情况，</w:t>
            </w:r>
            <w:r>
              <w:rPr>
                <w:rFonts w:hint="eastAsia" w:ascii="宋体" w:hAnsi="宋体" w:eastAsia="宋体" w:cs="宋体"/>
                <w:spacing w:val="-10"/>
                <w:sz w:val="24"/>
                <w:szCs w:val="24"/>
                <w:lang w:val="en-US" w:eastAsia="zh-CN"/>
              </w:rPr>
              <w:t>提供证明材料</w:t>
            </w:r>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与采购需求内容比较，磋商小组</w:t>
            </w:r>
            <w:r>
              <w:rPr>
                <w:rFonts w:hint="eastAsia" w:ascii="宋体" w:hAnsi="宋体" w:eastAsia="宋体" w:cs="宋体"/>
                <w:spacing w:val="-10"/>
                <w:sz w:val="24"/>
                <w:szCs w:val="24"/>
              </w:rPr>
              <w:t>酌情打分</w:t>
            </w:r>
            <w:r>
              <w:rPr>
                <w:rFonts w:hint="eastAsia" w:ascii="宋体" w:hAnsi="宋体" w:eastAsia="宋体" w:cs="宋体"/>
                <w:spacing w:val="-10"/>
                <w:sz w:val="24"/>
                <w:szCs w:val="24"/>
                <w:lang w:eastAsia="zh-CN"/>
              </w:rPr>
              <w:t>：</w:t>
            </w:r>
          </w:p>
          <w:p w14:paraId="3F029CB0">
            <w:pPr>
              <w:adjustRightInd w:val="0"/>
              <w:snapToGrid w:val="0"/>
              <w:spacing w:line="400" w:lineRule="exact"/>
              <w:ind w:firstLine="440" w:firstLineChars="200"/>
              <w:jc w:val="left"/>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满足采购需求要求，得基础分2分；</w:t>
            </w:r>
          </w:p>
          <w:p w14:paraId="18007B40">
            <w:pPr>
              <w:adjustRightInd w:val="0"/>
              <w:snapToGrid w:val="0"/>
              <w:spacing w:line="400" w:lineRule="exact"/>
              <w:ind w:firstLine="44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10"/>
                <w:sz w:val="24"/>
                <w:szCs w:val="24"/>
                <w:lang w:val="en-US" w:eastAsia="zh-CN"/>
              </w:rPr>
              <w:t>优于采购需求要求，根据供应商提供的证明材料，横向比较，酌情打分2-</w:t>
            </w:r>
            <w:r>
              <w:rPr>
                <w:rFonts w:hint="eastAsia" w:ascii="宋体" w:hAnsi="宋体" w:cs="宋体"/>
                <w:spacing w:val="-10"/>
                <w:sz w:val="24"/>
                <w:szCs w:val="24"/>
                <w:lang w:val="en-US" w:eastAsia="zh-CN"/>
              </w:rPr>
              <w:t>8</w:t>
            </w:r>
            <w:r>
              <w:rPr>
                <w:rFonts w:hint="eastAsia" w:ascii="宋体" w:hAnsi="宋体" w:eastAsia="宋体" w:cs="宋体"/>
                <w:spacing w:val="-10"/>
                <w:sz w:val="24"/>
                <w:szCs w:val="24"/>
                <w:lang w:val="en-US" w:eastAsia="zh-CN"/>
              </w:rPr>
              <w:t>分</w:t>
            </w:r>
            <w:r>
              <w:rPr>
                <w:rFonts w:hint="eastAsia" w:ascii="宋体" w:hAnsi="宋体" w:eastAsia="宋体" w:cs="宋体"/>
                <w:spacing w:val="-10"/>
                <w:sz w:val="24"/>
                <w:szCs w:val="24"/>
              </w:rPr>
              <w:t>。</w:t>
            </w:r>
          </w:p>
        </w:tc>
        <w:tc>
          <w:tcPr>
            <w:tcW w:w="653" w:type="dxa"/>
            <w:tcBorders>
              <w:top w:val="single" w:color="auto" w:sz="4" w:space="0"/>
              <w:left w:val="single" w:color="auto" w:sz="4" w:space="0"/>
              <w:bottom w:val="single" w:color="auto" w:sz="4" w:space="0"/>
              <w:right w:val="single" w:color="auto" w:sz="4" w:space="0"/>
            </w:tcBorders>
            <w:vAlign w:val="center"/>
          </w:tcPr>
          <w:p w14:paraId="60DE245B">
            <w:pPr>
              <w:spacing w:line="400" w:lineRule="exact"/>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0-8分</w:t>
            </w:r>
          </w:p>
        </w:tc>
      </w:tr>
      <w:tr w14:paraId="1CF9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44A6B046">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66342543">
            <w:pPr>
              <w:spacing w:line="400" w:lineRule="exact"/>
              <w:jc w:val="center"/>
              <w:rPr>
                <w:rFonts w:ascii="宋体" w:hAnsi="宋体" w:cs="宋体"/>
                <w:color w:val="000000"/>
                <w:sz w:val="24"/>
                <w:szCs w:val="24"/>
              </w:rPr>
            </w:pPr>
            <w:r>
              <w:rPr>
                <w:rFonts w:ascii="宋体" w:hAnsi="宋体" w:cs="宋体"/>
                <w:color w:val="000000"/>
                <w:sz w:val="24"/>
                <w:szCs w:val="24"/>
                <w:lang w:val="en-US" w:eastAsia="zh-CN"/>
              </w:rPr>
              <w:t xml:space="preserve">供货、安 </w:t>
            </w:r>
          </w:p>
          <w:p w14:paraId="2EF07EF1">
            <w:pPr>
              <w:spacing w:line="400" w:lineRule="exact"/>
              <w:jc w:val="center"/>
              <w:rPr>
                <w:rFonts w:ascii="宋体" w:hAnsi="宋体" w:cs="宋体"/>
                <w:color w:val="000000"/>
                <w:sz w:val="24"/>
                <w:szCs w:val="24"/>
              </w:rPr>
            </w:pPr>
            <w:r>
              <w:rPr>
                <w:rFonts w:hint="eastAsia" w:ascii="宋体" w:hAnsi="宋体" w:cs="宋体"/>
                <w:color w:val="000000"/>
                <w:sz w:val="24"/>
                <w:szCs w:val="24"/>
                <w:lang w:val="en-US" w:eastAsia="zh-CN"/>
              </w:rPr>
              <w:t xml:space="preserve">装实施方 </w:t>
            </w:r>
          </w:p>
          <w:p w14:paraId="3B460F33">
            <w:pPr>
              <w:spacing w:line="400" w:lineRule="exact"/>
              <w:jc w:val="center"/>
              <w:rPr>
                <w:rFonts w:ascii="宋体" w:hAnsi="宋体" w:cs="宋体"/>
                <w:color w:val="000000"/>
                <w:sz w:val="24"/>
                <w:szCs w:val="24"/>
              </w:rPr>
            </w:pPr>
            <w:r>
              <w:rPr>
                <w:rFonts w:hint="eastAsia" w:ascii="宋体" w:hAnsi="宋体" w:cs="宋体"/>
                <w:color w:val="000000"/>
                <w:sz w:val="24"/>
                <w:szCs w:val="24"/>
                <w:lang w:val="en-US" w:eastAsia="zh-CN"/>
              </w:rPr>
              <w:t>案</w:t>
            </w:r>
          </w:p>
        </w:tc>
        <w:tc>
          <w:tcPr>
            <w:tcW w:w="6369" w:type="dxa"/>
            <w:tcBorders>
              <w:top w:val="single" w:color="auto" w:sz="4" w:space="0"/>
              <w:left w:val="single" w:color="auto" w:sz="4" w:space="0"/>
              <w:bottom w:val="single" w:color="auto" w:sz="4" w:space="0"/>
              <w:right w:val="single" w:color="auto" w:sz="4" w:space="0"/>
            </w:tcBorders>
            <w:vAlign w:val="center"/>
          </w:tcPr>
          <w:p w14:paraId="6418DED2">
            <w:pPr>
              <w:adjustRightInd w:val="0"/>
              <w:snapToGrid w:val="0"/>
              <w:spacing w:line="400" w:lineRule="exact"/>
              <w:ind w:firstLine="480" w:firstLineChars="200"/>
              <w:jc w:val="left"/>
              <w:rPr>
                <w:rFonts w:ascii="宋体" w:hAnsi="宋体" w:cs="宋体"/>
                <w:color w:val="000000"/>
                <w:sz w:val="24"/>
                <w:szCs w:val="24"/>
              </w:rPr>
            </w:pPr>
            <w:r>
              <w:rPr>
                <w:rFonts w:hint="eastAsia" w:ascii="宋体" w:hAnsi="宋体" w:eastAsia="宋体" w:cs="宋体"/>
                <w:bCs/>
                <w:color w:val="000000"/>
                <w:sz w:val="24"/>
                <w:szCs w:val="24"/>
                <w:lang w:val="en-US" w:eastAsia="zh-CN"/>
              </w:rPr>
              <w:t>磋商小组</w:t>
            </w:r>
            <w:r>
              <w:rPr>
                <w:rFonts w:ascii="宋体" w:hAnsi="宋体" w:cs="宋体"/>
                <w:color w:val="000000"/>
                <w:sz w:val="24"/>
                <w:szCs w:val="24"/>
                <w:lang w:val="en-US" w:eastAsia="zh-CN"/>
              </w:rPr>
              <w:t>根据</w:t>
            </w:r>
            <w:r>
              <w:rPr>
                <w:rFonts w:hint="eastAsia" w:ascii="宋体" w:hAnsi="宋体" w:cs="宋体"/>
                <w:color w:val="000000"/>
                <w:sz w:val="24"/>
                <w:szCs w:val="24"/>
                <w:lang w:val="en-US" w:eastAsia="zh-CN"/>
              </w:rPr>
              <w:t>供应商</w:t>
            </w:r>
            <w:r>
              <w:rPr>
                <w:rFonts w:ascii="宋体" w:hAnsi="宋体" w:cs="宋体"/>
                <w:color w:val="000000"/>
                <w:sz w:val="24"/>
                <w:szCs w:val="24"/>
                <w:lang w:val="en-US" w:eastAsia="zh-CN"/>
              </w:rPr>
              <w:t>提供的供货实施方案，包括但不限于进度计划、备品备件管理</w:t>
            </w:r>
            <w:r>
              <w:rPr>
                <w:rFonts w:hint="eastAsia" w:ascii="宋体" w:hAnsi="宋体" w:cs="宋体"/>
                <w:color w:val="000000"/>
                <w:sz w:val="24"/>
                <w:szCs w:val="24"/>
                <w:lang w:val="en-US" w:eastAsia="zh-CN"/>
              </w:rPr>
              <w:t>、</w:t>
            </w:r>
            <w:r>
              <w:rPr>
                <w:rFonts w:ascii="宋体" w:hAnsi="宋体" w:cs="宋体"/>
                <w:color w:val="000000"/>
                <w:sz w:val="24"/>
                <w:szCs w:val="24"/>
                <w:lang w:val="en-US" w:eastAsia="zh-CN"/>
              </w:rPr>
              <w:t>设备到场方案、</w:t>
            </w:r>
            <w:r>
              <w:rPr>
                <w:rFonts w:hint="eastAsia" w:ascii="宋体" w:hAnsi="宋体" w:cs="宋体"/>
                <w:color w:val="000000"/>
                <w:sz w:val="24"/>
                <w:szCs w:val="24"/>
                <w:lang w:val="en-US" w:eastAsia="zh-CN"/>
              </w:rPr>
              <w:t>成品保护措施</w:t>
            </w:r>
            <w:r>
              <w:rPr>
                <w:rFonts w:hint="eastAsia" w:ascii="宋体" w:hAnsi="宋体" w:eastAsia="宋体" w:cs="宋体"/>
                <w:bCs/>
                <w:color w:val="000000"/>
                <w:sz w:val="24"/>
                <w:szCs w:val="24"/>
                <w:lang w:val="en-US" w:eastAsia="zh-CN"/>
              </w:rPr>
              <w:t>进行综合评审：</w:t>
            </w:r>
          </w:p>
          <w:p w14:paraId="5CFCD367">
            <w:pPr>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（1）对本项目特点和难点理解准确，方案优于本项目采购需求，完整详细，可行性、实用性、针对性强，得</w:t>
            </w:r>
            <w:r>
              <w:rPr>
                <w:rFonts w:hint="eastAsia" w:ascii="宋体" w:hAnsi="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en-US" w:eastAsia="zh-CN" w:bidi="ar-SA"/>
              </w:rPr>
              <w:t>分；</w:t>
            </w:r>
          </w:p>
          <w:p w14:paraId="548D5501">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（2）对本项目特点和难点理解基本准确，方案适合本项目采购需求，完整详细，具有可行性、实用性和针对性，得</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分；</w:t>
            </w:r>
          </w:p>
          <w:p w14:paraId="0D31101F">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（3）对本项目特点和难点理解有待提升，方案基本适合本项目采购需求，可行性、实用性、针对性有待改善，得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2EFA14C6">
            <w:pPr>
              <w:adjustRightInd w:val="0"/>
              <w:snapToGrid w:val="0"/>
              <w:spacing w:line="400" w:lineRule="exact"/>
              <w:ind w:firstLine="480" w:firstLineChars="200"/>
              <w:jc w:val="left"/>
              <w:rPr>
                <w:rFonts w:ascii="宋体" w:hAnsi="宋体" w:cs="宋体"/>
                <w:color w:val="000000"/>
                <w:sz w:val="24"/>
                <w:szCs w:val="24"/>
              </w:rPr>
            </w:pPr>
            <w:r>
              <w:rPr>
                <w:rFonts w:hint="eastAsia" w:ascii="宋体" w:hAnsi="宋体" w:eastAsia="宋体" w:cs="宋体"/>
                <w:color w:val="auto"/>
                <w:kern w:val="2"/>
                <w:sz w:val="24"/>
                <w:szCs w:val="24"/>
                <w:highlight w:val="none"/>
                <w:lang w:val="en-US" w:eastAsia="zh-CN" w:bidi="ar-SA"/>
              </w:rPr>
              <w:t>（4）方案不可行或者未提供得0分。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6577EDA1">
            <w:pPr>
              <w:spacing w:line="400" w:lineRule="exact"/>
              <w:jc w:val="center"/>
              <w:rPr>
                <w:rFonts w:ascii="宋体" w:hAnsi="宋体" w:cs="宋体"/>
                <w:color w:val="000000"/>
                <w:sz w:val="24"/>
                <w:szCs w:val="24"/>
              </w:rPr>
            </w:pPr>
            <w:r>
              <w:rPr>
                <w:rFonts w:hint="eastAsia" w:ascii="宋体" w:hAnsi="宋体" w:eastAsia="宋体" w:cs="宋体"/>
                <w:b/>
                <w:color w:val="000000"/>
                <w:sz w:val="24"/>
                <w:szCs w:val="24"/>
                <w:lang w:val="en-US" w:eastAsia="zh-CN"/>
              </w:rPr>
              <w:t>0-5分</w:t>
            </w:r>
          </w:p>
        </w:tc>
      </w:tr>
      <w:tr w14:paraId="162C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165FF0D1">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3CDC4E4E">
            <w:pPr>
              <w:spacing w:line="400" w:lineRule="exact"/>
              <w:jc w:val="center"/>
              <w:rPr>
                <w:rFonts w:ascii="宋体" w:hAnsi="宋体" w:cs="宋体"/>
                <w:bCs/>
                <w:color w:val="000000"/>
                <w:sz w:val="24"/>
                <w:szCs w:val="24"/>
              </w:rPr>
            </w:pPr>
            <w:r>
              <w:rPr>
                <w:rFonts w:ascii="宋体" w:hAnsi="宋体" w:cs="宋体"/>
                <w:bCs/>
                <w:color w:val="000000"/>
                <w:sz w:val="24"/>
                <w:szCs w:val="24"/>
                <w:lang w:val="en-US" w:eastAsia="zh-CN"/>
              </w:rPr>
              <w:t xml:space="preserve">质量控制 </w:t>
            </w:r>
          </w:p>
          <w:p w14:paraId="44E2CC61">
            <w:pPr>
              <w:spacing w:line="400" w:lineRule="exact"/>
              <w:jc w:val="center"/>
              <w:rPr>
                <w:rFonts w:ascii="宋体" w:hAnsi="宋体" w:cs="宋体"/>
                <w:bCs/>
                <w:color w:val="000000"/>
                <w:sz w:val="24"/>
                <w:szCs w:val="24"/>
              </w:rPr>
            </w:pPr>
            <w:r>
              <w:rPr>
                <w:rFonts w:hint="eastAsia" w:ascii="宋体" w:hAnsi="宋体" w:cs="宋体"/>
                <w:bCs/>
                <w:color w:val="000000"/>
                <w:sz w:val="24"/>
                <w:szCs w:val="24"/>
                <w:lang w:val="en-US" w:eastAsia="zh-CN"/>
              </w:rPr>
              <w:t>方案</w:t>
            </w:r>
          </w:p>
        </w:tc>
        <w:tc>
          <w:tcPr>
            <w:tcW w:w="6369" w:type="dxa"/>
            <w:tcBorders>
              <w:top w:val="single" w:color="auto" w:sz="4" w:space="0"/>
              <w:left w:val="single" w:color="auto" w:sz="4" w:space="0"/>
              <w:bottom w:val="single" w:color="auto" w:sz="4" w:space="0"/>
              <w:right w:val="single" w:color="auto" w:sz="4" w:space="0"/>
            </w:tcBorders>
            <w:vAlign w:val="center"/>
          </w:tcPr>
          <w:p w14:paraId="300C1E83">
            <w:pPr>
              <w:adjustRightInd w:val="0"/>
              <w:snapToGrid w:val="0"/>
              <w:spacing w:line="400" w:lineRule="exact"/>
              <w:ind w:firstLine="480" w:firstLineChars="20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磋商小组根据供应商提供质量控制方案情况进行综合评审：</w:t>
            </w:r>
          </w:p>
          <w:p w14:paraId="7B5FABAE">
            <w:pPr>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（1）对本项目特点和难点理解准确，方案优于本项目采购需求，完整详细，可行性、实用性、针对性强，得</w:t>
            </w:r>
            <w:r>
              <w:rPr>
                <w:rFonts w:hint="eastAsia" w:ascii="宋体" w:hAnsi="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en-US" w:eastAsia="zh-CN" w:bidi="ar-SA"/>
              </w:rPr>
              <w:t>分；</w:t>
            </w:r>
          </w:p>
          <w:p w14:paraId="07A5682D">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（2）对本项目特点和难点理解基本准确，方案适合本项目采购需求，完整详细，具有可行性、实用性和针对性，得</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分；</w:t>
            </w:r>
          </w:p>
          <w:p w14:paraId="360B087B">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（3）对本项目特点和难点理解有待提升，方案基本适合本项目采购需求，可行性、实用性、针对性有待改善，得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25EB5C48">
            <w:pPr>
              <w:pStyle w:val="11"/>
              <w:spacing w:line="400" w:lineRule="exact"/>
              <w:rPr>
                <w:rFonts w:ascii="宋体" w:hAnsi="宋体" w:cs="宋体"/>
                <w:b/>
                <w:bCs/>
                <w:color w:val="000000"/>
                <w:sz w:val="24"/>
                <w:szCs w:val="24"/>
              </w:rPr>
            </w:pPr>
            <w:r>
              <w:rPr>
                <w:rFonts w:hint="eastAsia" w:ascii="宋体" w:hAnsi="宋体" w:eastAsia="宋体" w:cs="宋体"/>
                <w:color w:val="auto"/>
                <w:kern w:val="2"/>
                <w:sz w:val="24"/>
                <w:szCs w:val="24"/>
                <w:highlight w:val="none"/>
                <w:lang w:val="en-US" w:eastAsia="zh-CN" w:bidi="ar-SA"/>
              </w:rPr>
              <w:t>（4）方案不可行或者未提供得0分。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721C161E">
            <w:pPr>
              <w:spacing w:line="400" w:lineRule="exact"/>
              <w:jc w:val="center"/>
              <w:rPr>
                <w:rFonts w:ascii="宋体" w:hAnsi="宋体" w:cs="宋体"/>
                <w:color w:val="000000"/>
                <w:sz w:val="24"/>
                <w:szCs w:val="24"/>
              </w:rPr>
            </w:pPr>
            <w:r>
              <w:rPr>
                <w:rFonts w:hint="eastAsia" w:ascii="宋体" w:hAnsi="宋体" w:eastAsia="宋体" w:cs="宋体"/>
                <w:b/>
                <w:color w:val="000000"/>
                <w:sz w:val="24"/>
                <w:szCs w:val="24"/>
                <w:lang w:val="en-US" w:eastAsia="zh-CN"/>
              </w:rPr>
              <w:t>0-5分</w:t>
            </w:r>
          </w:p>
        </w:tc>
      </w:tr>
      <w:tr w14:paraId="2022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76BBA57A">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70571432">
            <w:pPr>
              <w:widowControl/>
              <w:spacing w:line="400" w:lineRule="exact"/>
              <w:jc w:val="center"/>
              <w:rPr>
                <w:rFonts w:ascii="宋体" w:hAnsi="宋体" w:cs="宋体"/>
                <w:color w:val="000000"/>
                <w:sz w:val="24"/>
                <w:szCs w:val="24"/>
              </w:rPr>
            </w:pPr>
            <w:r>
              <w:rPr>
                <w:rFonts w:ascii="宋体" w:hAnsi="宋体" w:cs="宋体"/>
                <w:color w:val="000000"/>
                <w:sz w:val="24"/>
                <w:szCs w:val="24"/>
                <w:lang w:val="en-US" w:eastAsia="zh-CN"/>
              </w:rPr>
              <w:t>培训方案</w:t>
            </w:r>
          </w:p>
        </w:tc>
        <w:tc>
          <w:tcPr>
            <w:tcW w:w="6369" w:type="dxa"/>
            <w:tcBorders>
              <w:top w:val="single" w:color="auto" w:sz="4" w:space="0"/>
              <w:left w:val="single" w:color="auto" w:sz="4" w:space="0"/>
              <w:bottom w:val="single" w:color="auto" w:sz="4" w:space="0"/>
              <w:right w:val="single" w:color="auto" w:sz="4" w:space="0"/>
            </w:tcBorders>
            <w:vAlign w:val="center"/>
          </w:tcPr>
          <w:p w14:paraId="77626F1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磋商小组根据供应商提供的培训方案，包括但不限于货物的基本结构、主要部件的构造、日常使用操作、常见故障的排除、紧急情况的处理等进行综合评审：</w:t>
            </w:r>
          </w:p>
          <w:p w14:paraId="2B370CB1">
            <w:pPr>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（1）对本项目特点和难点理解准确，方案优于本项目采购需求，完整详细，可行性、实用性、针对性强，得</w:t>
            </w:r>
            <w:r>
              <w:rPr>
                <w:rFonts w:hint="eastAsia" w:ascii="宋体" w:hAnsi="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en-US" w:eastAsia="zh-CN" w:bidi="ar-SA"/>
              </w:rPr>
              <w:t>分；</w:t>
            </w:r>
          </w:p>
          <w:p w14:paraId="4E61B953">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（2）对本项目特点和难点理解基本准确，方案适合本项目采购需求，完整详细，具有可行性、实用性和针对性，得</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分；</w:t>
            </w:r>
          </w:p>
          <w:p w14:paraId="1DA1A8E6">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（3）对本项目特点和难点理解有待提升，方案基本适合本项目采购需求，可行性、实用性、针对性有待改善，得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2C6D19AD">
            <w:pPr>
              <w:spacing w:line="400" w:lineRule="exact"/>
              <w:rPr>
                <w:rFonts w:ascii="宋体" w:hAnsi="宋体" w:cs="宋体"/>
                <w:b/>
                <w:color w:val="000000"/>
                <w:sz w:val="24"/>
                <w:szCs w:val="24"/>
              </w:rPr>
            </w:pPr>
            <w:r>
              <w:rPr>
                <w:rFonts w:hint="eastAsia" w:ascii="宋体" w:hAnsi="宋体" w:eastAsia="宋体" w:cs="宋体"/>
                <w:color w:val="auto"/>
                <w:kern w:val="2"/>
                <w:sz w:val="24"/>
                <w:szCs w:val="24"/>
                <w:highlight w:val="none"/>
                <w:lang w:val="en-US" w:eastAsia="zh-CN" w:bidi="ar-SA"/>
              </w:rPr>
              <w:t>（4）方案不可行或者未提供得0分。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5FF4AA92">
            <w:pPr>
              <w:widowControl/>
              <w:spacing w:line="400" w:lineRule="exact"/>
              <w:jc w:val="center"/>
              <w:rPr>
                <w:rFonts w:ascii="宋体" w:hAnsi="宋体" w:cs="宋体"/>
                <w:color w:val="000000"/>
                <w:sz w:val="24"/>
                <w:szCs w:val="24"/>
              </w:rPr>
            </w:pPr>
            <w:r>
              <w:rPr>
                <w:rFonts w:hint="eastAsia" w:ascii="宋体" w:hAnsi="宋体" w:eastAsia="宋体" w:cs="宋体"/>
                <w:b/>
                <w:color w:val="000000"/>
                <w:sz w:val="24"/>
                <w:szCs w:val="24"/>
                <w:lang w:val="en-US" w:eastAsia="zh-CN"/>
              </w:rPr>
              <w:t>0-5分</w:t>
            </w:r>
          </w:p>
        </w:tc>
      </w:tr>
      <w:tr w14:paraId="59E9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5458ED44">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3D62EE06">
            <w:pPr>
              <w:spacing w:line="400" w:lineRule="exact"/>
              <w:jc w:val="center"/>
              <w:rPr>
                <w:rFonts w:ascii="宋体" w:hAnsi="宋体" w:cs="宋体"/>
                <w:color w:val="000000"/>
                <w:sz w:val="24"/>
                <w:szCs w:val="24"/>
              </w:rPr>
            </w:pPr>
            <w:r>
              <w:rPr>
                <w:rFonts w:hint="eastAsia" w:ascii="宋体" w:hAnsi="宋体" w:cs="宋体"/>
                <w:bCs/>
                <w:color w:val="000000"/>
                <w:sz w:val="24"/>
                <w:szCs w:val="24"/>
                <w:lang w:val="en-US" w:eastAsia="zh-CN"/>
              </w:rPr>
              <w:t>售后服务方案</w:t>
            </w:r>
          </w:p>
        </w:tc>
        <w:tc>
          <w:tcPr>
            <w:tcW w:w="6369" w:type="dxa"/>
            <w:tcBorders>
              <w:top w:val="single" w:color="auto" w:sz="4" w:space="0"/>
              <w:left w:val="single" w:color="auto" w:sz="4" w:space="0"/>
              <w:bottom w:val="single" w:color="auto" w:sz="4" w:space="0"/>
              <w:right w:val="single" w:color="auto" w:sz="4" w:space="0"/>
            </w:tcBorders>
            <w:vAlign w:val="center"/>
          </w:tcPr>
          <w:p w14:paraId="4F3027AC">
            <w:pPr>
              <w:spacing w:line="400" w:lineRule="exact"/>
              <w:ind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磋商小组根据供应商提供的售后服务方案，包括但不限于售后服务体系、维护保修内容与范围、故障解决方案、专业技术人员保障及服务电话等进行综合评审：</w:t>
            </w:r>
          </w:p>
          <w:p w14:paraId="23546016">
            <w:pPr>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（1）对本项目特点和难点理解准确，方案优于本项目采购需求，完整详细，可行性、实用性、针对性强，得</w:t>
            </w:r>
            <w:r>
              <w:rPr>
                <w:rFonts w:hint="eastAsia" w:ascii="宋体" w:hAnsi="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en-US" w:eastAsia="zh-CN" w:bidi="ar-SA"/>
              </w:rPr>
              <w:t>分；</w:t>
            </w:r>
          </w:p>
          <w:p w14:paraId="2DC75922">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（2）对本项目特点和难点理解基本准确，方案适合本项目采购需求，完整详细，具有可行性、实用性和针对性，得</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分；</w:t>
            </w:r>
          </w:p>
          <w:p w14:paraId="2D0B2358">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（3）对本项目特点和难点理解有待提升，方案基本适合本项目采购需求，可行性、实用性、针对性有待改善，得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4DE6F333">
            <w:pPr>
              <w:spacing w:line="400" w:lineRule="exact"/>
              <w:ind w:firstLine="480" w:firstLineChars="200"/>
              <w:rPr>
                <w:rFonts w:ascii="宋体" w:hAnsi="宋体" w:cs="宋体"/>
                <w:b/>
                <w:color w:val="000000"/>
                <w:sz w:val="24"/>
                <w:szCs w:val="24"/>
              </w:rPr>
            </w:pPr>
            <w:r>
              <w:rPr>
                <w:rFonts w:hint="eastAsia" w:ascii="宋体" w:hAnsi="宋体" w:eastAsia="宋体" w:cs="宋体"/>
                <w:color w:val="auto"/>
                <w:kern w:val="2"/>
                <w:sz w:val="24"/>
                <w:szCs w:val="24"/>
                <w:highlight w:val="none"/>
                <w:lang w:val="en-US" w:eastAsia="zh-CN" w:bidi="ar-SA"/>
              </w:rPr>
              <w:t>（4）方案不可行或者未提供得0分。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53E5C03A">
            <w:pPr>
              <w:widowControl/>
              <w:spacing w:line="400" w:lineRule="exact"/>
              <w:jc w:val="center"/>
              <w:rPr>
                <w:rFonts w:ascii="宋体" w:hAnsi="宋体" w:cs="宋体"/>
                <w:color w:val="000000"/>
                <w:sz w:val="24"/>
                <w:szCs w:val="24"/>
              </w:rPr>
            </w:pPr>
            <w:r>
              <w:rPr>
                <w:rFonts w:hint="eastAsia" w:ascii="宋体" w:hAnsi="宋体" w:eastAsia="宋体" w:cs="宋体"/>
                <w:b/>
                <w:color w:val="000000"/>
                <w:sz w:val="24"/>
                <w:szCs w:val="24"/>
                <w:lang w:val="en-US" w:eastAsia="zh-CN"/>
              </w:rPr>
              <w:t>0-5分</w:t>
            </w:r>
          </w:p>
        </w:tc>
      </w:tr>
      <w:tr w14:paraId="7449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55D90394">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7B4249D3">
            <w:pPr>
              <w:spacing w:line="400" w:lineRule="exact"/>
              <w:jc w:val="center"/>
              <w:rPr>
                <w:rFonts w:ascii="宋体" w:hAnsi="宋体" w:cs="宋体"/>
                <w:bCs/>
                <w:color w:val="000000"/>
                <w:sz w:val="24"/>
                <w:szCs w:val="24"/>
              </w:rPr>
            </w:pPr>
            <w:r>
              <w:rPr>
                <w:rFonts w:ascii="宋体" w:hAnsi="宋体" w:cs="宋体"/>
                <w:bCs/>
                <w:color w:val="000000"/>
                <w:sz w:val="24"/>
                <w:szCs w:val="24"/>
                <w:lang w:val="en-US" w:eastAsia="zh-CN"/>
              </w:rPr>
              <w:t>应急方案</w:t>
            </w:r>
          </w:p>
        </w:tc>
        <w:tc>
          <w:tcPr>
            <w:tcW w:w="6369" w:type="dxa"/>
            <w:tcBorders>
              <w:top w:val="single" w:color="auto" w:sz="4" w:space="0"/>
              <w:left w:val="single" w:color="auto" w:sz="4" w:space="0"/>
              <w:bottom w:val="single" w:color="auto" w:sz="4" w:space="0"/>
              <w:right w:val="single" w:color="auto" w:sz="4" w:space="0"/>
            </w:tcBorders>
            <w:vAlign w:val="center"/>
          </w:tcPr>
          <w:p w14:paraId="07E90C0F">
            <w:pPr>
              <w:spacing w:line="400" w:lineRule="exact"/>
              <w:ind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磋商小组根据供应商提供的应急方案，包括但不限于项目实施过程中的拆、修、装、试的各种突发性问题及特殊紧急事件的预防、处理等进行综合评审：</w:t>
            </w:r>
          </w:p>
          <w:p w14:paraId="089D1685">
            <w:pPr>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（1）对本项目特点和难点理解准确，方案优于本项目采购需求，完整详细，可行性、实用性、针对性强，得</w:t>
            </w:r>
            <w:r>
              <w:rPr>
                <w:rFonts w:hint="eastAsia" w:ascii="宋体" w:hAnsi="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en-US" w:eastAsia="zh-CN" w:bidi="ar-SA"/>
              </w:rPr>
              <w:t>分；</w:t>
            </w:r>
          </w:p>
          <w:p w14:paraId="3BB1E067">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（2）对本项目特点和难点理解基本准确，方案适合本项目采购需求，完整详细，具有可行性、实用性和针对性，得</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分；</w:t>
            </w:r>
          </w:p>
          <w:p w14:paraId="402CD12F">
            <w:pPr>
              <w:pStyle w:val="11"/>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（3）对本项目特点和难点理解有待提升，方案基本适合本项目采购需求，可行性、实用性、针对性有待改善，得</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1BD45622">
            <w:pPr>
              <w:spacing w:line="400" w:lineRule="exact"/>
              <w:ind w:firstLine="480" w:firstLineChars="200"/>
              <w:rPr>
                <w:rFonts w:ascii="宋体" w:hAnsi="宋体" w:cs="宋体"/>
                <w:b/>
                <w:color w:val="000000"/>
                <w:sz w:val="24"/>
                <w:szCs w:val="24"/>
              </w:rPr>
            </w:pPr>
            <w:r>
              <w:rPr>
                <w:rFonts w:hint="eastAsia" w:ascii="宋体" w:hAnsi="宋体" w:eastAsia="宋体" w:cs="宋体"/>
                <w:color w:val="auto"/>
                <w:kern w:val="2"/>
                <w:sz w:val="24"/>
                <w:szCs w:val="24"/>
                <w:highlight w:val="none"/>
                <w:lang w:val="en-US" w:eastAsia="zh-CN" w:bidi="ar-SA"/>
              </w:rPr>
              <w:t>（4）方案不可行或者未提供得0分。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13CEAA6F">
            <w:pPr>
              <w:adjustRightInd w:val="0"/>
              <w:snapToGrid w:val="0"/>
              <w:spacing w:line="400" w:lineRule="exact"/>
              <w:jc w:val="center"/>
              <w:rPr>
                <w:rFonts w:hint="default" w:ascii="宋体" w:hAnsi="宋体" w:eastAsia="宋体" w:cs="宋体"/>
                <w:color w:val="000000"/>
                <w:sz w:val="24"/>
                <w:szCs w:val="24"/>
                <w:lang w:val="en-US" w:eastAsia="zh-CN"/>
              </w:rPr>
            </w:pPr>
            <w:r>
              <w:rPr>
                <w:rFonts w:hint="eastAsia" w:ascii="宋体" w:hAnsi="宋体" w:eastAsia="宋体" w:cs="宋体"/>
                <w:b/>
                <w:color w:val="000000"/>
                <w:sz w:val="24"/>
                <w:szCs w:val="24"/>
                <w:lang w:val="en-US" w:eastAsia="zh-CN"/>
              </w:rPr>
              <w:t>0-5分</w:t>
            </w:r>
          </w:p>
        </w:tc>
      </w:tr>
      <w:tr w14:paraId="742D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526" w:hRule="atLeast"/>
          <w:jc w:val="center"/>
        </w:trPr>
        <w:tc>
          <w:tcPr>
            <w:tcW w:w="1183" w:type="dxa"/>
            <w:tcBorders>
              <w:left w:val="single" w:color="auto" w:sz="4" w:space="0"/>
              <w:right w:val="single" w:color="auto" w:sz="4" w:space="0"/>
            </w:tcBorders>
            <w:vAlign w:val="center"/>
          </w:tcPr>
          <w:p w14:paraId="2CEEDD1E">
            <w:pPr>
              <w:spacing w:line="400" w:lineRule="exact"/>
              <w:jc w:val="center"/>
              <w:rPr>
                <w:rFonts w:ascii="宋体" w:hAnsi="宋体" w:cs="宋体"/>
                <w:sz w:val="24"/>
                <w:szCs w:val="24"/>
              </w:rPr>
            </w:pPr>
            <w:r>
              <w:rPr>
                <w:rFonts w:hint="eastAsia" w:ascii="宋体" w:hAnsi="宋体" w:cs="宋体"/>
                <w:sz w:val="24"/>
                <w:szCs w:val="24"/>
              </w:rPr>
              <w:t>价格分</w:t>
            </w:r>
          </w:p>
          <w:p w14:paraId="18818382">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lang w:val="en-US" w:eastAsia="zh-CN"/>
              </w:rPr>
              <w:t>20</w:t>
            </w:r>
            <w:r>
              <w:rPr>
                <w:rFonts w:hint="eastAsia" w:ascii="宋体" w:hAnsi="宋体" w:cs="宋体"/>
                <w:sz w:val="24"/>
                <w:szCs w:val="24"/>
              </w:rPr>
              <w:t>分）</w:t>
            </w:r>
          </w:p>
        </w:tc>
        <w:tc>
          <w:tcPr>
            <w:tcW w:w="8096" w:type="dxa"/>
            <w:gridSpan w:val="3"/>
            <w:tcBorders>
              <w:top w:val="single" w:color="auto" w:sz="4" w:space="0"/>
              <w:left w:val="single" w:color="auto" w:sz="4" w:space="0"/>
              <w:bottom w:val="single" w:color="auto" w:sz="4" w:space="0"/>
              <w:right w:val="single" w:color="auto" w:sz="4" w:space="0"/>
            </w:tcBorders>
            <w:vAlign w:val="center"/>
          </w:tcPr>
          <w:p w14:paraId="2B5614E3">
            <w:pPr>
              <w:spacing w:line="400" w:lineRule="exact"/>
              <w:rPr>
                <w:rFonts w:hint="eastAsia" w:ascii="宋体" w:hAnsi="宋体" w:eastAsia="宋体" w:cs="宋体"/>
                <w:b w:val="0"/>
                <w:bCs w:val="0"/>
                <w:sz w:val="24"/>
                <w:szCs w:val="24"/>
                <w:lang w:eastAsia="zh-CN"/>
              </w:rPr>
            </w:pPr>
            <w:r>
              <w:rPr>
                <w:rFonts w:hint="eastAsia" w:ascii="宋体" w:hAnsi="宋体" w:cs="宋体"/>
                <w:b w:val="0"/>
                <w:bCs w:val="0"/>
                <w:sz w:val="24"/>
                <w:szCs w:val="24"/>
              </w:rPr>
              <w:t>1</w:t>
            </w:r>
            <w:r>
              <w:rPr>
                <w:rFonts w:hint="eastAsia" w:ascii="宋体" w:hAnsi="宋体" w:cs="宋体"/>
                <w:b w:val="0"/>
                <w:bCs w:val="0"/>
                <w:sz w:val="24"/>
                <w:szCs w:val="24"/>
                <w:lang w:eastAsia="zh-CN"/>
              </w:rPr>
              <w:t>、</w:t>
            </w:r>
            <w:r>
              <w:rPr>
                <w:rFonts w:hint="eastAsia" w:ascii="宋体" w:hAnsi="宋体" w:cs="宋体"/>
                <w:b w:val="0"/>
                <w:bCs w:val="0"/>
                <w:sz w:val="24"/>
                <w:szCs w:val="24"/>
              </w:rPr>
              <w:t>满足磋商文件要求且最终报价最低的价格作为评标基准价</w:t>
            </w:r>
            <w:r>
              <w:rPr>
                <w:rFonts w:hint="eastAsia" w:ascii="宋体" w:hAnsi="宋体" w:cs="宋体"/>
                <w:b w:val="0"/>
                <w:bCs w:val="0"/>
                <w:sz w:val="24"/>
                <w:szCs w:val="24"/>
                <w:lang w:eastAsia="zh-CN"/>
              </w:rPr>
              <w:t>。</w:t>
            </w:r>
          </w:p>
          <w:p w14:paraId="4F87C8EA">
            <w:pPr>
              <w:pStyle w:val="2"/>
              <w:ind w:left="0" w:leftChars="0" w:firstLine="0" w:firstLine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2、偏差率=100%×（供应商报价-评标基准价）/评标基准价 </w:t>
            </w:r>
          </w:p>
          <w:p w14:paraId="11089EA8">
            <w:pPr>
              <w:pStyle w:val="2"/>
              <w:ind w:left="0" w:leftChars="0" w:firstLine="0" w:firstLine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注：偏差率计算结果小数点后均保留两位有效数字，第三位四舍五入 </w:t>
            </w:r>
          </w:p>
          <w:p w14:paraId="29E10C6B">
            <w:pPr>
              <w:pStyle w:val="2"/>
              <w:ind w:left="0" w:leftChars="0" w:firstLine="0" w:firstLine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（即**.**%）。</w:t>
            </w:r>
          </w:p>
          <w:p w14:paraId="223EDFCB">
            <w:pPr>
              <w:pStyle w:val="2"/>
              <w:ind w:left="0" w:leftChars="0" w:firstLine="0" w:firstLineChars="0"/>
              <w:rPr>
                <w:rFonts w:hint="default" w:ascii="宋体" w:hAnsi="宋体" w:cs="宋体"/>
                <w:b/>
                <w:bCs/>
                <w:sz w:val="24"/>
                <w:szCs w:val="24"/>
                <w:lang w:val="en-US" w:eastAsia="zh-CN"/>
              </w:rPr>
            </w:pPr>
            <w:r>
              <w:rPr>
                <w:rFonts w:hint="eastAsia" w:ascii="宋体" w:hAnsi="宋体" w:cs="宋体"/>
                <w:b w:val="0"/>
                <w:bCs w:val="0"/>
                <w:sz w:val="24"/>
                <w:szCs w:val="24"/>
                <w:lang w:val="en-US" w:eastAsia="zh-CN"/>
              </w:rPr>
              <w:t>3、供应商有效报价等于评标基准价的，即偏差率为0%的，得满分20分；偏差率与0%比较，每高一个百分点扣0.2分，扣完为止。报价得分采用内插法计算，结果四舍五入，保留两位小数。</w:t>
            </w:r>
          </w:p>
        </w:tc>
      </w:tr>
    </w:tbl>
    <w:p w14:paraId="5A67BE71">
      <w:pPr>
        <w:spacing w:line="480" w:lineRule="exact"/>
        <w:ind w:firstLine="480" w:firstLineChars="200"/>
        <w:jc w:val="both"/>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0D14768F">
      <w:pPr>
        <w:pStyle w:val="13"/>
        <w:spacing w:line="480" w:lineRule="exact"/>
        <w:ind w:right="-11" w:firstLine="495"/>
        <w:jc w:val="both"/>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得分汇总</w:t>
      </w:r>
    </w:p>
    <w:p w14:paraId="738B530E">
      <w:pPr>
        <w:pStyle w:val="13"/>
        <w:spacing w:line="480" w:lineRule="exact"/>
        <w:ind w:right="-11" w:firstLine="480" w:firstLineChars="200"/>
        <w:jc w:val="both"/>
        <w:rPr>
          <w:rFonts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14:paraId="19E3C3F6">
      <w:pPr>
        <w:spacing w:line="480" w:lineRule="exact"/>
        <w:ind w:firstLine="480" w:firstLineChars="200"/>
        <w:jc w:val="both"/>
        <w:rPr>
          <w:rFonts w:hint="eastAsia" w:ascii="宋体" w:hAnsi="宋体" w:cs="宋体"/>
          <w:sz w:val="24"/>
          <w:szCs w:val="24"/>
        </w:rPr>
      </w:pPr>
      <w:r>
        <w:rPr>
          <w:rFonts w:hint="eastAsia" w:ascii="宋体" w:hAnsi="宋体" w:cs="宋体"/>
          <w:sz w:val="24"/>
          <w:szCs w:val="24"/>
        </w:rPr>
        <w:t>（2）按照有效磋商供应商综合总得分由高到低依次排出成交供应商及成交候选供应商。</w:t>
      </w:r>
    </w:p>
    <w:p w14:paraId="18C9A887">
      <w:pPr>
        <w:spacing w:line="480" w:lineRule="exact"/>
        <w:ind w:firstLine="560" w:firstLineChars="200"/>
        <w:jc w:val="both"/>
      </w:pPr>
      <w:r>
        <w:rPr>
          <w:rFonts w:hint="eastAsia" w:ascii="宋体" w:hAnsi="宋体" w:cs="宋体"/>
          <w:sz w:val="28"/>
          <w:szCs w:val="28"/>
        </w:rPr>
        <w:br w:type="page"/>
      </w:r>
    </w:p>
    <w:p w14:paraId="35BD1E1E">
      <w:pPr>
        <w:pStyle w:val="6"/>
        <w:spacing w:before="0" w:after="0" w:line="560" w:lineRule="exact"/>
        <w:jc w:val="center"/>
        <w:rPr>
          <w:rFonts w:ascii="宋体" w:hAnsi="宋体" w:eastAsia="宋体" w:cs="宋体"/>
          <w:sz w:val="28"/>
          <w:szCs w:val="28"/>
        </w:rPr>
      </w:pPr>
      <w:bookmarkStart w:id="93" w:name="_Toc24513"/>
      <w:r>
        <w:rPr>
          <w:rFonts w:hint="eastAsia" w:ascii="宋体" w:hAnsi="宋体" w:eastAsia="宋体" w:cs="宋体"/>
          <w:sz w:val="28"/>
          <w:szCs w:val="28"/>
        </w:rPr>
        <w:t>五、响应文件格式</w:t>
      </w:r>
      <w:bookmarkEnd w:id="93"/>
    </w:p>
    <w:p w14:paraId="58D7F379">
      <w:pPr>
        <w:spacing w:line="500" w:lineRule="exact"/>
        <w:jc w:val="center"/>
        <w:rPr>
          <w:rFonts w:ascii="宋体" w:hAnsi="宋体"/>
          <w:b/>
          <w:sz w:val="32"/>
        </w:rPr>
      </w:pPr>
    </w:p>
    <w:p w14:paraId="3E064679">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5261E4C4">
      <w:pPr>
        <w:spacing w:line="900" w:lineRule="exact"/>
        <w:rPr>
          <w:rFonts w:ascii="宋体" w:hAnsi="宋体"/>
          <w:b/>
          <w:sz w:val="72"/>
        </w:rPr>
      </w:pPr>
    </w:p>
    <w:p w14:paraId="4E6AF297">
      <w:pPr>
        <w:spacing w:line="900" w:lineRule="exact"/>
        <w:jc w:val="center"/>
        <w:rPr>
          <w:rFonts w:ascii="宋体" w:hAnsi="宋体"/>
          <w:b/>
          <w:sz w:val="72"/>
        </w:rPr>
      </w:pPr>
      <w:r>
        <w:rPr>
          <w:rFonts w:hint="eastAsia" w:ascii="宋体" w:hAnsi="宋体"/>
          <w:b/>
          <w:sz w:val="72"/>
        </w:rPr>
        <w:t>响</w:t>
      </w:r>
    </w:p>
    <w:p w14:paraId="0C202435">
      <w:pPr>
        <w:spacing w:line="900" w:lineRule="exact"/>
        <w:jc w:val="center"/>
        <w:rPr>
          <w:rFonts w:ascii="宋体" w:hAnsi="宋体"/>
          <w:b/>
          <w:sz w:val="72"/>
        </w:rPr>
      </w:pPr>
    </w:p>
    <w:p w14:paraId="5BDAE00E">
      <w:pPr>
        <w:spacing w:line="900" w:lineRule="exact"/>
        <w:jc w:val="center"/>
        <w:rPr>
          <w:rFonts w:ascii="宋体" w:hAnsi="宋体"/>
          <w:b/>
          <w:sz w:val="72"/>
        </w:rPr>
      </w:pPr>
      <w:r>
        <w:rPr>
          <w:rFonts w:hint="eastAsia" w:ascii="宋体" w:hAnsi="宋体"/>
          <w:b/>
          <w:sz w:val="72"/>
        </w:rPr>
        <w:t>应</w:t>
      </w:r>
    </w:p>
    <w:p w14:paraId="0F85322C">
      <w:pPr>
        <w:spacing w:line="900" w:lineRule="exact"/>
        <w:jc w:val="center"/>
        <w:rPr>
          <w:rFonts w:ascii="宋体" w:hAnsi="宋体"/>
          <w:b/>
          <w:sz w:val="72"/>
        </w:rPr>
      </w:pPr>
    </w:p>
    <w:p w14:paraId="3FCEF17D">
      <w:pPr>
        <w:spacing w:line="900" w:lineRule="exact"/>
        <w:jc w:val="center"/>
        <w:rPr>
          <w:rFonts w:ascii="宋体" w:hAnsi="宋体"/>
          <w:b/>
          <w:sz w:val="72"/>
        </w:rPr>
      </w:pPr>
      <w:r>
        <w:rPr>
          <w:rFonts w:hint="eastAsia" w:ascii="宋体" w:hAnsi="宋体"/>
          <w:b/>
          <w:sz w:val="72"/>
        </w:rPr>
        <w:t>文</w:t>
      </w:r>
    </w:p>
    <w:p w14:paraId="660D5462">
      <w:pPr>
        <w:spacing w:line="900" w:lineRule="exact"/>
        <w:jc w:val="center"/>
        <w:rPr>
          <w:rFonts w:ascii="宋体" w:hAnsi="宋体"/>
          <w:b/>
          <w:sz w:val="72"/>
        </w:rPr>
      </w:pPr>
    </w:p>
    <w:p w14:paraId="6A33673C">
      <w:pPr>
        <w:jc w:val="center"/>
        <w:rPr>
          <w:rFonts w:ascii="宋体" w:hAnsi="宋体"/>
          <w:b/>
          <w:sz w:val="72"/>
        </w:rPr>
      </w:pPr>
      <w:r>
        <w:rPr>
          <w:rFonts w:hint="eastAsia" w:ascii="宋体" w:hAnsi="宋体"/>
          <w:b/>
          <w:sz w:val="72"/>
        </w:rPr>
        <w:t>件</w:t>
      </w:r>
    </w:p>
    <w:p w14:paraId="5FEE057E">
      <w:pPr>
        <w:spacing w:after="156" w:afterLines="50"/>
        <w:jc w:val="center"/>
        <w:rPr>
          <w:rFonts w:ascii="宋体" w:hAnsi="宋体"/>
          <w:b/>
          <w:sz w:val="72"/>
        </w:rPr>
      </w:pPr>
    </w:p>
    <w:p w14:paraId="53678453">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5DB100DF">
      <w:pPr>
        <w:spacing w:after="156" w:afterLines="50" w:line="500" w:lineRule="exact"/>
        <w:jc w:val="center"/>
        <w:rPr>
          <w:rFonts w:ascii="宋体" w:hAnsi="宋体"/>
          <w:b/>
          <w:sz w:val="72"/>
        </w:rPr>
      </w:pPr>
    </w:p>
    <w:p w14:paraId="2C5612A2">
      <w:pPr>
        <w:spacing w:after="156" w:afterLines="50" w:line="500" w:lineRule="exact"/>
        <w:ind w:firstLine="3052" w:firstLineChars="950"/>
        <w:rPr>
          <w:rFonts w:ascii="宋体" w:hAnsi="宋体"/>
          <w:b/>
          <w:sz w:val="32"/>
          <w:u w:val="single"/>
        </w:rPr>
      </w:pPr>
      <w:r>
        <w:rPr>
          <w:rFonts w:hint="eastAsia" w:ascii="宋体" w:hAnsi="宋体"/>
          <w:b/>
          <w:sz w:val="32"/>
        </w:rPr>
        <w:t>供应商：</w:t>
      </w:r>
    </w:p>
    <w:p w14:paraId="4403A5D2">
      <w:pPr>
        <w:spacing w:after="156" w:afterLines="50" w:line="500" w:lineRule="exact"/>
        <w:ind w:firstLine="3052" w:firstLineChars="950"/>
        <w:rPr>
          <w:rFonts w:ascii="宋体" w:hAnsi="宋体"/>
          <w:b/>
          <w:sz w:val="32"/>
        </w:rPr>
      </w:pPr>
      <w:r>
        <w:rPr>
          <w:rFonts w:hint="eastAsia" w:ascii="宋体" w:hAnsi="宋体"/>
          <w:b/>
          <w:sz w:val="32"/>
        </w:rPr>
        <w:t>年  月  日</w:t>
      </w:r>
    </w:p>
    <w:p w14:paraId="4F118E9B">
      <w:pPr>
        <w:spacing w:after="156" w:afterLines="50" w:line="500" w:lineRule="exact"/>
        <w:jc w:val="center"/>
        <w:rPr>
          <w:rFonts w:ascii="宋体" w:hAnsi="宋体"/>
          <w:b/>
          <w:sz w:val="32"/>
        </w:rPr>
      </w:pPr>
    </w:p>
    <w:p w14:paraId="3D168DB6">
      <w:pPr>
        <w:spacing w:line="360" w:lineRule="auto"/>
        <w:rPr>
          <w:rFonts w:ascii="宋体" w:hAnsi="宋体"/>
          <w:sz w:val="24"/>
          <w:szCs w:val="28"/>
        </w:rPr>
      </w:pPr>
    </w:p>
    <w:bookmarkEnd w:id="88"/>
    <w:p w14:paraId="41C0E384">
      <w:pPr>
        <w:pStyle w:val="6"/>
        <w:spacing w:before="156" w:beforeLines="50" w:after="156" w:afterLines="50" w:line="560" w:lineRule="exact"/>
        <w:jc w:val="center"/>
        <w:rPr>
          <w:rFonts w:ascii="宋体" w:hAnsi="宋体" w:eastAsia="宋体" w:cs="宋体"/>
          <w:sz w:val="24"/>
          <w:szCs w:val="24"/>
        </w:rPr>
      </w:pPr>
      <w:bookmarkStart w:id="94" w:name="_Toc6954"/>
      <w:bookmarkStart w:id="95" w:name="_Toc21225"/>
      <w:r>
        <w:rPr>
          <w:rFonts w:hint="eastAsia" w:ascii="宋体" w:hAnsi="宋体" w:eastAsia="宋体" w:cs="宋体"/>
          <w:sz w:val="24"/>
          <w:szCs w:val="24"/>
        </w:rPr>
        <w:t>响应文件资料清单</w:t>
      </w:r>
      <w:bookmarkEnd w:id="94"/>
      <w:bookmarkEnd w:id="95"/>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7B41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2D6C559">
            <w:pPr>
              <w:spacing w:line="400" w:lineRule="exact"/>
              <w:jc w:val="center"/>
              <w:rPr>
                <w:rFonts w:ascii="宋体" w:hAnsi="宋体"/>
                <w:b/>
                <w:sz w:val="24"/>
              </w:rPr>
            </w:pPr>
            <w:r>
              <w:rPr>
                <w:rFonts w:hint="eastAsia" w:ascii="宋体" w:hAnsi="宋体"/>
                <w:b/>
                <w:sz w:val="24"/>
              </w:rPr>
              <w:t>序号</w:t>
            </w:r>
          </w:p>
        </w:tc>
        <w:tc>
          <w:tcPr>
            <w:tcW w:w="6038" w:type="dxa"/>
            <w:vAlign w:val="center"/>
          </w:tcPr>
          <w:p w14:paraId="04A8DECC">
            <w:pPr>
              <w:spacing w:line="400" w:lineRule="exact"/>
              <w:jc w:val="center"/>
              <w:rPr>
                <w:rFonts w:ascii="宋体" w:hAnsi="宋体"/>
                <w:b/>
                <w:sz w:val="24"/>
              </w:rPr>
            </w:pPr>
            <w:r>
              <w:rPr>
                <w:rFonts w:hint="eastAsia" w:ascii="宋体" w:hAnsi="宋体"/>
                <w:b/>
                <w:sz w:val="24"/>
              </w:rPr>
              <w:t>资料名称</w:t>
            </w:r>
          </w:p>
        </w:tc>
        <w:tc>
          <w:tcPr>
            <w:tcW w:w="1417" w:type="dxa"/>
            <w:vAlign w:val="center"/>
          </w:tcPr>
          <w:p w14:paraId="3A65498C">
            <w:pPr>
              <w:spacing w:line="400" w:lineRule="exact"/>
              <w:jc w:val="center"/>
              <w:rPr>
                <w:rFonts w:ascii="宋体" w:hAnsi="宋体"/>
                <w:b/>
                <w:sz w:val="24"/>
              </w:rPr>
            </w:pPr>
            <w:r>
              <w:rPr>
                <w:rFonts w:hint="eastAsia" w:ascii="宋体" w:hAnsi="宋体"/>
                <w:b/>
                <w:sz w:val="24"/>
              </w:rPr>
              <w:t>备注</w:t>
            </w:r>
          </w:p>
        </w:tc>
      </w:tr>
      <w:tr w14:paraId="5399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D5AEDD2">
            <w:pPr>
              <w:jc w:val="center"/>
              <w:rPr>
                <w:rFonts w:ascii="Tahoma" w:hAnsi="Tahoma"/>
                <w:sz w:val="24"/>
              </w:rPr>
            </w:pPr>
            <w:r>
              <w:rPr>
                <w:rFonts w:hint="eastAsia" w:ascii="Tahoma" w:hAnsi="Tahoma"/>
                <w:sz w:val="24"/>
              </w:rPr>
              <w:t>一</w:t>
            </w:r>
          </w:p>
        </w:tc>
        <w:tc>
          <w:tcPr>
            <w:tcW w:w="6038" w:type="dxa"/>
            <w:vAlign w:val="center"/>
          </w:tcPr>
          <w:p w14:paraId="45647DE3">
            <w:pPr>
              <w:spacing w:line="360" w:lineRule="auto"/>
              <w:rPr>
                <w:rFonts w:ascii="Tahoma" w:hAnsi="Tahoma"/>
                <w:sz w:val="24"/>
              </w:rPr>
            </w:pPr>
            <w:r>
              <w:rPr>
                <w:rFonts w:hint="eastAsia" w:ascii="宋体" w:hAnsi="宋体"/>
                <w:sz w:val="24"/>
                <w:szCs w:val="24"/>
              </w:rPr>
              <w:t>报价单</w:t>
            </w:r>
          </w:p>
        </w:tc>
        <w:tc>
          <w:tcPr>
            <w:tcW w:w="1417" w:type="dxa"/>
            <w:vAlign w:val="center"/>
          </w:tcPr>
          <w:p w14:paraId="2D9CF3FE">
            <w:pPr>
              <w:spacing w:line="360" w:lineRule="auto"/>
              <w:jc w:val="center"/>
              <w:rPr>
                <w:rFonts w:ascii="宋体" w:hAnsi="宋体"/>
                <w:b/>
                <w:sz w:val="24"/>
              </w:rPr>
            </w:pPr>
          </w:p>
        </w:tc>
      </w:tr>
      <w:tr w14:paraId="1B42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9E824F">
            <w:pPr>
              <w:jc w:val="center"/>
              <w:rPr>
                <w:rFonts w:ascii="Tahoma" w:hAnsi="Tahoma"/>
                <w:sz w:val="24"/>
              </w:rPr>
            </w:pPr>
            <w:r>
              <w:rPr>
                <w:rFonts w:hint="eastAsia" w:ascii="Tahoma" w:hAnsi="Tahoma"/>
                <w:sz w:val="24"/>
              </w:rPr>
              <w:t>二</w:t>
            </w:r>
          </w:p>
        </w:tc>
        <w:tc>
          <w:tcPr>
            <w:tcW w:w="6038" w:type="dxa"/>
            <w:vAlign w:val="center"/>
          </w:tcPr>
          <w:p w14:paraId="25D9C2FA">
            <w:pPr>
              <w:spacing w:line="360" w:lineRule="auto"/>
              <w:rPr>
                <w:rFonts w:ascii="Tahoma" w:hAnsi="Tahoma"/>
                <w:sz w:val="24"/>
              </w:rPr>
            </w:pPr>
            <w:r>
              <w:rPr>
                <w:rFonts w:hint="eastAsia" w:ascii="Tahoma" w:hAnsi="Tahoma"/>
                <w:sz w:val="24"/>
              </w:rPr>
              <w:t>供应商基本信息</w:t>
            </w:r>
          </w:p>
        </w:tc>
        <w:tc>
          <w:tcPr>
            <w:tcW w:w="1417" w:type="dxa"/>
            <w:vAlign w:val="center"/>
          </w:tcPr>
          <w:p w14:paraId="7FE9C427">
            <w:pPr>
              <w:spacing w:line="360" w:lineRule="auto"/>
              <w:jc w:val="center"/>
              <w:rPr>
                <w:rFonts w:ascii="宋体" w:hAnsi="宋体"/>
                <w:b/>
                <w:sz w:val="24"/>
              </w:rPr>
            </w:pPr>
          </w:p>
        </w:tc>
      </w:tr>
      <w:tr w14:paraId="7AC8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E7B05F8">
            <w:pPr>
              <w:jc w:val="center"/>
              <w:rPr>
                <w:rFonts w:ascii="Tahoma" w:hAnsi="Tahoma"/>
                <w:sz w:val="24"/>
              </w:rPr>
            </w:pPr>
            <w:r>
              <w:rPr>
                <w:rFonts w:hint="eastAsia" w:ascii="Tahoma" w:hAnsi="Tahoma"/>
                <w:sz w:val="24"/>
              </w:rPr>
              <w:t>三</w:t>
            </w:r>
          </w:p>
        </w:tc>
        <w:tc>
          <w:tcPr>
            <w:tcW w:w="6038" w:type="dxa"/>
            <w:vAlign w:val="center"/>
          </w:tcPr>
          <w:p w14:paraId="3F9A2F1F">
            <w:pPr>
              <w:pStyle w:val="62"/>
            </w:pPr>
            <w:r>
              <w:rPr>
                <w:rFonts w:hint="eastAsia" w:ascii="宋体" w:hAnsi="宋体"/>
                <w:szCs w:val="24"/>
              </w:rPr>
              <w:t>磋商授权书</w:t>
            </w:r>
          </w:p>
        </w:tc>
        <w:tc>
          <w:tcPr>
            <w:tcW w:w="1417" w:type="dxa"/>
            <w:vAlign w:val="center"/>
          </w:tcPr>
          <w:p w14:paraId="19C67F9E">
            <w:pPr>
              <w:spacing w:line="360" w:lineRule="auto"/>
              <w:jc w:val="center"/>
              <w:rPr>
                <w:rFonts w:ascii="宋体" w:hAnsi="宋体"/>
                <w:b/>
                <w:sz w:val="24"/>
              </w:rPr>
            </w:pPr>
          </w:p>
        </w:tc>
      </w:tr>
      <w:tr w14:paraId="770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F04CC3A">
            <w:pPr>
              <w:jc w:val="center"/>
              <w:rPr>
                <w:rFonts w:ascii="Tahoma" w:hAnsi="Tahoma"/>
                <w:sz w:val="24"/>
              </w:rPr>
            </w:pPr>
            <w:r>
              <w:rPr>
                <w:rFonts w:hint="eastAsia" w:ascii="Tahoma" w:hAnsi="Tahoma"/>
                <w:sz w:val="24"/>
              </w:rPr>
              <w:t>四</w:t>
            </w:r>
          </w:p>
        </w:tc>
        <w:tc>
          <w:tcPr>
            <w:tcW w:w="6038" w:type="dxa"/>
            <w:vAlign w:val="center"/>
          </w:tcPr>
          <w:p w14:paraId="17501C95">
            <w:pPr>
              <w:pStyle w:val="62"/>
            </w:pPr>
            <w:r>
              <w:rPr>
                <w:rFonts w:hint="eastAsia" w:ascii="宋体" w:hAnsi="宋体"/>
                <w:szCs w:val="24"/>
              </w:rPr>
              <w:t>磋商响应函</w:t>
            </w:r>
          </w:p>
        </w:tc>
        <w:tc>
          <w:tcPr>
            <w:tcW w:w="1417" w:type="dxa"/>
            <w:vAlign w:val="center"/>
          </w:tcPr>
          <w:p w14:paraId="0EC658E1">
            <w:pPr>
              <w:spacing w:line="360" w:lineRule="auto"/>
              <w:jc w:val="center"/>
              <w:rPr>
                <w:rFonts w:ascii="宋体" w:hAnsi="宋体"/>
                <w:b/>
                <w:sz w:val="24"/>
              </w:rPr>
            </w:pPr>
          </w:p>
        </w:tc>
      </w:tr>
      <w:tr w14:paraId="0FD5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4DBAB49">
            <w:pPr>
              <w:jc w:val="center"/>
              <w:rPr>
                <w:rFonts w:ascii="Tahoma" w:hAnsi="Tahoma"/>
                <w:sz w:val="24"/>
              </w:rPr>
            </w:pPr>
            <w:r>
              <w:rPr>
                <w:rFonts w:hint="eastAsia" w:ascii="Tahoma" w:hAnsi="Tahoma"/>
                <w:sz w:val="24"/>
              </w:rPr>
              <w:t>五</w:t>
            </w:r>
          </w:p>
        </w:tc>
        <w:tc>
          <w:tcPr>
            <w:tcW w:w="6038" w:type="dxa"/>
            <w:vAlign w:val="center"/>
          </w:tcPr>
          <w:p w14:paraId="6EBEA5FE">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41852323">
            <w:pPr>
              <w:spacing w:line="360" w:lineRule="auto"/>
              <w:jc w:val="center"/>
              <w:rPr>
                <w:rFonts w:ascii="宋体" w:hAnsi="宋体"/>
                <w:b/>
                <w:sz w:val="24"/>
              </w:rPr>
            </w:pPr>
          </w:p>
        </w:tc>
      </w:tr>
      <w:tr w14:paraId="24AE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65955A94">
            <w:pPr>
              <w:jc w:val="center"/>
              <w:rPr>
                <w:rFonts w:ascii="Tahoma" w:hAnsi="Tahoma"/>
                <w:sz w:val="24"/>
              </w:rPr>
            </w:pPr>
            <w:r>
              <w:rPr>
                <w:rFonts w:hint="eastAsia" w:ascii="Tahoma" w:hAnsi="Tahoma"/>
                <w:sz w:val="24"/>
              </w:rPr>
              <w:t>六</w:t>
            </w:r>
          </w:p>
        </w:tc>
        <w:tc>
          <w:tcPr>
            <w:tcW w:w="6038" w:type="dxa"/>
            <w:vAlign w:val="center"/>
          </w:tcPr>
          <w:p w14:paraId="45783EB6">
            <w:pPr>
              <w:rPr>
                <w:rFonts w:ascii="宋体" w:hAnsi="宋体" w:cs="宋体"/>
                <w:sz w:val="24"/>
              </w:rPr>
            </w:pPr>
            <w:r>
              <w:rPr>
                <w:rFonts w:hint="eastAsia" w:ascii="宋体" w:hAnsi="宋体" w:cs="宋体"/>
                <w:sz w:val="24"/>
                <w:szCs w:val="24"/>
              </w:rPr>
              <w:t>响应情况表</w:t>
            </w:r>
          </w:p>
        </w:tc>
        <w:tc>
          <w:tcPr>
            <w:tcW w:w="1417" w:type="dxa"/>
            <w:vAlign w:val="center"/>
          </w:tcPr>
          <w:p w14:paraId="330CB95D">
            <w:pPr>
              <w:spacing w:line="360" w:lineRule="auto"/>
              <w:rPr>
                <w:rFonts w:ascii="宋体" w:hAnsi="宋体"/>
                <w:b/>
                <w:sz w:val="24"/>
              </w:rPr>
            </w:pPr>
          </w:p>
        </w:tc>
      </w:tr>
      <w:tr w14:paraId="3DFB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77784A00">
            <w:pPr>
              <w:jc w:val="center"/>
              <w:rPr>
                <w:rFonts w:hint="eastAsia" w:ascii="Tahoma" w:hAnsi="Tahoma" w:eastAsia="宋体"/>
                <w:sz w:val="24"/>
                <w:lang w:eastAsia="zh-CN"/>
              </w:rPr>
            </w:pPr>
            <w:r>
              <w:rPr>
                <w:rFonts w:hint="eastAsia" w:ascii="Tahoma" w:hAnsi="Tahoma"/>
                <w:sz w:val="24"/>
                <w:lang w:eastAsia="zh-CN"/>
              </w:rPr>
              <w:t>七</w:t>
            </w:r>
          </w:p>
        </w:tc>
        <w:tc>
          <w:tcPr>
            <w:tcW w:w="6038" w:type="dxa"/>
            <w:vAlign w:val="center"/>
          </w:tcPr>
          <w:p w14:paraId="73643839">
            <w:pPr>
              <w:spacing w:line="480" w:lineRule="exact"/>
              <w:rPr>
                <w:rFonts w:ascii="宋体" w:hAnsi="宋体" w:cs="宋体"/>
                <w:sz w:val="24"/>
              </w:rPr>
            </w:pPr>
            <w:r>
              <w:rPr>
                <w:rFonts w:hint="eastAsia" w:ascii="宋体" w:hAnsi="宋体" w:eastAsia="宋体" w:cs="宋体"/>
                <w:sz w:val="24"/>
                <w:szCs w:val="24"/>
                <w:highlight w:val="none"/>
                <w:lang w:val="en-US" w:eastAsia="zh-CN"/>
              </w:rPr>
              <w:t>技术标材料</w:t>
            </w:r>
          </w:p>
        </w:tc>
        <w:tc>
          <w:tcPr>
            <w:tcW w:w="1417" w:type="dxa"/>
            <w:vAlign w:val="center"/>
          </w:tcPr>
          <w:p w14:paraId="4D7CF0FC">
            <w:pPr>
              <w:spacing w:line="360" w:lineRule="auto"/>
              <w:rPr>
                <w:rFonts w:ascii="宋体" w:hAnsi="宋体"/>
                <w:b/>
                <w:sz w:val="24"/>
              </w:rPr>
            </w:pPr>
          </w:p>
        </w:tc>
      </w:tr>
      <w:tr w14:paraId="769B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60C63409">
            <w:pPr>
              <w:jc w:val="center"/>
              <w:rPr>
                <w:rFonts w:hint="eastAsia" w:ascii="Tahoma" w:hAnsi="Tahoma" w:eastAsia="宋体"/>
                <w:sz w:val="24"/>
                <w:lang w:eastAsia="zh-CN"/>
              </w:rPr>
            </w:pPr>
            <w:r>
              <w:rPr>
                <w:rFonts w:hint="eastAsia" w:ascii="Tahoma" w:hAnsi="Tahoma"/>
                <w:sz w:val="24"/>
                <w:lang w:eastAsia="zh-CN"/>
              </w:rPr>
              <w:t>八</w:t>
            </w:r>
          </w:p>
        </w:tc>
        <w:tc>
          <w:tcPr>
            <w:tcW w:w="6038" w:type="dxa"/>
            <w:vAlign w:val="center"/>
          </w:tcPr>
          <w:p w14:paraId="48B50700">
            <w:pPr>
              <w:rPr>
                <w:rFonts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14:paraId="3C865B69">
            <w:pPr>
              <w:spacing w:line="360" w:lineRule="auto"/>
              <w:rPr>
                <w:rFonts w:ascii="宋体" w:hAnsi="宋体"/>
                <w:b/>
                <w:sz w:val="24"/>
              </w:rPr>
            </w:pPr>
          </w:p>
        </w:tc>
      </w:tr>
      <w:tr w14:paraId="0273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19579D45">
            <w:pPr>
              <w:jc w:val="center"/>
              <w:rPr>
                <w:rFonts w:hint="eastAsia" w:ascii="Tahoma" w:hAnsi="Tahoma" w:eastAsia="宋体"/>
                <w:sz w:val="24"/>
                <w:lang w:eastAsia="zh-CN"/>
              </w:rPr>
            </w:pPr>
            <w:r>
              <w:rPr>
                <w:rFonts w:hint="eastAsia" w:ascii="Tahoma" w:hAnsi="Tahoma"/>
                <w:sz w:val="24"/>
                <w:lang w:eastAsia="zh-CN"/>
              </w:rPr>
              <w:t>九</w:t>
            </w:r>
          </w:p>
        </w:tc>
        <w:tc>
          <w:tcPr>
            <w:tcW w:w="6038" w:type="dxa"/>
            <w:vAlign w:val="center"/>
          </w:tcPr>
          <w:p w14:paraId="473566A0">
            <w:pPr>
              <w:rPr>
                <w:rFonts w:ascii="宋体" w:hAnsi="宋体" w:cs="宋体"/>
                <w:sz w:val="24"/>
              </w:rPr>
            </w:pPr>
          </w:p>
        </w:tc>
        <w:tc>
          <w:tcPr>
            <w:tcW w:w="1417" w:type="dxa"/>
            <w:vAlign w:val="center"/>
          </w:tcPr>
          <w:p w14:paraId="5E21F47A">
            <w:pPr>
              <w:spacing w:line="360" w:lineRule="auto"/>
              <w:rPr>
                <w:rFonts w:ascii="宋体" w:hAnsi="宋体"/>
                <w:b/>
                <w:sz w:val="24"/>
              </w:rPr>
            </w:pPr>
          </w:p>
        </w:tc>
      </w:tr>
      <w:tr w14:paraId="1F5C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38E63C0B">
            <w:pPr>
              <w:jc w:val="center"/>
              <w:rPr>
                <w:sz w:val="24"/>
              </w:rPr>
            </w:pPr>
          </w:p>
        </w:tc>
        <w:tc>
          <w:tcPr>
            <w:tcW w:w="6038" w:type="dxa"/>
            <w:vAlign w:val="center"/>
          </w:tcPr>
          <w:p w14:paraId="66575BBF">
            <w:pPr>
              <w:rPr>
                <w:sz w:val="24"/>
              </w:rPr>
            </w:pPr>
          </w:p>
        </w:tc>
        <w:tc>
          <w:tcPr>
            <w:tcW w:w="1417" w:type="dxa"/>
            <w:vAlign w:val="center"/>
          </w:tcPr>
          <w:p w14:paraId="78BF0698">
            <w:pPr>
              <w:spacing w:line="360" w:lineRule="auto"/>
              <w:rPr>
                <w:rFonts w:ascii="宋体" w:hAnsi="宋体"/>
                <w:b/>
                <w:sz w:val="24"/>
              </w:rPr>
            </w:pPr>
          </w:p>
        </w:tc>
      </w:tr>
      <w:tr w14:paraId="2A3C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6598A510">
            <w:pPr>
              <w:jc w:val="center"/>
              <w:rPr>
                <w:sz w:val="24"/>
              </w:rPr>
            </w:pPr>
          </w:p>
        </w:tc>
        <w:tc>
          <w:tcPr>
            <w:tcW w:w="6038" w:type="dxa"/>
            <w:vAlign w:val="center"/>
          </w:tcPr>
          <w:p w14:paraId="4CE522B1">
            <w:pPr>
              <w:rPr>
                <w:sz w:val="24"/>
              </w:rPr>
            </w:pPr>
          </w:p>
        </w:tc>
        <w:tc>
          <w:tcPr>
            <w:tcW w:w="1417" w:type="dxa"/>
            <w:vAlign w:val="center"/>
          </w:tcPr>
          <w:p w14:paraId="3D0A4A0C">
            <w:pPr>
              <w:spacing w:line="360" w:lineRule="auto"/>
              <w:rPr>
                <w:rFonts w:ascii="宋体" w:hAnsi="宋体"/>
                <w:b/>
                <w:sz w:val="24"/>
              </w:rPr>
            </w:pPr>
          </w:p>
        </w:tc>
      </w:tr>
    </w:tbl>
    <w:p w14:paraId="1BAD0847">
      <w:pPr>
        <w:spacing w:line="360" w:lineRule="auto"/>
        <w:jc w:val="center"/>
        <w:rPr>
          <w:rFonts w:ascii="宋体" w:hAnsi="宋体"/>
          <w:b/>
          <w:sz w:val="24"/>
        </w:rPr>
      </w:pPr>
    </w:p>
    <w:p w14:paraId="68E3A27A">
      <w:pPr>
        <w:spacing w:line="360" w:lineRule="auto"/>
        <w:jc w:val="center"/>
        <w:rPr>
          <w:rFonts w:ascii="宋体" w:hAnsi="宋体"/>
          <w:b/>
          <w:sz w:val="24"/>
        </w:rPr>
      </w:pPr>
    </w:p>
    <w:p w14:paraId="63ED09F9">
      <w:pPr>
        <w:spacing w:line="360" w:lineRule="auto"/>
        <w:jc w:val="center"/>
        <w:rPr>
          <w:rFonts w:ascii="宋体" w:hAnsi="宋体"/>
          <w:b/>
          <w:sz w:val="24"/>
        </w:rPr>
      </w:pPr>
    </w:p>
    <w:p w14:paraId="3E6E982A">
      <w:pPr>
        <w:rPr>
          <w:rFonts w:ascii="宋体" w:hAnsi="宋体" w:cs="宋体"/>
          <w:sz w:val="24"/>
          <w:szCs w:val="24"/>
        </w:rPr>
      </w:pPr>
      <w:r>
        <w:rPr>
          <w:rFonts w:hint="eastAsia" w:ascii="宋体" w:hAnsi="宋体" w:cs="宋体"/>
          <w:sz w:val="24"/>
          <w:szCs w:val="24"/>
        </w:rPr>
        <w:br w:type="page"/>
      </w:r>
    </w:p>
    <w:p w14:paraId="3A2C954D">
      <w:pPr>
        <w:pStyle w:val="6"/>
        <w:spacing w:before="0" w:after="0" w:line="560" w:lineRule="exact"/>
        <w:rPr>
          <w:rFonts w:ascii="宋体" w:hAnsi="宋体" w:eastAsia="宋体" w:cs="宋体"/>
          <w:sz w:val="24"/>
          <w:szCs w:val="24"/>
        </w:rPr>
      </w:pPr>
      <w:bookmarkStart w:id="96" w:name="_Toc2023"/>
      <w:r>
        <w:rPr>
          <w:rFonts w:hint="eastAsia" w:ascii="宋体" w:hAnsi="宋体" w:eastAsia="宋体" w:cs="宋体"/>
          <w:sz w:val="24"/>
          <w:szCs w:val="24"/>
        </w:rPr>
        <w:t>附件一</w:t>
      </w:r>
      <w:bookmarkEnd w:id="96"/>
    </w:p>
    <w:p w14:paraId="7DE588EA">
      <w:pPr>
        <w:pStyle w:val="6"/>
        <w:spacing w:before="0" w:after="0" w:line="560" w:lineRule="exact"/>
        <w:jc w:val="center"/>
        <w:rPr>
          <w:rFonts w:ascii="宋体" w:hAnsi="宋体" w:eastAsia="宋体" w:cs="宋体"/>
          <w:sz w:val="24"/>
          <w:szCs w:val="24"/>
        </w:rPr>
      </w:pPr>
      <w:bookmarkStart w:id="97" w:name="_Toc3383"/>
      <w:bookmarkStart w:id="98" w:name="_Toc5601"/>
      <w:bookmarkStart w:id="99" w:name="_Toc24561"/>
      <w:r>
        <w:rPr>
          <w:rFonts w:hint="eastAsia" w:ascii="宋体" w:hAnsi="宋体" w:eastAsia="宋体" w:cs="宋体"/>
          <w:sz w:val="24"/>
          <w:szCs w:val="24"/>
        </w:rPr>
        <w:t>报价单</w:t>
      </w:r>
      <w:bookmarkEnd w:id="97"/>
      <w:bookmarkEnd w:id="98"/>
      <w:bookmarkEnd w:id="99"/>
    </w:p>
    <w:p w14:paraId="0ADE6749"/>
    <w:tbl>
      <w:tblPr>
        <w:tblStyle w:val="35"/>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14:paraId="68B0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0F4D31FA">
            <w:pPr>
              <w:pStyle w:val="90"/>
              <w:widowControl w:val="0"/>
              <w:spacing w:before="0" w:beforeAutospacing="0" w:after="0" w:afterAutospacing="0"/>
              <w:rPr>
                <w:rFonts w:cs="宋体"/>
                <w:bCs w:val="0"/>
                <w:kern w:val="2"/>
                <w:sz w:val="24"/>
                <w:szCs w:val="24"/>
              </w:rPr>
            </w:pPr>
            <w:r>
              <w:rPr>
                <w:rFonts w:hint="eastAsia" w:cs="宋体"/>
                <w:bCs w:val="0"/>
                <w:kern w:val="2"/>
                <w:sz w:val="24"/>
                <w:szCs w:val="24"/>
              </w:rPr>
              <w:t>序号</w:t>
            </w:r>
          </w:p>
        </w:tc>
        <w:tc>
          <w:tcPr>
            <w:tcW w:w="1327" w:type="dxa"/>
            <w:vAlign w:val="center"/>
          </w:tcPr>
          <w:p w14:paraId="5445CD21">
            <w:pPr>
              <w:jc w:val="center"/>
              <w:rPr>
                <w:rFonts w:ascii="宋体" w:hAnsi="宋体" w:cs="宋体"/>
                <w:b/>
                <w:sz w:val="24"/>
                <w:szCs w:val="24"/>
              </w:rPr>
            </w:pPr>
            <w:r>
              <w:rPr>
                <w:rFonts w:hint="eastAsia" w:ascii="宋体" w:hAnsi="宋体" w:cs="宋体"/>
                <w:b/>
                <w:sz w:val="24"/>
                <w:szCs w:val="24"/>
              </w:rPr>
              <w:t>货物名称</w:t>
            </w:r>
          </w:p>
        </w:tc>
        <w:tc>
          <w:tcPr>
            <w:tcW w:w="1529" w:type="dxa"/>
            <w:vAlign w:val="center"/>
          </w:tcPr>
          <w:p w14:paraId="0CBA80B9">
            <w:pPr>
              <w:jc w:val="center"/>
              <w:rPr>
                <w:rFonts w:ascii="宋体" w:hAnsi="宋体" w:cs="宋体"/>
                <w:b/>
                <w:sz w:val="24"/>
                <w:szCs w:val="24"/>
              </w:rPr>
            </w:pPr>
            <w:r>
              <w:rPr>
                <w:rFonts w:hint="eastAsia" w:ascii="宋体" w:hAnsi="宋体" w:cs="宋体"/>
                <w:b/>
                <w:sz w:val="24"/>
                <w:szCs w:val="24"/>
              </w:rPr>
              <w:t>品牌型号</w:t>
            </w:r>
          </w:p>
        </w:tc>
        <w:tc>
          <w:tcPr>
            <w:tcW w:w="1529" w:type="dxa"/>
            <w:vAlign w:val="center"/>
          </w:tcPr>
          <w:p w14:paraId="7D157C47">
            <w:pPr>
              <w:jc w:val="center"/>
              <w:rPr>
                <w:rFonts w:ascii="宋体" w:hAnsi="宋体" w:cs="宋体"/>
                <w:b/>
                <w:sz w:val="24"/>
                <w:szCs w:val="24"/>
              </w:rPr>
            </w:pPr>
            <w:r>
              <w:rPr>
                <w:rFonts w:hint="eastAsia" w:ascii="宋体" w:hAnsi="宋体" w:cs="宋体"/>
                <w:b/>
                <w:sz w:val="24"/>
                <w:szCs w:val="24"/>
              </w:rPr>
              <w:t>原产地及</w:t>
            </w:r>
          </w:p>
          <w:p w14:paraId="1FA108F6">
            <w:pPr>
              <w:jc w:val="center"/>
              <w:rPr>
                <w:rFonts w:ascii="宋体" w:hAnsi="宋体" w:cs="宋体"/>
                <w:b/>
                <w:sz w:val="24"/>
                <w:szCs w:val="24"/>
              </w:rPr>
            </w:pPr>
            <w:r>
              <w:rPr>
                <w:rFonts w:hint="eastAsia" w:ascii="宋体" w:hAnsi="宋体" w:cs="宋体"/>
                <w:b/>
                <w:sz w:val="24"/>
                <w:szCs w:val="24"/>
              </w:rPr>
              <w:t>生产厂商</w:t>
            </w:r>
          </w:p>
        </w:tc>
        <w:tc>
          <w:tcPr>
            <w:tcW w:w="786" w:type="dxa"/>
            <w:vAlign w:val="center"/>
          </w:tcPr>
          <w:p w14:paraId="600D58DF">
            <w:pPr>
              <w:jc w:val="center"/>
              <w:rPr>
                <w:rFonts w:ascii="宋体" w:hAnsi="宋体" w:cs="宋体"/>
                <w:b/>
                <w:sz w:val="24"/>
                <w:szCs w:val="24"/>
              </w:rPr>
            </w:pPr>
            <w:r>
              <w:rPr>
                <w:rFonts w:hint="eastAsia" w:ascii="宋体" w:hAnsi="宋体" w:cs="宋体"/>
                <w:b/>
                <w:sz w:val="24"/>
                <w:szCs w:val="24"/>
              </w:rPr>
              <w:t>单位</w:t>
            </w:r>
          </w:p>
        </w:tc>
        <w:tc>
          <w:tcPr>
            <w:tcW w:w="786" w:type="dxa"/>
            <w:vAlign w:val="center"/>
          </w:tcPr>
          <w:p w14:paraId="0611A3E5">
            <w:pPr>
              <w:jc w:val="center"/>
              <w:rPr>
                <w:rFonts w:ascii="宋体" w:hAnsi="宋体" w:cs="宋体"/>
                <w:b/>
                <w:sz w:val="24"/>
                <w:szCs w:val="24"/>
              </w:rPr>
            </w:pPr>
            <w:r>
              <w:rPr>
                <w:rFonts w:hint="eastAsia" w:ascii="宋体" w:hAnsi="宋体" w:cs="宋体"/>
                <w:b/>
                <w:sz w:val="24"/>
                <w:szCs w:val="24"/>
              </w:rPr>
              <w:t>数量</w:t>
            </w:r>
          </w:p>
        </w:tc>
        <w:tc>
          <w:tcPr>
            <w:tcW w:w="1051" w:type="dxa"/>
            <w:vAlign w:val="center"/>
          </w:tcPr>
          <w:p w14:paraId="341B53C5">
            <w:pPr>
              <w:jc w:val="center"/>
              <w:rPr>
                <w:rFonts w:ascii="宋体" w:hAnsi="宋体" w:cs="宋体"/>
                <w:b/>
                <w:sz w:val="24"/>
                <w:szCs w:val="24"/>
              </w:rPr>
            </w:pPr>
            <w:r>
              <w:rPr>
                <w:rFonts w:hint="eastAsia" w:ascii="宋体" w:hAnsi="宋体" w:cs="宋体"/>
                <w:b/>
                <w:sz w:val="24"/>
                <w:szCs w:val="24"/>
              </w:rPr>
              <w:t>单价</w:t>
            </w:r>
          </w:p>
          <w:p w14:paraId="5EE7AAF0">
            <w:pPr>
              <w:jc w:val="center"/>
              <w:rPr>
                <w:rFonts w:ascii="宋体" w:hAnsi="宋体" w:cs="宋体"/>
                <w:b/>
                <w:sz w:val="24"/>
                <w:szCs w:val="24"/>
              </w:rPr>
            </w:pPr>
            <w:r>
              <w:rPr>
                <w:rFonts w:hint="eastAsia" w:ascii="宋体" w:hAnsi="宋体" w:cs="宋体"/>
                <w:b/>
                <w:sz w:val="24"/>
                <w:szCs w:val="24"/>
              </w:rPr>
              <w:t>（元）</w:t>
            </w:r>
          </w:p>
        </w:tc>
        <w:tc>
          <w:tcPr>
            <w:tcW w:w="1051" w:type="dxa"/>
            <w:vAlign w:val="center"/>
          </w:tcPr>
          <w:p w14:paraId="457B07B3">
            <w:pPr>
              <w:jc w:val="center"/>
              <w:rPr>
                <w:rFonts w:ascii="宋体" w:hAnsi="宋体" w:cs="宋体"/>
                <w:b/>
                <w:sz w:val="24"/>
                <w:szCs w:val="24"/>
              </w:rPr>
            </w:pPr>
            <w:r>
              <w:rPr>
                <w:rFonts w:hint="eastAsia" w:ascii="宋体" w:hAnsi="宋体" w:cs="宋体"/>
                <w:b/>
                <w:sz w:val="24"/>
                <w:szCs w:val="24"/>
              </w:rPr>
              <w:t>小计</w:t>
            </w:r>
          </w:p>
          <w:p w14:paraId="5853DAA0">
            <w:pPr>
              <w:jc w:val="center"/>
              <w:rPr>
                <w:rFonts w:ascii="宋体" w:hAnsi="宋体" w:cs="宋体"/>
                <w:b/>
                <w:sz w:val="24"/>
                <w:szCs w:val="24"/>
              </w:rPr>
            </w:pPr>
            <w:r>
              <w:rPr>
                <w:rFonts w:hint="eastAsia" w:ascii="宋体" w:hAnsi="宋体" w:cs="宋体"/>
                <w:b/>
                <w:sz w:val="24"/>
                <w:szCs w:val="24"/>
              </w:rPr>
              <w:t>（元）</w:t>
            </w:r>
          </w:p>
        </w:tc>
        <w:tc>
          <w:tcPr>
            <w:tcW w:w="784" w:type="dxa"/>
            <w:vAlign w:val="center"/>
          </w:tcPr>
          <w:p w14:paraId="20AEE1CC">
            <w:pPr>
              <w:jc w:val="center"/>
              <w:rPr>
                <w:rFonts w:ascii="宋体" w:hAnsi="宋体" w:cs="宋体"/>
                <w:b/>
                <w:sz w:val="24"/>
                <w:szCs w:val="24"/>
              </w:rPr>
            </w:pPr>
            <w:r>
              <w:rPr>
                <w:rFonts w:hint="eastAsia" w:ascii="宋体" w:hAnsi="宋体" w:cs="宋体"/>
                <w:b/>
                <w:sz w:val="24"/>
                <w:szCs w:val="24"/>
              </w:rPr>
              <w:t>备注</w:t>
            </w:r>
          </w:p>
        </w:tc>
      </w:tr>
      <w:tr w14:paraId="050B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tcBorders>
              <w:bottom w:val="single" w:color="auto" w:sz="4" w:space="0"/>
            </w:tcBorders>
            <w:vAlign w:val="center"/>
          </w:tcPr>
          <w:p w14:paraId="1D9CD2EF">
            <w:pPr>
              <w:jc w:val="center"/>
              <w:rPr>
                <w:rFonts w:ascii="宋体" w:hAnsi="宋体" w:cs="宋体"/>
                <w:sz w:val="24"/>
                <w:szCs w:val="24"/>
              </w:rPr>
            </w:pPr>
            <w:r>
              <w:rPr>
                <w:rFonts w:hint="eastAsia" w:ascii="宋体" w:hAnsi="宋体" w:cs="宋体"/>
                <w:sz w:val="24"/>
                <w:szCs w:val="24"/>
              </w:rPr>
              <w:t>1</w:t>
            </w:r>
          </w:p>
        </w:tc>
        <w:tc>
          <w:tcPr>
            <w:tcW w:w="1327" w:type="dxa"/>
            <w:vAlign w:val="center"/>
          </w:tcPr>
          <w:p w14:paraId="79B39239">
            <w:pPr>
              <w:rPr>
                <w:rFonts w:ascii="宋体" w:hAnsi="宋体" w:cs="宋体"/>
                <w:sz w:val="24"/>
                <w:szCs w:val="24"/>
              </w:rPr>
            </w:pPr>
          </w:p>
        </w:tc>
        <w:tc>
          <w:tcPr>
            <w:tcW w:w="1529" w:type="dxa"/>
            <w:vAlign w:val="center"/>
          </w:tcPr>
          <w:p w14:paraId="5D4339BE">
            <w:pPr>
              <w:rPr>
                <w:rFonts w:ascii="宋体" w:hAnsi="宋体" w:cs="宋体"/>
                <w:sz w:val="24"/>
                <w:szCs w:val="24"/>
              </w:rPr>
            </w:pPr>
          </w:p>
        </w:tc>
        <w:tc>
          <w:tcPr>
            <w:tcW w:w="1529" w:type="dxa"/>
            <w:vAlign w:val="center"/>
          </w:tcPr>
          <w:p w14:paraId="07F8253F">
            <w:pPr>
              <w:rPr>
                <w:rFonts w:ascii="宋体" w:hAnsi="宋体" w:cs="宋体"/>
                <w:sz w:val="24"/>
                <w:szCs w:val="24"/>
              </w:rPr>
            </w:pPr>
          </w:p>
        </w:tc>
        <w:tc>
          <w:tcPr>
            <w:tcW w:w="786" w:type="dxa"/>
            <w:vAlign w:val="center"/>
          </w:tcPr>
          <w:p w14:paraId="64EE230B">
            <w:pPr>
              <w:rPr>
                <w:rFonts w:ascii="宋体" w:hAnsi="宋体" w:cs="宋体"/>
                <w:sz w:val="24"/>
                <w:szCs w:val="24"/>
              </w:rPr>
            </w:pPr>
          </w:p>
        </w:tc>
        <w:tc>
          <w:tcPr>
            <w:tcW w:w="786" w:type="dxa"/>
            <w:vAlign w:val="center"/>
          </w:tcPr>
          <w:p w14:paraId="5EFE3668">
            <w:pPr>
              <w:rPr>
                <w:rFonts w:ascii="宋体" w:hAnsi="宋体" w:cs="宋体"/>
                <w:sz w:val="24"/>
                <w:szCs w:val="24"/>
              </w:rPr>
            </w:pPr>
          </w:p>
        </w:tc>
        <w:tc>
          <w:tcPr>
            <w:tcW w:w="1051" w:type="dxa"/>
            <w:vAlign w:val="center"/>
          </w:tcPr>
          <w:p w14:paraId="55FBD2A9">
            <w:pPr>
              <w:rPr>
                <w:rFonts w:ascii="宋体" w:hAnsi="宋体" w:cs="宋体"/>
                <w:sz w:val="24"/>
                <w:szCs w:val="24"/>
              </w:rPr>
            </w:pPr>
          </w:p>
        </w:tc>
        <w:tc>
          <w:tcPr>
            <w:tcW w:w="1051" w:type="dxa"/>
            <w:vAlign w:val="center"/>
          </w:tcPr>
          <w:p w14:paraId="14572A17">
            <w:pPr>
              <w:rPr>
                <w:rFonts w:ascii="宋体" w:hAnsi="宋体" w:cs="宋体"/>
                <w:sz w:val="24"/>
                <w:szCs w:val="24"/>
              </w:rPr>
            </w:pPr>
          </w:p>
        </w:tc>
        <w:tc>
          <w:tcPr>
            <w:tcW w:w="784" w:type="dxa"/>
            <w:vAlign w:val="center"/>
          </w:tcPr>
          <w:p w14:paraId="2FF66BDE">
            <w:pPr>
              <w:rPr>
                <w:rFonts w:ascii="宋体" w:hAnsi="宋体" w:cs="宋体"/>
                <w:sz w:val="24"/>
                <w:szCs w:val="24"/>
              </w:rPr>
            </w:pPr>
          </w:p>
        </w:tc>
      </w:tr>
      <w:tr w14:paraId="0C38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2D6D4EEE">
            <w:pPr>
              <w:jc w:val="center"/>
              <w:rPr>
                <w:rFonts w:ascii="宋体" w:hAnsi="宋体" w:cs="宋体"/>
                <w:sz w:val="24"/>
                <w:szCs w:val="24"/>
              </w:rPr>
            </w:pPr>
            <w:r>
              <w:rPr>
                <w:rFonts w:hint="eastAsia" w:ascii="宋体" w:hAnsi="宋体" w:cs="宋体"/>
                <w:sz w:val="24"/>
                <w:szCs w:val="24"/>
              </w:rPr>
              <w:t>2</w:t>
            </w:r>
          </w:p>
        </w:tc>
        <w:tc>
          <w:tcPr>
            <w:tcW w:w="1327" w:type="dxa"/>
            <w:vAlign w:val="center"/>
          </w:tcPr>
          <w:p w14:paraId="227DD2AB">
            <w:pPr>
              <w:rPr>
                <w:rFonts w:ascii="宋体" w:hAnsi="宋体" w:cs="宋体"/>
                <w:sz w:val="24"/>
                <w:szCs w:val="24"/>
              </w:rPr>
            </w:pPr>
          </w:p>
        </w:tc>
        <w:tc>
          <w:tcPr>
            <w:tcW w:w="1529" w:type="dxa"/>
            <w:vAlign w:val="center"/>
          </w:tcPr>
          <w:p w14:paraId="39F3E569">
            <w:pPr>
              <w:rPr>
                <w:rFonts w:ascii="宋体" w:hAnsi="宋体" w:cs="宋体"/>
                <w:sz w:val="24"/>
                <w:szCs w:val="24"/>
              </w:rPr>
            </w:pPr>
          </w:p>
        </w:tc>
        <w:tc>
          <w:tcPr>
            <w:tcW w:w="1529" w:type="dxa"/>
            <w:vAlign w:val="center"/>
          </w:tcPr>
          <w:p w14:paraId="3AF83469">
            <w:pPr>
              <w:rPr>
                <w:rFonts w:ascii="宋体" w:hAnsi="宋体" w:cs="宋体"/>
                <w:sz w:val="24"/>
                <w:szCs w:val="24"/>
              </w:rPr>
            </w:pPr>
          </w:p>
        </w:tc>
        <w:tc>
          <w:tcPr>
            <w:tcW w:w="786" w:type="dxa"/>
            <w:vAlign w:val="center"/>
          </w:tcPr>
          <w:p w14:paraId="43792AB3">
            <w:pPr>
              <w:rPr>
                <w:rFonts w:ascii="宋体" w:hAnsi="宋体" w:cs="宋体"/>
                <w:sz w:val="24"/>
                <w:szCs w:val="24"/>
              </w:rPr>
            </w:pPr>
          </w:p>
        </w:tc>
        <w:tc>
          <w:tcPr>
            <w:tcW w:w="786" w:type="dxa"/>
            <w:vAlign w:val="center"/>
          </w:tcPr>
          <w:p w14:paraId="00706817">
            <w:pPr>
              <w:rPr>
                <w:rFonts w:ascii="宋体" w:hAnsi="宋体" w:cs="宋体"/>
                <w:sz w:val="24"/>
                <w:szCs w:val="24"/>
              </w:rPr>
            </w:pPr>
          </w:p>
        </w:tc>
        <w:tc>
          <w:tcPr>
            <w:tcW w:w="1051" w:type="dxa"/>
            <w:vAlign w:val="center"/>
          </w:tcPr>
          <w:p w14:paraId="0986CDF3">
            <w:pPr>
              <w:rPr>
                <w:rFonts w:ascii="宋体" w:hAnsi="宋体" w:cs="宋体"/>
                <w:sz w:val="24"/>
                <w:szCs w:val="24"/>
              </w:rPr>
            </w:pPr>
          </w:p>
        </w:tc>
        <w:tc>
          <w:tcPr>
            <w:tcW w:w="1051" w:type="dxa"/>
            <w:vAlign w:val="center"/>
          </w:tcPr>
          <w:p w14:paraId="393CA2EF">
            <w:pPr>
              <w:rPr>
                <w:rFonts w:ascii="宋体" w:hAnsi="宋体" w:cs="宋体"/>
                <w:sz w:val="24"/>
                <w:szCs w:val="24"/>
              </w:rPr>
            </w:pPr>
          </w:p>
        </w:tc>
        <w:tc>
          <w:tcPr>
            <w:tcW w:w="784" w:type="dxa"/>
            <w:vAlign w:val="center"/>
          </w:tcPr>
          <w:p w14:paraId="2D44EA39">
            <w:pPr>
              <w:rPr>
                <w:rFonts w:ascii="宋体" w:hAnsi="宋体" w:cs="宋体"/>
                <w:sz w:val="24"/>
                <w:szCs w:val="24"/>
              </w:rPr>
            </w:pPr>
          </w:p>
        </w:tc>
      </w:tr>
      <w:tr w14:paraId="45D7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7CA38BE8">
            <w:pPr>
              <w:jc w:val="center"/>
              <w:rPr>
                <w:rFonts w:ascii="宋体" w:hAnsi="宋体" w:cs="宋体"/>
                <w:sz w:val="24"/>
                <w:szCs w:val="24"/>
              </w:rPr>
            </w:pPr>
            <w:r>
              <w:rPr>
                <w:rFonts w:hint="eastAsia" w:ascii="宋体" w:hAnsi="宋体" w:cs="宋体"/>
                <w:sz w:val="24"/>
                <w:szCs w:val="24"/>
              </w:rPr>
              <w:t>3</w:t>
            </w:r>
          </w:p>
        </w:tc>
        <w:tc>
          <w:tcPr>
            <w:tcW w:w="1327" w:type="dxa"/>
            <w:vAlign w:val="center"/>
          </w:tcPr>
          <w:p w14:paraId="17BF0E28">
            <w:pPr>
              <w:rPr>
                <w:rFonts w:ascii="宋体" w:hAnsi="宋体" w:cs="宋体"/>
                <w:sz w:val="24"/>
                <w:szCs w:val="24"/>
              </w:rPr>
            </w:pPr>
          </w:p>
        </w:tc>
        <w:tc>
          <w:tcPr>
            <w:tcW w:w="1529" w:type="dxa"/>
            <w:vAlign w:val="center"/>
          </w:tcPr>
          <w:p w14:paraId="178A4114">
            <w:pPr>
              <w:rPr>
                <w:rFonts w:ascii="宋体" w:hAnsi="宋体" w:cs="宋体"/>
                <w:sz w:val="24"/>
                <w:szCs w:val="24"/>
              </w:rPr>
            </w:pPr>
          </w:p>
        </w:tc>
        <w:tc>
          <w:tcPr>
            <w:tcW w:w="1529" w:type="dxa"/>
            <w:vAlign w:val="center"/>
          </w:tcPr>
          <w:p w14:paraId="5F573FD5">
            <w:pPr>
              <w:rPr>
                <w:rFonts w:ascii="宋体" w:hAnsi="宋体" w:cs="宋体"/>
                <w:sz w:val="24"/>
                <w:szCs w:val="24"/>
              </w:rPr>
            </w:pPr>
          </w:p>
        </w:tc>
        <w:tc>
          <w:tcPr>
            <w:tcW w:w="786" w:type="dxa"/>
            <w:vAlign w:val="center"/>
          </w:tcPr>
          <w:p w14:paraId="69CA7BA3">
            <w:pPr>
              <w:rPr>
                <w:rFonts w:ascii="宋体" w:hAnsi="宋体" w:cs="宋体"/>
                <w:sz w:val="24"/>
                <w:szCs w:val="24"/>
              </w:rPr>
            </w:pPr>
          </w:p>
        </w:tc>
        <w:tc>
          <w:tcPr>
            <w:tcW w:w="786" w:type="dxa"/>
            <w:vAlign w:val="center"/>
          </w:tcPr>
          <w:p w14:paraId="289FD4EE">
            <w:pPr>
              <w:rPr>
                <w:rFonts w:ascii="宋体" w:hAnsi="宋体" w:cs="宋体"/>
                <w:sz w:val="24"/>
                <w:szCs w:val="24"/>
              </w:rPr>
            </w:pPr>
          </w:p>
        </w:tc>
        <w:tc>
          <w:tcPr>
            <w:tcW w:w="1051" w:type="dxa"/>
            <w:vAlign w:val="center"/>
          </w:tcPr>
          <w:p w14:paraId="5FBEF4C3">
            <w:pPr>
              <w:rPr>
                <w:rFonts w:ascii="宋体" w:hAnsi="宋体" w:cs="宋体"/>
                <w:sz w:val="24"/>
                <w:szCs w:val="24"/>
              </w:rPr>
            </w:pPr>
          </w:p>
        </w:tc>
        <w:tc>
          <w:tcPr>
            <w:tcW w:w="1051" w:type="dxa"/>
            <w:vAlign w:val="center"/>
          </w:tcPr>
          <w:p w14:paraId="6624E334">
            <w:pPr>
              <w:rPr>
                <w:rFonts w:ascii="宋体" w:hAnsi="宋体" w:cs="宋体"/>
                <w:sz w:val="24"/>
                <w:szCs w:val="24"/>
              </w:rPr>
            </w:pPr>
          </w:p>
        </w:tc>
        <w:tc>
          <w:tcPr>
            <w:tcW w:w="784" w:type="dxa"/>
            <w:vAlign w:val="center"/>
          </w:tcPr>
          <w:p w14:paraId="0CF65E6E">
            <w:pPr>
              <w:rPr>
                <w:rFonts w:ascii="宋体" w:hAnsi="宋体" w:cs="宋体"/>
                <w:sz w:val="24"/>
                <w:szCs w:val="24"/>
              </w:rPr>
            </w:pPr>
          </w:p>
        </w:tc>
      </w:tr>
      <w:tr w14:paraId="56AA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39C94CA">
            <w:pPr>
              <w:jc w:val="center"/>
              <w:rPr>
                <w:rFonts w:ascii="宋体" w:hAnsi="宋体" w:cs="宋体"/>
                <w:sz w:val="24"/>
                <w:szCs w:val="24"/>
              </w:rPr>
            </w:pPr>
          </w:p>
        </w:tc>
        <w:tc>
          <w:tcPr>
            <w:tcW w:w="1327" w:type="dxa"/>
            <w:vAlign w:val="center"/>
          </w:tcPr>
          <w:p w14:paraId="4B649119">
            <w:pPr>
              <w:pStyle w:val="62"/>
              <w:rPr>
                <w:rFonts w:ascii="宋体" w:hAnsi="宋体" w:cs="宋体"/>
                <w:szCs w:val="24"/>
              </w:rPr>
            </w:pPr>
          </w:p>
        </w:tc>
        <w:tc>
          <w:tcPr>
            <w:tcW w:w="1529" w:type="dxa"/>
            <w:vAlign w:val="center"/>
          </w:tcPr>
          <w:p w14:paraId="7D0FB31C">
            <w:pPr>
              <w:rPr>
                <w:rFonts w:ascii="宋体" w:hAnsi="宋体" w:cs="宋体"/>
                <w:sz w:val="24"/>
                <w:szCs w:val="24"/>
              </w:rPr>
            </w:pPr>
          </w:p>
        </w:tc>
        <w:tc>
          <w:tcPr>
            <w:tcW w:w="1529" w:type="dxa"/>
            <w:vAlign w:val="center"/>
          </w:tcPr>
          <w:p w14:paraId="2D23F665">
            <w:pPr>
              <w:rPr>
                <w:rFonts w:ascii="宋体" w:hAnsi="宋体" w:cs="宋体"/>
                <w:sz w:val="24"/>
                <w:szCs w:val="24"/>
              </w:rPr>
            </w:pPr>
          </w:p>
        </w:tc>
        <w:tc>
          <w:tcPr>
            <w:tcW w:w="786" w:type="dxa"/>
            <w:vAlign w:val="center"/>
          </w:tcPr>
          <w:p w14:paraId="298BB7D5">
            <w:pPr>
              <w:rPr>
                <w:rFonts w:ascii="宋体" w:hAnsi="宋体" w:cs="宋体"/>
                <w:sz w:val="24"/>
                <w:szCs w:val="24"/>
              </w:rPr>
            </w:pPr>
          </w:p>
        </w:tc>
        <w:tc>
          <w:tcPr>
            <w:tcW w:w="786" w:type="dxa"/>
            <w:vAlign w:val="center"/>
          </w:tcPr>
          <w:p w14:paraId="54782CD6">
            <w:pPr>
              <w:rPr>
                <w:rFonts w:ascii="宋体" w:hAnsi="宋体" w:cs="宋体"/>
                <w:sz w:val="24"/>
                <w:szCs w:val="24"/>
              </w:rPr>
            </w:pPr>
          </w:p>
        </w:tc>
        <w:tc>
          <w:tcPr>
            <w:tcW w:w="1051" w:type="dxa"/>
            <w:vAlign w:val="center"/>
          </w:tcPr>
          <w:p w14:paraId="6E51C3A5">
            <w:pPr>
              <w:rPr>
                <w:rFonts w:ascii="宋体" w:hAnsi="宋体" w:cs="宋体"/>
                <w:sz w:val="24"/>
                <w:szCs w:val="24"/>
              </w:rPr>
            </w:pPr>
          </w:p>
        </w:tc>
        <w:tc>
          <w:tcPr>
            <w:tcW w:w="1051" w:type="dxa"/>
            <w:vAlign w:val="center"/>
          </w:tcPr>
          <w:p w14:paraId="1FC68523">
            <w:pPr>
              <w:rPr>
                <w:rFonts w:ascii="宋体" w:hAnsi="宋体" w:cs="宋体"/>
                <w:sz w:val="24"/>
                <w:szCs w:val="24"/>
              </w:rPr>
            </w:pPr>
          </w:p>
        </w:tc>
        <w:tc>
          <w:tcPr>
            <w:tcW w:w="784" w:type="dxa"/>
            <w:vAlign w:val="center"/>
          </w:tcPr>
          <w:p w14:paraId="7D3F9FCF">
            <w:pPr>
              <w:rPr>
                <w:rFonts w:ascii="宋体" w:hAnsi="宋体" w:cs="宋体"/>
                <w:sz w:val="24"/>
                <w:szCs w:val="24"/>
              </w:rPr>
            </w:pPr>
          </w:p>
        </w:tc>
      </w:tr>
      <w:tr w14:paraId="3886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38F435B2">
            <w:pPr>
              <w:jc w:val="center"/>
              <w:rPr>
                <w:rFonts w:ascii="宋体" w:hAnsi="宋体" w:cs="宋体"/>
                <w:sz w:val="24"/>
                <w:szCs w:val="24"/>
              </w:rPr>
            </w:pPr>
          </w:p>
        </w:tc>
        <w:tc>
          <w:tcPr>
            <w:tcW w:w="1327" w:type="dxa"/>
            <w:vAlign w:val="center"/>
          </w:tcPr>
          <w:p w14:paraId="56660B9E">
            <w:pPr>
              <w:rPr>
                <w:rFonts w:ascii="宋体" w:hAnsi="宋体" w:cs="宋体"/>
                <w:sz w:val="24"/>
                <w:szCs w:val="24"/>
              </w:rPr>
            </w:pPr>
          </w:p>
        </w:tc>
        <w:tc>
          <w:tcPr>
            <w:tcW w:w="1529" w:type="dxa"/>
            <w:vAlign w:val="center"/>
          </w:tcPr>
          <w:p w14:paraId="42AF5E0C">
            <w:pPr>
              <w:rPr>
                <w:rFonts w:ascii="宋体" w:hAnsi="宋体" w:cs="宋体"/>
                <w:sz w:val="24"/>
                <w:szCs w:val="24"/>
              </w:rPr>
            </w:pPr>
          </w:p>
        </w:tc>
        <w:tc>
          <w:tcPr>
            <w:tcW w:w="1529" w:type="dxa"/>
            <w:vAlign w:val="center"/>
          </w:tcPr>
          <w:p w14:paraId="33F3B0E7">
            <w:pPr>
              <w:rPr>
                <w:rFonts w:ascii="宋体" w:hAnsi="宋体" w:cs="宋体"/>
                <w:sz w:val="24"/>
                <w:szCs w:val="24"/>
              </w:rPr>
            </w:pPr>
          </w:p>
        </w:tc>
        <w:tc>
          <w:tcPr>
            <w:tcW w:w="786" w:type="dxa"/>
            <w:vAlign w:val="center"/>
          </w:tcPr>
          <w:p w14:paraId="0EC38370">
            <w:pPr>
              <w:rPr>
                <w:rFonts w:ascii="宋体" w:hAnsi="宋体" w:cs="宋体"/>
                <w:sz w:val="24"/>
                <w:szCs w:val="24"/>
              </w:rPr>
            </w:pPr>
          </w:p>
        </w:tc>
        <w:tc>
          <w:tcPr>
            <w:tcW w:w="786" w:type="dxa"/>
            <w:vAlign w:val="center"/>
          </w:tcPr>
          <w:p w14:paraId="7A361ABE">
            <w:pPr>
              <w:rPr>
                <w:rFonts w:ascii="宋体" w:hAnsi="宋体" w:cs="宋体"/>
                <w:sz w:val="24"/>
                <w:szCs w:val="24"/>
              </w:rPr>
            </w:pPr>
          </w:p>
        </w:tc>
        <w:tc>
          <w:tcPr>
            <w:tcW w:w="1051" w:type="dxa"/>
            <w:vAlign w:val="center"/>
          </w:tcPr>
          <w:p w14:paraId="2525D093">
            <w:pPr>
              <w:rPr>
                <w:rFonts w:ascii="宋体" w:hAnsi="宋体" w:cs="宋体"/>
                <w:sz w:val="24"/>
                <w:szCs w:val="24"/>
              </w:rPr>
            </w:pPr>
          </w:p>
        </w:tc>
        <w:tc>
          <w:tcPr>
            <w:tcW w:w="1051" w:type="dxa"/>
            <w:vAlign w:val="center"/>
          </w:tcPr>
          <w:p w14:paraId="3710C36A">
            <w:pPr>
              <w:rPr>
                <w:rFonts w:ascii="宋体" w:hAnsi="宋体" w:cs="宋体"/>
                <w:sz w:val="24"/>
                <w:szCs w:val="24"/>
              </w:rPr>
            </w:pPr>
          </w:p>
        </w:tc>
        <w:tc>
          <w:tcPr>
            <w:tcW w:w="784" w:type="dxa"/>
            <w:vAlign w:val="center"/>
          </w:tcPr>
          <w:p w14:paraId="7F2DE361">
            <w:pPr>
              <w:rPr>
                <w:rFonts w:ascii="宋体" w:hAnsi="宋体" w:cs="宋体"/>
                <w:sz w:val="24"/>
                <w:szCs w:val="24"/>
              </w:rPr>
            </w:pPr>
          </w:p>
        </w:tc>
      </w:tr>
      <w:tr w14:paraId="3F50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6C8B8F0A">
            <w:pPr>
              <w:jc w:val="center"/>
              <w:rPr>
                <w:rFonts w:ascii="宋体" w:hAnsi="宋体" w:cs="宋体"/>
                <w:sz w:val="24"/>
                <w:szCs w:val="24"/>
              </w:rPr>
            </w:pPr>
          </w:p>
        </w:tc>
        <w:tc>
          <w:tcPr>
            <w:tcW w:w="1327" w:type="dxa"/>
            <w:vAlign w:val="center"/>
          </w:tcPr>
          <w:p w14:paraId="1B628896">
            <w:pPr>
              <w:pStyle w:val="62"/>
              <w:rPr>
                <w:rFonts w:ascii="宋体" w:hAnsi="宋体" w:cs="宋体"/>
                <w:szCs w:val="24"/>
              </w:rPr>
            </w:pPr>
          </w:p>
        </w:tc>
        <w:tc>
          <w:tcPr>
            <w:tcW w:w="1529" w:type="dxa"/>
            <w:vAlign w:val="center"/>
          </w:tcPr>
          <w:p w14:paraId="115E8177">
            <w:pPr>
              <w:rPr>
                <w:rFonts w:ascii="宋体" w:hAnsi="宋体" w:cs="宋体"/>
                <w:sz w:val="24"/>
                <w:szCs w:val="24"/>
              </w:rPr>
            </w:pPr>
          </w:p>
        </w:tc>
        <w:tc>
          <w:tcPr>
            <w:tcW w:w="1529" w:type="dxa"/>
            <w:vAlign w:val="center"/>
          </w:tcPr>
          <w:p w14:paraId="7FAF4473">
            <w:pPr>
              <w:rPr>
                <w:rFonts w:ascii="宋体" w:hAnsi="宋体" w:cs="宋体"/>
                <w:sz w:val="24"/>
                <w:szCs w:val="24"/>
              </w:rPr>
            </w:pPr>
          </w:p>
        </w:tc>
        <w:tc>
          <w:tcPr>
            <w:tcW w:w="786" w:type="dxa"/>
            <w:vAlign w:val="center"/>
          </w:tcPr>
          <w:p w14:paraId="4F42DDBC">
            <w:pPr>
              <w:rPr>
                <w:rFonts w:ascii="宋体" w:hAnsi="宋体" w:cs="宋体"/>
                <w:sz w:val="24"/>
                <w:szCs w:val="24"/>
              </w:rPr>
            </w:pPr>
          </w:p>
        </w:tc>
        <w:tc>
          <w:tcPr>
            <w:tcW w:w="786" w:type="dxa"/>
            <w:vAlign w:val="center"/>
          </w:tcPr>
          <w:p w14:paraId="590BF738">
            <w:pPr>
              <w:rPr>
                <w:rFonts w:ascii="宋体" w:hAnsi="宋体" w:cs="宋体"/>
                <w:sz w:val="24"/>
                <w:szCs w:val="24"/>
              </w:rPr>
            </w:pPr>
          </w:p>
        </w:tc>
        <w:tc>
          <w:tcPr>
            <w:tcW w:w="1051" w:type="dxa"/>
            <w:vAlign w:val="center"/>
          </w:tcPr>
          <w:p w14:paraId="6EAB20E2">
            <w:pPr>
              <w:rPr>
                <w:rFonts w:ascii="宋体" w:hAnsi="宋体" w:cs="宋体"/>
                <w:sz w:val="24"/>
                <w:szCs w:val="24"/>
              </w:rPr>
            </w:pPr>
          </w:p>
        </w:tc>
        <w:tc>
          <w:tcPr>
            <w:tcW w:w="1051" w:type="dxa"/>
            <w:vAlign w:val="center"/>
          </w:tcPr>
          <w:p w14:paraId="3CB82068">
            <w:pPr>
              <w:rPr>
                <w:rFonts w:ascii="宋体" w:hAnsi="宋体" w:cs="宋体"/>
                <w:sz w:val="24"/>
                <w:szCs w:val="24"/>
              </w:rPr>
            </w:pPr>
          </w:p>
        </w:tc>
        <w:tc>
          <w:tcPr>
            <w:tcW w:w="784" w:type="dxa"/>
            <w:vAlign w:val="center"/>
          </w:tcPr>
          <w:p w14:paraId="3CA34F9C">
            <w:pPr>
              <w:rPr>
                <w:rFonts w:ascii="宋体" w:hAnsi="宋体" w:cs="宋体"/>
                <w:sz w:val="24"/>
                <w:szCs w:val="24"/>
              </w:rPr>
            </w:pPr>
          </w:p>
        </w:tc>
      </w:tr>
      <w:tr w14:paraId="5579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76713849">
            <w:pPr>
              <w:jc w:val="center"/>
              <w:rPr>
                <w:rFonts w:ascii="宋体" w:hAnsi="宋体" w:cs="宋体"/>
                <w:sz w:val="24"/>
                <w:szCs w:val="24"/>
              </w:rPr>
            </w:pPr>
          </w:p>
        </w:tc>
        <w:tc>
          <w:tcPr>
            <w:tcW w:w="1327" w:type="dxa"/>
            <w:vAlign w:val="center"/>
          </w:tcPr>
          <w:p w14:paraId="63C229BD">
            <w:pPr>
              <w:rPr>
                <w:rFonts w:ascii="宋体" w:hAnsi="宋体" w:cs="宋体"/>
                <w:sz w:val="24"/>
                <w:szCs w:val="24"/>
              </w:rPr>
            </w:pPr>
          </w:p>
        </w:tc>
        <w:tc>
          <w:tcPr>
            <w:tcW w:w="1529" w:type="dxa"/>
            <w:vAlign w:val="center"/>
          </w:tcPr>
          <w:p w14:paraId="1736A553">
            <w:pPr>
              <w:rPr>
                <w:rFonts w:ascii="宋体" w:hAnsi="宋体" w:cs="宋体"/>
                <w:sz w:val="24"/>
                <w:szCs w:val="24"/>
              </w:rPr>
            </w:pPr>
          </w:p>
        </w:tc>
        <w:tc>
          <w:tcPr>
            <w:tcW w:w="1529" w:type="dxa"/>
            <w:vAlign w:val="center"/>
          </w:tcPr>
          <w:p w14:paraId="696B49F8">
            <w:pPr>
              <w:rPr>
                <w:rFonts w:ascii="宋体" w:hAnsi="宋体" w:cs="宋体"/>
                <w:sz w:val="24"/>
                <w:szCs w:val="24"/>
              </w:rPr>
            </w:pPr>
          </w:p>
        </w:tc>
        <w:tc>
          <w:tcPr>
            <w:tcW w:w="786" w:type="dxa"/>
            <w:vAlign w:val="center"/>
          </w:tcPr>
          <w:p w14:paraId="4C4E0F70">
            <w:pPr>
              <w:rPr>
                <w:rFonts w:ascii="宋体" w:hAnsi="宋体" w:cs="宋体"/>
                <w:sz w:val="24"/>
                <w:szCs w:val="24"/>
              </w:rPr>
            </w:pPr>
          </w:p>
        </w:tc>
        <w:tc>
          <w:tcPr>
            <w:tcW w:w="786" w:type="dxa"/>
            <w:vAlign w:val="center"/>
          </w:tcPr>
          <w:p w14:paraId="30002DB3">
            <w:pPr>
              <w:rPr>
                <w:rFonts w:ascii="宋体" w:hAnsi="宋体" w:cs="宋体"/>
                <w:sz w:val="24"/>
                <w:szCs w:val="24"/>
              </w:rPr>
            </w:pPr>
          </w:p>
        </w:tc>
        <w:tc>
          <w:tcPr>
            <w:tcW w:w="1051" w:type="dxa"/>
            <w:vAlign w:val="center"/>
          </w:tcPr>
          <w:p w14:paraId="17F2626F">
            <w:pPr>
              <w:rPr>
                <w:rFonts w:ascii="宋体" w:hAnsi="宋体" w:cs="宋体"/>
                <w:sz w:val="24"/>
                <w:szCs w:val="24"/>
              </w:rPr>
            </w:pPr>
          </w:p>
        </w:tc>
        <w:tc>
          <w:tcPr>
            <w:tcW w:w="1051" w:type="dxa"/>
            <w:vAlign w:val="center"/>
          </w:tcPr>
          <w:p w14:paraId="3EA14A05">
            <w:pPr>
              <w:rPr>
                <w:rFonts w:ascii="宋体" w:hAnsi="宋体" w:cs="宋体"/>
                <w:sz w:val="24"/>
                <w:szCs w:val="24"/>
              </w:rPr>
            </w:pPr>
          </w:p>
        </w:tc>
        <w:tc>
          <w:tcPr>
            <w:tcW w:w="784" w:type="dxa"/>
            <w:vAlign w:val="center"/>
          </w:tcPr>
          <w:p w14:paraId="0EA2CF32">
            <w:pPr>
              <w:rPr>
                <w:rFonts w:ascii="宋体" w:hAnsi="宋体" w:cs="宋体"/>
                <w:sz w:val="24"/>
                <w:szCs w:val="24"/>
              </w:rPr>
            </w:pPr>
          </w:p>
        </w:tc>
      </w:tr>
      <w:tr w14:paraId="22A5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113" w:type="dxa"/>
            <w:gridSpan w:val="2"/>
            <w:vAlign w:val="center"/>
          </w:tcPr>
          <w:p w14:paraId="48E8A90E">
            <w:pPr>
              <w:jc w:val="center"/>
              <w:rPr>
                <w:rFonts w:ascii="宋体" w:hAnsi="宋体" w:cs="宋体"/>
                <w:sz w:val="24"/>
                <w:szCs w:val="24"/>
              </w:rPr>
            </w:pPr>
            <w:r>
              <w:rPr>
                <w:rFonts w:hint="eastAsia" w:ascii="宋体" w:hAnsi="宋体" w:cs="宋体"/>
                <w:b/>
                <w:bCs/>
                <w:sz w:val="24"/>
                <w:szCs w:val="24"/>
                <w:lang w:val="en-US" w:eastAsia="zh-CN"/>
              </w:rPr>
              <w:t>总价</w:t>
            </w:r>
            <w:r>
              <w:rPr>
                <w:rFonts w:hint="eastAsia" w:ascii="宋体" w:hAnsi="宋体" w:cs="宋体"/>
                <w:b/>
                <w:bCs/>
                <w:sz w:val="24"/>
                <w:szCs w:val="24"/>
              </w:rPr>
              <w:t>（元）</w:t>
            </w:r>
          </w:p>
        </w:tc>
        <w:tc>
          <w:tcPr>
            <w:tcW w:w="6732" w:type="dxa"/>
            <w:gridSpan w:val="6"/>
            <w:vAlign w:val="center"/>
          </w:tcPr>
          <w:p w14:paraId="51D90F2F">
            <w:pPr>
              <w:rPr>
                <w:rFonts w:ascii="宋体" w:hAnsi="宋体" w:cs="宋体"/>
                <w:sz w:val="24"/>
                <w:szCs w:val="24"/>
              </w:rPr>
            </w:pPr>
          </w:p>
        </w:tc>
        <w:tc>
          <w:tcPr>
            <w:tcW w:w="784" w:type="dxa"/>
            <w:vAlign w:val="center"/>
          </w:tcPr>
          <w:p w14:paraId="0019ED1F">
            <w:pPr>
              <w:rPr>
                <w:rFonts w:ascii="宋体" w:hAnsi="宋体" w:cs="宋体"/>
                <w:sz w:val="24"/>
                <w:szCs w:val="24"/>
              </w:rPr>
            </w:pPr>
          </w:p>
        </w:tc>
      </w:tr>
    </w:tbl>
    <w:p w14:paraId="28EAAD36">
      <w:pPr>
        <w:pStyle w:val="18"/>
        <w:spacing w:line="360" w:lineRule="auto"/>
        <w:rPr>
          <w:rFonts w:ascii="宋体" w:hAnsi="宋体" w:eastAsia="宋体" w:cs="宋体"/>
          <w:b/>
          <w:bCs/>
          <w:sz w:val="24"/>
        </w:rPr>
      </w:pPr>
    </w:p>
    <w:p w14:paraId="666854C5">
      <w:pPr>
        <w:pStyle w:val="18"/>
        <w:spacing w:line="560" w:lineRule="exact"/>
        <w:rPr>
          <w:rFonts w:ascii="宋体" w:hAnsi="宋体" w:eastAsia="宋体" w:cs="宋体"/>
          <w:b/>
          <w:bCs/>
          <w:sz w:val="24"/>
          <w:szCs w:val="28"/>
        </w:rPr>
      </w:pPr>
      <w:r>
        <w:rPr>
          <w:rFonts w:hint="eastAsia" w:ascii="宋体" w:hAnsi="宋体" w:eastAsia="宋体" w:cs="宋体"/>
          <w:b/>
          <w:bCs/>
          <w:sz w:val="24"/>
        </w:rPr>
        <w:t>供应商</w:t>
      </w:r>
      <w:r>
        <w:rPr>
          <w:rFonts w:hint="eastAsia" w:ascii="宋体" w:hAnsi="宋体" w:eastAsia="宋体" w:cs="宋体"/>
          <w:b/>
          <w:bCs/>
          <w:sz w:val="24"/>
          <w:lang w:val="en-US" w:eastAsia="zh-CN"/>
        </w:rPr>
        <w:t>盖章</w:t>
      </w:r>
      <w:r>
        <w:rPr>
          <w:rFonts w:hint="eastAsia" w:ascii="宋体" w:hAnsi="宋体" w:eastAsia="宋体" w:cs="宋体"/>
          <w:b/>
          <w:bCs/>
          <w:sz w:val="24"/>
        </w:rPr>
        <w:t>：</w:t>
      </w:r>
    </w:p>
    <w:p w14:paraId="09735E04">
      <w:pPr>
        <w:adjustRightInd w:val="0"/>
        <w:snapToGrid w:val="0"/>
        <w:spacing w:line="560" w:lineRule="exact"/>
        <w:rPr>
          <w:rFonts w:ascii="宋体" w:hAnsi="宋体"/>
          <w:b/>
          <w:bCs/>
          <w:sz w:val="24"/>
          <w:szCs w:val="28"/>
        </w:rPr>
      </w:pPr>
      <w:r>
        <w:rPr>
          <w:rFonts w:hint="eastAsia" w:ascii="宋体" w:hAnsi="宋体"/>
          <w:b/>
          <w:bCs/>
          <w:sz w:val="24"/>
          <w:szCs w:val="28"/>
        </w:rPr>
        <w:t>日  期：   年   月   日</w:t>
      </w:r>
    </w:p>
    <w:p w14:paraId="6F014E8B">
      <w:pPr>
        <w:adjustRightInd w:val="0"/>
        <w:snapToGrid w:val="0"/>
        <w:spacing w:line="360" w:lineRule="auto"/>
        <w:rPr>
          <w:rFonts w:ascii="宋体" w:hAnsi="宋体"/>
          <w:b/>
          <w:bCs/>
          <w:sz w:val="24"/>
          <w:szCs w:val="28"/>
        </w:rPr>
      </w:pPr>
    </w:p>
    <w:p w14:paraId="3D284E17">
      <w:pPr>
        <w:adjustRightInd w:val="0"/>
        <w:snapToGrid w:val="0"/>
        <w:spacing w:line="360" w:lineRule="auto"/>
        <w:ind w:firstLine="361" w:firstLineChars="150"/>
        <w:rPr>
          <w:rFonts w:ascii="宋体" w:hAnsi="宋体"/>
          <w:b/>
          <w:bCs/>
          <w:sz w:val="24"/>
          <w:szCs w:val="28"/>
        </w:rPr>
      </w:pPr>
      <w:r>
        <w:rPr>
          <w:rFonts w:hint="eastAsia" w:ascii="宋体" w:hAnsi="宋体"/>
          <w:b/>
          <w:bCs/>
          <w:sz w:val="24"/>
          <w:szCs w:val="28"/>
        </w:rPr>
        <w:t>备注：</w:t>
      </w:r>
    </w:p>
    <w:p w14:paraId="38174F51">
      <w:pPr>
        <w:adjustRightInd w:val="0"/>
        <w:snapToGrid w:val="0"/>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本项目报价为总价包干，</w:t>
      </w:r>
      <w:r>
        <w:rPr>
          <w:rFonts w:hint="eastAsia" w:ascii="宋体" w:hAnsi="宋体"/>
          <w:sz w:val="24"/>
          <w:szCs w:val="24"/>
        </w:rPr>
        <w:t>表中所列货物为对应本项目</w:t>
      </w:r>
      <w:r>
        <w:rPr>
          <w:rFonts w:hint="eastAsia" w:ascii="宋体" w:hAnsi="宋体"/>
          <w:sz w:val="24"/>
          <w:szCs w:val="24"/>
          <w:lang w:val="en-US" w:eastAsia="zh-CN"/>
        </w:rPr>
        <w:t>采购</w:t>
      </w:r>
      <w:r>
        <w:rPr>
          <w:rFonts w:hint="eastAsia" w:ascii="宋体" w:hAnsi="宋体"/>
          <w:sz w:val="24"/>
          <w:szCs w:val="24"/>
        </w:rPr>
        <w:t>需求的全部货物及所需附件购置费、包装费、运输费、人工费、保险费、安装调试费、各种税费、资料费、售后服务</w:t>
      </w:r>
      <w:r>
        <w:rPr>
          <w:rFonts w:hint="eastAsia" w:ascii="宋体" w:hAnsi="宋体"/>
          <w:sz w:val="24"/>
          <w:szCs w:val="24"/>
          <w:highlight w:val="none"/>
        </w:rPr>
        <w:t>费及</w:t>
      </w:r>
      <w:r>
        <w:rPr>
          <w:rFonts w:hint="eastAsia" w:ascii="宋体" w:hAnsi="宋体"/>
          <w:sz w:val="24"/>
          <w:szCs w:val="24"/>
          <w:highlight w:val="none"/>
          <w:lang w:val="en-US" w:eastAsia="zh-CN"/>
        </w:rPr>
        <w:t>总承包服务费（1.5%）等</w:t>
      </w:r>
      <w:r>
        <w:rPr>
          <w:rFonts w:hint="eastAsia" w:ascii="宋体" w:hAnsi="宋体"/>
          <w:sz w:val="24"/>
          <w:szCs w:val="24"/>
          <w:highlight w:val="none"/>
        </w:rPr>
        <w:t>完成项目</w:t>
      </w:r>
      <w:r>
        <w:rPr>
          <w:rFonts w:hint="eastAsia" w:ascii="宋体" w:hAnsi="宋体"/>
          <w:sz w:val="24"/>
          <w:szCs w:val="24"/>
        </w:rPr>
        <w:t>应有的全部费用。</w:t>
      </w:r>
    </w:p>
    <w:p w14:paraId="6E48E5BF">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2、表中须明确列出所投产品的货物名称、品牌、型号规格、原产地及生产厂商，否则可能导致投标无效。</w:t>
      </w:r>
    </w:p>
    <w:p w14:paraId="7C49C37D">
      <w:pPr>
        <w:pStyle w:val="6"/>
        <w:wordWrap w:val="0"/>
        <w:spacing w:before="0" w:after="0" w:line="560" w:lineRule="exact"/>
        <w:rPr>
          <w:rFonts w:hint="eastAsia" w:ascii="宋体" w:hAnsi="宋体" w:eastAsia="宋体" w:cs="宋体"/>
          <w:sz w:val="24"/>
          <w:szCs w:val="24"/>
        </w:rPr>
      </w:pPr>
      <w:bookmarkStart w:id="100" w:name="_Toc1694"/>
    </w:p>
    <w:p w14:paraId="37ADB06E">
      <w:pPr>
        <w:pStyle w:val="6"/>
        <w:wordWrap w:val="0"/>
        <w:spacing w:before="0" w:after="0" w:line="560" w:lineRule="exact"/>
        <w:rPr>
          <w:rFonts w:hint="eastAsia" w:ascii="宋体" w:hAnsi="宋体" w:eastAsia="宋体" w:cs="宋体"/>
          <w:sz w:val="24"/>
          <w:szCs w:val="24"/>
        </w:rPr>
      </w:pPr>
    </w:p>
    <w:p w14:paraId="17F5E54F">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100"/>
    </w:p>
    <w:p w14:paraId="1B0518EC">
      <w:pPr>
        <w:pStyle w:val="6"/>
        <w:spacing w:before="0" w:after="0" w:line="560" w:lineRule="exact"/>
        <w:jc w:val="center"/>
        <w:rPr>
          <w:rFonts w:ascii="宋体" w:hAnsi="宋体" w:eastAsia="宋体" w:cs="宋体"/>
          <w:sz w:val="24"/>
          <w:szCs w:val="24"/>
        </w:rPr>
      </w:pPr>
      <w:bookmarkStart w:id="101" w:name="_Toc17280"/>
      <w:bookmarkStart w:id="102" w:name="_Toc15147"/>
      <w:bookmarkStart w:id="103" w:name="_Toc28821"/>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供应商基本信息</w:t>
      </w:r>
      <w:bookmarkEnd w:id="101"/>
      <w:bookmarkEnd w:id="102"/>
      <w:bookmarkEnd w:id="103"/>
    </w:p>
    <w:p w14:paraId="38E4D479">
      <w:pPr>
        <w:spacing w:line="480" w:lineRule="auto"/>
        <w:ind w:firstLine="480" w:firstLineChars="200"/>
        <w:jc w:val="center"/>
        <w:rPr>
          <w:rFonts w:hint="eastAsia" w:ascii="宋体" w:hAnsi="宋体"/>
          <w:sz w:val="24"/>
          <w:szCs w:val="24"/>
          <w:lang w:val="en-US" w:eastAsia="zh-CN"/>
        </w:rPr>
      </w:pPr>
      <w:bookmarkStart w:id="104" w:name="_Toc6558"/>
      <w:r>
        <w:rPr>
          <w:rFonts w:hint="eastAsia" w:ascii="宋体" w:hAnsi="宋体"/>
          <w:sz w:val="24"/>
          <w:szCs w:val="24"/>
          <w:lang w:val="en-US" w:eastAsia="zh-CN"/>
        </w:rPr>
        <w:t>（格式自拟）</w:t>
      </w:r>
    </w:p>
    <w:p w14:paraId="77D2EB8C">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附件三</w:t>
      </w:r>
      <w:bookmarkEnd w:id="104"/>
    </w:p>
    <w:p w14:paraId="4B8DD665">
      <w:pPr>
        <w:pStyle w:val="6"/>
        <w:spacing w:before="0" w:after="0" w:line="560" w:lineRule="exact"/>
        <w:jc w:val="center"/>
        <w:rPr>
          <w:rFonts w:ascii="宋体" w:hAnsi="宋体" w:eastAsia="宋体" w:cs="宋体"/>
          <w:sz w:val="24"/>
          <w:szCs w:val="24"/>
        </w:rPr>
      </w:pPr>
      <w:bookmarkStart w:id="105" w:name="_Toc10696"/>
      <w:bookmarkStart w:id="106" w:name="_Toc11913"/>
      <w:bookmarkStart w:id="107" w:name="_Toc28011"/>
      <w:r>
        <w:rPr>
          <w:rFonts w:hint="eastAsia" w:ascii="宋体" w:hAnsi="宋体" w:eastAsia="宋体" w:cs="宋体"/>
          <w:sz w:val="24"/>
          <w:szCs w:val="24"/>
        </w:rPr>
        <w:t>磋商授权书</w:t>
      </w:r>
      <w:bookmarkEnd w:id="105"/>
      <w:bookmarkEnd w:id="106"/>
      <w:bookmarkEnd w:id="107"/>
    </w:p>
    <w:p w14:paraId="50FC779D">
      <w:pPr>
        <w:rPr>
          <w:rFonts w:ascii="宋体" w:hAnsi="宋体"/>
          <w:sz w:val="24"/>
          <w:szCs w:val="24"/>
        </w:rPr>
      </w:pPr>
    </w:p>
    <w:p w14:paraId="19EBAB97">
      <w:pPr>
        <w:spacing w:line="480" w:lineRule="auto"/>
        <w:jc w:val="left"/>
        <w:rPr>
          <w:rFonts w:ascii="宋体" w:hAnsi="宋体"/>
          <w:sz w:val="24"/>
          <w:szCs w:val="24"/>
        </w:rPr>
      </w:pPr>
      <w:r>
        <w:rPr>
          <w:rFonts w:hint="eastAsia" w:ascii="宋体" w:hAnsi="宋体"/>
          <w:sz w:val="24"/>
          <w:szCs w:val="24"/>
        </w:rPr>
        <w:t>致：_________________</w:t>
      </w:r>
    </w:p>
    <w:p w14:paraId="006DEF81">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项目竞争性磋商活动的合法代理人，以我方名义全权处理与该项目磋商、签订合同以及合同执行有关的一切事务。</w:t>
      </w:r>
    </w:p>
    <w:p w14:paraId="051B16B0">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7B8F2C29">
      <w:pPr>
        <w:spacing w:line="360" w:lineRule="auto"/>
        <w:jc w:val="left"/>
        <w:rPr>
          <w:rFonts w:ascii="宋体" w:hAnsi="宋体"/>
          <w:sz w:val="24"/>
          <w:szCs w:val="24"/>
        </w:rPr>
      </w:pPr>
    </w:p>
    <w:p w14:paraId="59525E9A">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val="en-US" w:eastAsia="zh-CN"/>
        </w:rPr>
        <w:t>或盖章</w:t>
      </w:r>
      <w:r>
        <w:rPr>
          <w:rFonts w:hint="eastAsia" w:ascii="宋体" w:hAnsi="宋体"/>
          <w:b/>
          <w:bCs/>
          <w:sz w:val="24"/>
          <w:szCs w:val="24"/>
        </w:rPr>
        <w:t>：</w:t>
      </w:r>
      <w:r>
        <w:rPr>
          <w:rFonts w:hint="eastAsia" w:ascii="宋体" w:hAnsi="宋体"/>
          <w:sz w:val="24"/>
          <w:szCs w:val="24"/>
          <w:u w:val="single"/>
        </w:rPr>
        <w:t xml:space="preserve">                            </w:t>
      </w:r>
    </w:p>
    <w:p w14:paraId="006F5CC8">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0E7BDF52">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0E115542">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7AF69150">
      <w:pPr>
        <w:spacing w:line="360" w:lineRule="auto"/>
        <w:ind w:firstLine="1084" w:firstLineChars="450"/>
        <w:jc w:val="left"/>
        <w:rPr>
          <w:rFonts w:ascii="宋体" w:hAnsi="宋体"/>
          <w:b/>
          <w:bCs/>
          <w:sz w:val="24"/>
          <w:szCs w:val="24"/>
        </w:rPr>
      </w:pPr>
    </w:p>
    <w:p w14:paraId="4F1570B1">
      <w:pPr>
        <w:spacing w:line="360" w:lineRule="auto"/>
        <w:ind w:firstLine="1084" w:firstLineChars="450"/>
        <w:jc w:val="left"/>
        <w:rPr>
          <w:rFonts w:ascii="宋体" w:hAnsi="宋体"/>
          <w:sz w:val="24"/>
          <w:szCs w:val="24"/>
        </w:rPr>
      </w:pPr>
      <w:r>
        <w:rPr>
          <w:rFonts w:hint="eastAsia" w:ascii="宋体" w:hAnsi="宋体"/>
          <w:b/>
          <w:bCs/>
          <w:sz w:val="24"/>
          <w:szCs w:val="24"/>
        </w:rPr>
        <w:t>代理人（被授权人）签字</w:t>
      </w:r>
      <w:r>
        <w:rPr>
          <w:rFonts w:hint="eastAsia" w:ascii="宋体" w:hAnsi="宋体"/>
          <w:b/>
          <w:bCs/>
          <w:sz w:val="24"/>
          <w:szCs w:val="24"/>
          <w:lang w:val="en-US" w:eastAsia="zh-CN"/>
        </w:rPr>
        <w:t>或盖章</w:t>
      </w:r>
      <w:r>
        <w:rPr>
          <w:rFonts w:hint="eastAsia" w:ascii="宋体" w:hAnsi="宋体"/>
          <w:b/>
          <w:bCs/>
          <w:sz w:val="24"/>
          <w:szCs w:val="24"/>
        </w:rPr>
        <w:t>：</w:t>
      </w:r>
      <w:r>
        <w:rPr>
          <w:rFonts w:hint="eastAsia" w:ascii="宋体" w:hAnsi="宋体"/>
          <w:sz w:val="24"/>
          <w:szCs w:val="24"/>
          <w:u w:val="single"/>
        </w:rPr>
        <w:t xml:space="preserve">                     </w:t>
      </w:r>
    </w:p>
    <w:p w14:paraId="124D1411">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5A0655D5">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0961800">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3283EFC9">
      <w:pPr>
        <w:spacing w:line="360" w:lineRule="auto"/>
        <w:jc w:val="left"/>
        <w:rPr>
          <w:rFonts w:ascii="宋体" w:hAnsi="宋体"/>
          <w:sz w:val="24"/>
          <w:szCs w:val="24"/>
        </w:rPr>
      </w:pPr>
    </w:p>
    <w:p w14:paraId="68B48B17">
      <w:pPr>
        <w:wordWrap w:val="0"/>
        <w:spacing w:line="360" w:lineRule="auto"/>
        <w:jc w:val="right"/>
        <w:rPr>
          <w:rFonts w:ascii="宋体" w:hAnsi="宋体"/>
          <w:sz w:val="24"/>
          <w:szCs w:val="24"/>
        </w:rPr>
      </w:pPr>
      <w:r>
        <w:rPr>
          <w:rFonts w:hint="eastAsia" w:ascii="宋体" w:hAnsi="宋体"/>
          <w:sz w:val="24"/>
          <w:szCs w:val="24"/>
        </w:rPr>
        <w:t xml:space="preserve">                                                      </w:t>
      </w:r>
    </w:p>
    <w:p w14:paraId="41E18EB3">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w:t>
      </w:r>
      <w:r>
        <w:rPr>
          <w:rFonts w:hint="eastAsia" w:ascii="宋体" w:hAnsi="宋体"/>
          <w:b/>
          <w:bCs/>
          <w:sz w:val="24"/>
          <w:szCs w:val="24"/>
        </w:rPr>
        <w:t>章：</w:t>
      </w:r>
    </w:p>
    <w:p w14:paraId="516F78CF">
      <w:pPr>
        <w:tabs>
          <w:tab w:val="left" w:pos="630"/>
        </w:tabs>
        <w:spacing w:line="360" w:lineRule="auto"/>
        <w:ind w:firstLine="4245" w:firstLineChars="1762"/>
        <w:rPr>
          <w:rFonts w:hint="eastAsia" w:ascii="宋体" w:hAnsi="宋体"/>
          <w:b/>
          <w:bCs/>
          <w:sz w:val="24"/>
          <w:szCs w:val="24"/>
        </w:rPr>
        <w:sectPr>
          <w:pgSz w:w="11906" w:h="16838"/>
          <w:pgMar w:top="1440" w:right="1531" w:bottom="1440" w:left="1531" w:header="851" w:footer="992" w:gutter="0"/>
          <w:pgNumType w:fmt="decimal"/>
          <w:cols w:space="425" w:num="1"/>
          <w:docGrid w:type="lines" w:linePitch="312" w:charSpace="0"/>
        </w:sectPr>
      </w:pPr>
      <w:r>
        <w:rPr>
          <w:rFonts w:hint="eastAsia" w:ascii="宋体" w:hAnsi="宋体"/>
          <w:b/>
          <w:bCs/>
          <w:sz w:val="24"/>
          <w:szCs w:val="24"/>
        </w:rPr>
        <w:t>日期：</w:t>
      </w:r>
    </w:p>
    <w:p w14:paraId="3D49230E">
      <w:pPr>
        <w:spacing w:line="360" w:lineRule="auto"/>
        <w:rPr>
          <w:rFonts w:ascii="宋体" w:hAnsi="宋体" w:cs="宋体"/>
          <w:b/>
          <w:sz w:val="24"/>
          <w:szCs w:val="24"/>
        </w:rPr>
      </w:pPr>
      <w:r>
        <w:rPr>
          <w:rFonts w:hint="eastAsia" w:ascii="宋体" w:hAnsi="宋体" w:cs="宋体"/>
          <w:b/>
          <w:sz w:val="24"/>
          <w:szCs w:val="24"/>
        </w:rPr>
        <w:t>法定代表人身份证复印件</w:t>
      </w:r>
    </w:p>
    <w:tbl>
      <w:tblPr>
        <w:tblStyle w:val="35"/>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7BB9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14:paraId="538BD706">
            <w:pPr>
              <w:spacing w:line="240" w:lineRule="atLeast"/>
              <w:rPr>
                <w:rFonts w:ascii="宋体" w:hAnsi="宋体" w:cs="宋体"/>
                <w:b/>
                <w:sz w:val="24"/>
                <w:szCs w:val="24"/>
              </w:rPr>
            </w:pPr>
          </w:p>
          <w:p w14:paraId="45A0F314">
            <w:pPr>
              <w:spacing w:line="240" w:lineRule="atLeast"/>
              <w:rPr>
                <w:rFonts w:ascii="宋体" w:hAnsi="宋体" w:cs="宋体"/>
                <w:b/>
                <w:sz w:val="24"/>
                <w:szCs w:val="24"/>
              </w:rPr>
            </w:pPr>
            <w:r>
              <w:rPr>
                <w:rFonts w:hint="eastAsia" w:ascii="宋体" w:hAnsi="宋体" w:cs="宋体"/>
                <w:b/>
                <w:sz w:val="24"/>
                <w:szCs w:val="24"/>
              </w:rPr>
              <w:t>此处贴法人代表身份证正面</w:t>
            </w:r>
          </w:p>
          <w:p w14:paraId="78AF351C">
            <w:pPr>
              <w:spacing w:line="240" w:lineRule="atLeast"/>
              <w:rPr>
                <w:rFonts w:ascii="宋体" w:hAnsi="宋体" w:cs="宋体"/>
                <w:b/>
                <w:sz w:val="24"/>
                <w:szCs w:val="24"/>
              </w:rPr>
            </w:pPr>
          </w:p>
          <w:p w14:paraId="3EE45752">
            <w:pPr>
              <w:spacing w:line="240" w:lineRule="atLeast"/>
              <w:rPr>
                <w:rFonts w:ascii="宋体" w:hAnsi="宋体" w:cs="宋体"/>
                <w:b/>
                <w:sz w:val="24"/>
                <w:szCs w:val="24"/>
              </w:rPr>
            </w:pPr>
          </w:p>
          <w:p w14:paraId="11087E46">
            <w:pPr>
              <w:spacing w:line="240" w:lineRule="atLeast"/>
              <w:rPr>
                <w:rFonts w:ascii="宋体" w:hAnsi="宋体" w:cs="宋体"/>
                <w:b/>
                <w:sz w:val="24"/>
                <w:szCs w:val="24"/>
              </w:rPr>
            </w:pPr>
          </w:p>
        </w:tc>
      </w:tr>
    </w:tbl>
    <w:p w14:paraId="73D7A71B">
      <w:pPr>
        <w:spacing w:line="240" w:lineRule="atLeast"/>
        <w:rPr>
          <w:rFonts w:ascii="宋体" w:hAnsi="宋体" w:cs="宋体"/>
          <w:b/>
          <w:sz w:val="24"/>
          <w:szCs w:val="24"/>
        </w:rPr>
      </w:pPr>
    </w:p>
    <w:tbl>
      <w:tblPr>
        <w:tblStyle w:val="35"/>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4FAC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14:paraId="491B57CA">
            <w:pPr>
              <w:spacing w:line="240" w:lineRule="atLeast"/>
              <w:rPr>
                <w:rFonts w:ascii="宋体" w:hAnsi="宋体" w:cs="宋体"/>
                <w:b/>
                <w:sz w:val="24"/>
                <w:szCs w:val="24"/>
              </w:rPr>
            </w:pPr>
          </w:p>
          <w:p w14:paraId="7265FF35">
            <w:pPr>
              <w:spacing w:line="240" w:lineRule="atLeast"/>
              <w:rPr>
                <w:rFonts w:ascii="宋体" w:hAnsi="宋体" w:cs="宋体"/>
                <w:b/>
                <w:sz w:val="24"/>
                <w:szCs w:val="24"/>
              </w:rPr>
            </w:pPr>
            <w:r>
              <w:rPr>
                <w:rFonts w:hint="eastAsia" w:ascii="宋体" w:hAnsi="宋体" w:cs="宋体"/>
                <w:b/>
                <w:sz w:val="24"/>
                <w:szCs w:val="24"/>
              </w:rPr>
              <w:t>此处贴法人代表身份证背面</w:t>
            </w:r>
          </w:p>
          <w:p w14:paraId="4F1CF2C3">
            <w:pPr>
              <w:spacing w:line="240" w:lineRule="atLeast"/>
              <w:rPr>
                <w:rFonts w:ascii="宋体" w:hAnsi="宋体" w:cs="宋体"/>
                <w:b/>
                <w:sz w:val="24"/>
                <w:szCs w:val="24"/>
              </w:rPr>
            </w:pPr>
          </w:p>
          <w:p w14:paraId="2ED1E563">
            <w:pPr>
              <w:spacing w:line="240" w:lineRule="atLeast"/>
              <w:rPr>
                <w:rFonts w:ascii="宋体" w:hAnsi="宋体" w:cs="宋体"/>
                <w:b/>
                <w:sz w:val="24"/>
                <w:szCs w:val="24"/>
              </w:rPr>
            </w:pPr>
          </w:p>
          <w:p w14:paraId="6B610955">
            <w:pPr>
              <w:spacing w:line="240" w:lineRule="atLeast"/>
              <w:rPr>
                <w:rFonts w:ascii="宋体" w:hAnsi="宋体" w:cs="宋体"/>
                <w:b/>
                <w:sz w:val="24"/>
                <w:szCs w:val="24"/>
              </w:rPr>
            </w:pPr>
          </w:p>
          <w:p w14:paraId="14D31D84">
            <w:pPr>
              <w:spacing w:line="240" w:lineRule="atLeast"/>
              <w:rPr>
                <w:rFonts w:ascii="宋体" w:hAnsi="宋体" w:cs="宋体"/>
                <w:b/>
                <w:sz w:val="24"/>
                <w:szCs w:val="24"/>
              </w:rPr>
            </w:pPr>
          </w:p>
        </w:tc>
      </w:tr>
    </w:tbl>
    <w:p w14:paraId="2218C7B3">
      <w:pPr>
        <w:spacing w:line="240" w:lineRule="atLeast"/>
        <w:rPr>
          <w:rFonts w:ascii="宋体" w:hAnsi="宋体" w:cs="宋体"/>
          <w:b/>
          <w:sz w:val="24"/>
          <w:szCs w:val="24"/>
        </w:rPr>
      </w:pPr>
    </w:p>
    <w:p w14:paraId="396C8B90">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7842BD06">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74E93ACA">
      <w:pPr>
        <w:spacing w:line="360" w:lineRule="auto"/>
        <w:rPr>
          <w:rFonts w:ascii="宋体" w:hAnsi="宋体" w:cs="宋体"/>
          <w:b/>
          <w:sz w:val="24"/>
          <w:szCs w:val="24"/>
        </w:rPr>
      </w:pPr>
    </w:p>
    <w:p w14:paraId="5C873DE1">
      <w:pPr>
        <w:pStyle w:val="30"/>
        <w:rPr>
          <w:rFonts w:ascii="宋体" w:hAnsi="宋体" w:cs="宋体"/>
          <w:sz w:val="24"/>
          <w:szCs w:val="24"/>
        </w:rPr>
      </w:pPr>
    </w:p>
    <w:p w14:paraId="091B0C61">
      <w:pPr>
        <w:pStyle w:val="30"/>
        <w:rPr>
          <w:rFonts w:ascii="宋体" w:hAnsi="宋体" w:cs="宋体"/>
          <w:sz w:val="24"/>
          <w:szCs w:val="24"/>
        </w:rPr>
      </w:pPr>
    </w:p>
    <w:p w14:paraId="00E5A4D7">
      <w:pPr>
        <w:rPr>
          <w:rFonts w:ascii="宋体" w:hAnsi="宋体" w:cs="宋体"/>
          <w:sz w:val="24"/>
          <w:szCs w:val="24"/>
        </w:rPr>
      </w:pPr>
    </w:p>
    <w:p w14:paraId="20783009">
      <w:pPr>
        <w:rPr>
          <w:rFonts w:ascii="宋体" w:hAnsi="宋体" w:cs="宋体"/>
          <w:sz w:val="24"/>
          <w:szCs w:val="24"/>
        </w:rPr>
      </w:pPr>
    </w:p>
    <w:p w14:paraId="19EA303E">
      <w:pPr>
        <w:rPr>
          <w:rFonts w:ascii="宋体" w:hAnsi="宋体" w:cs="宋体"/>
          <w:sz w:val="24"/>
          <w:szCs w:val="24"/>
        </w:rPr>
      </w:pPr>
    </w:p>
    <w:p w14:paraId="6317D886">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7437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14:paraId="2E809AB5">
            <w:pPr>
              <w:spacing w:line="240" w:lineRule="atLeast"/>
              <w:rPr>
                <w:rFonts w:ascii="宋体" w:hAnsi="宋体" w:cs="宋体"/>
                <w:b/>
                <w:sz w:val="24"/>
                <w:szCs w:val="24"/>
              </w:rPr>
            </w:pPr>
          </w:p>
          <w:p w14:paraId="6AC1AB1B">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14:paraId="263B53CD">
            <w:pPr>
              <w:spacing w:line="240" w:lineRule="atLeast"/>
              <w:rPr>
                <w:rFonts w:ascii="宋体" w:hAnsi="宋体" w:cs="宋体"/>
                <w:b/>
                <w:sz w:val="24"/>
                <w:szCs w:val="24"/>
              </w:rPr>
            </w:pPr>
          </w:p>
          <w:p w14:paraId="453B8CF7">
            <w:pPr>
              <w:spacing w:line="240" w:lineRule="atLeast"/>
              <w:rPr>
                <w:rFonts w:ascii="宋体" w:hAnsi="宋体" w:cs="宋体"/>
                <w:b/>
                <w:sz w:val="24"/>
                <w:szCs w:val="24"/>
              </w:rPr>
            </w:pPr>
          </w:p>
          <w:p w14:paraId="52FF7C78">
            <w:pPr>
              <w:spacing w:line="240" w:lineRule="atLeast"/>
              <w:rPr>
                <w:rFonts w:ascii="宋体" w:hAnsi="宋体" w:cs="宋体"/>
                <w:b/>
                <w:sz w:val="24"/>
                <w:szCs w:val="24"/>
              </w:rPr>
            </w:pPr>
          </w:p>
        </w:tc>
      </w:tr>
    </w:tbl>
    <w:p w14:paraId="516ECA62">
      <w:pPr>
        <w:spacing w:line="240" w:lineRule="atLeast"/>
        <w:rPr>
          <w:rFonts w:ascii="宋体" w:hAnsi="宋体" w:cs="宋体"/>
          <w:b/>
          <w:sz w:val="24"/>
          <w:szCs w:val="24"/>
        </w:rPr>
      </w:pP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7F6E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14:paraId="50ECE6E5">
            <w:pPr>
              <w:spacing w:line="240" w:lineRule="atLeast"/>
              <w:rPr>
                <w:rFonts w:ascii="宋体" w:hAnsi="宋体" w:cs="宋体"/>
                <w:b/>
                <w:sz w:val="24"/>
                <w:szCs w:val="24"/>
              </w:rPr>
            </w:pPr>
          </w:p>
          <w:p w14:paraId="35C0C76E">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14:paraId="40DB994A">
            <w:pPr>
              <w:spacing w:line="240" w:lineRule="atLeast"/>
              <w:rPr>
                <w:rFonts w:ascii="宋体" w:hAnsi="宋体" w:cs="宋体"/>
                <w:b/>
                <w:sz w:val="24"/>
                <w:szCs w:val="24"/>
              </w:rPr>
            </w:pPr>
          </w:p>
          <w:p w14:paraId="79418E82">
            <w:pPr>
              <w:spacing w:line="240" w:lineRule="atLeast"/>
              <w:rPr>
                <w:rFonts w:ascii="宋体" w:hAnsi="宋体" w:cs="宋体"/>
                <w:b/>
                <w:sz w:val="24"/>
                <w:szCs w:val="24"/>
              </w:rPr>
            </w:pPr>
          </w:p>
          <w:p w14:paraId="107AF5F7">
            <w:pPr>
              <w:spacing w:line="240" w:lineRule="atLeast"/>
              <w:rPr>
                <w:rFonts w:ascii="宋体" w:hAnsi="宋体" w:cs="宋体"/>
                <w:b/>
                <w:sz w:val="24"/>
                <w:szCs w:val="24"/>
              </w:rPr>
            </w:pPr>
          </w:p>
        </w:tc>
      </w:tr>
    </w:tbl>
    <w:p w14:paraId="156D3676">
      <w:pPr>
        <w:spacing w:line="240" w:lineRule="atLeast"/>
        <w:rPr>
          <w:rFonts w:ascii="宋体" w:hAnsi="宋体" w:cs="宋体"/>
          <w:b/>
          <w:sz w:val="24"/>
          <w:szCs w:val="24"/>
        </w:rPr>
      </w:pPr>
    </w:p>
    <w:p w14:paraId="6FA3B828">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36496D11">
      <w:pPr>
        <w:spacing w:line="360" w:lineRule="auto"/>
        <w:ind w:firstLine="482" w:firstLineChars="200"/>
        <w:rPr>
          <w:rFonts w:ascii="宋体" w:hAnsi="宋体" w:cs="宋体"/>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2946ED6A">
      <w:pPr>
        <w:spacing w:line="360" w:lineRule="auto"/>
        <w:rPr>
          <w:rFonts w:ascii="宋体" w:hAnsi="宋体" w:cs="宋体"/>
          <w:b/>
          <w:sz w:val="24"/>
          <w:szCs w:val="24"/>
        </w:rPr>
      </w:pPr>
      <w:r>
        <w:rPr>
          <w:rFonts w:hint="eastAsia" w:ascii="宋体" w:hAnsi="宋体" w:cs="宋体"/>
          <w:b/>
          <w:sz w:val="24"/>
          <w:szCs w:val="24"/>
        </w:rPr>
        <w:t>特殊说明：</w:t>
      </w:r>
    </w:p>
    <w:p w14:paraId="5A15D8D9">
      <w:pPr>
        <w:spacing w:line="360" w:lineRule="auto"/>
        <w:rPr>
          <w:rFonts w:ascii="宋体" w:hAnsi="宋体" w:cs="宋体"/>
          <w:b/>
          <w:sz w:val="24"/>
          <w:szCs w:val="24"/>
        </w:rPr>
      </w:pPr>
      <w:r>
        <w:rPr>
          <w:rFonts w:hint="eastAsia" w:ascii="宋体" w:hAnsi="宋体" w:cs="宋体"/>
          <w:b/>
          <w:sz w:val="24"/>
          <w:szCs w:val="24"/>
        </w:rPr>
        <w:t>1、上述身份证复印件必须清晰；</w:t>
      </w:r>
    </w:p>
    <w:p w14:paraId="5F0E1BD2">
      <w:pPr>
        <w:spacing w:line="360" w:lineRule="auto"/>
        <w:rPr>
          <w:rFonts w:hint="eastAsia" w:ascii="宋体" w:hAnsi="宋体" w:eastAsia="宋体"/>
          <w:b/>
          <w:bCs/>
          <w:sz w:val="24"/>
          <w:szCs w:val="24"/>
          <w:lang w:eastAsia="zh-CN"/>
        </w:rPr>
        <w:sectPr>
          <w:pgSz w:w="11906" w:h="16838"/>
          <w:pgMar w:top="1440" w:right="1531" w:bottom="1440" w:left="1531" w:header="851" w:footer="992" w:gutter="0"/>
          <w:cols w:space="425" w:num="1"/>
          <w:docGrid w:type="lines" w:linePitch="312" w:charSpace="0"/>
        </w:sectPr>
      </w:pPr>
      <w:r>
        <w:rPr>
          <w:rFonts w:hint="eastAsia" w:ascii="宋体" w:hAnsi="宋体" w:cs="宋体"/>
          <w:b/>
          <w:sz w:val="24"/>
          <w:szCs w:val="24"/>
        </w:rPr>
        <w:t>2、法定代表人参加投标的无需提供</w:t>
      </w:r>
      <w:r>
        <w:rPr>
          <w:rFonts w:hint="eastAsia" w:ascii="宋体" w:hAnsi="宋体" w:cs="宋体"/>
          <w:b/>
          <w:sz w:val="24"/>
          <w:szCs w:val="24"/>
          <w:lang w:val="en-US" w:eastAsia="zh-CN"/>
        </w:rPr>
        <w:t>磋商</w:t>
      </w:r>
      <w:r>
        <w:rPr>
          <w:rFonts w:hint="eastAsia" w:ascii="宋体" w:hAnsi="宋体" w:cs="宋体"/>
          <w:b/>
          <w:sz w:val="24"/>
          <w:szCs w:val="24"/>
        </w:rPr>
        <w:t>授权书，仅提供法定代表人身份证明</w:t>
      </w:r>
      <w:r>
        <w:rPr>
          <w:rFonts w:hint="eastAsia" w:ascii="宋体" w:hAnsi="宋体" w:cs="宋体"/>
          <w:b/>
          <w:sz w:val="24"/>
          <w:szCs w:val="24"/>
          <w:lang w:val="en-US" w:eastAsia="zh-CN"/>
        </w:rPr>
        <w:t>书（格式自拟）</w:t>
      </w:r>
      <w:r>
        <w:rPr>
          <w:rFonts w:hint="eastAsia" w:ascii="宋体" w:hAnsi="宋体" w:cs="宋体"/>
          <w:b/>
          <w:sz w:val="24"/>
          <w:szCs w:val="24"/>
        </w:rPr>
        <w:t>即可</w:t>
      </w:r>
      <w:r>
        <w:rPr>
          <w:rFonts w:hint="eastAsia" w:ascii="宋体" w:hAnsi="宋体" w:cs="宋体"/>
          <w:b/>
          <w:sz w:val="24"/>
          <w:szCs w:val="24"/>
          <w:lang w:eastAsia="zh-CN"/>
        </w:rPr>
        <w:t>。</w:t>
      </w:r>
    </w:p>
    <w:p w14:paraId="0DE09F6E">
      <w:pPr>
        <w:pStyle w:val="6"/>
        <w:spacing w:before="0" w:after="0" w:line="560" w:lineRule="exact"/>
        <w:rPr>
          <w:rFonts w:ascii="宋体" w:hAnsi="宋体" w:eastAsia="宋体" w:cs="宋体"/>
          <w:sz w:val="24"/>
          <w:szCs w:val="24"/>
        </w:rPr>
      </w:pPr>
      <w:bookmarkStart w:id="108" w:name="_Toc14907"/>
      <w:r>
        <w:rPr>
          <w:rFonts w:hint="eastAsia" w:ascii="宋体" w:hAnsi="宋体" w:eastAsia="宋体" w:cs="宋体"/>
          <w:sz w:val="24"/>
          <w:szCs w:val="24"/>
        </w:rPr>
        <w:t>附件四</w:t>
      </w:r>
      <w:bookmarkEnd w:id="108"/>
    </w:p>
    <w:p w14:paraId="6FC3DE54">
      <w:pPr>
        <w:pStyle w:val="6"/>
        <w:spacing w:before="0" w:after="0" w:line="560" w:lineRule="exact"/>
        <w:jc w:val="center"/>
        <w:rPr>
          <w:rFonts w:ascii="宋体" w:hAnsi="宋体" w:eastAsia="宋体" w:cs="宋体"/>
          <w:sz w:val="24"/>
          <w:szCs w:val="24"/>
        </w:rPr>
      </w:pPr>
      <w:bookmarkStart w:id="109" w:name="_Toc17016"/>
      <w:bookmarkStart w:id="110" w:name="_Toc7254"/>
      <w:bookmarkStart w:id="111" w:name="_Toc29263"/>
      <w:bookmarkStart w:id="112" w:name="_Toc417045478"/>
      <w:r>
        <w:rPr>
          <w:rFonts w:hint="eastAsia" w:ascii="宋体" w:hAnsi="宋体" w:eastAsia="宋体" w:cs="宋体"/>
          <w:sz w:val="24"/>
          <w:szCs w:val="24"/>
        </w:rPr>
        <w:t>磋商响应函</w:t>
      </w:r>
      <w:bookmarkEnd w:id="109"/>
      <w:bookmarkEnd w:id="110"/>
      <w:bookmarkEnd w:id="111"/>
    </w:p>
    <w:p w14:paraId="2225B60B">
      <w:pPr>
        <w:spacing w:line="360" w:lineRule="auto"/>
        <w:rPr>
          <w:rFonts w:ascii="宋体" w:hAnsi="宋体"/>
          <w:sz w:val="24"/>
          <w:szCs w:val="24"/>
        </w:rPr>
      </w:pPr>
      <w:r>
        <w:rPr>
          <w:rFonts w:hint="eastAsia" w:ascii="宋体" w:hAnsi="宋体"/>
          <w:sz w:val="24"/>
          <w:szCs w:val="24"/>
        </w:rPr>
        <w:t>致：XXX（代理机构名称）</w:t>
      </w:r>
    </w:p>
    <w:p w14:paraId="34EBA240">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号磋商公告的内容，我方决定参加贵方组织的“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”项目的竞争性磋商采购。我方授权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（供应商的名称）全权处理本项目磋商的有关事宜。</w:t>
      </w:r>
    </w:p>
    <w:p w14:paraId="5C318A71">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3511C3A9">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14:paraId="4F96098F">
      <w:pPr>
        <w:spacing w:line="360" w:lineRule="auto"/>
        <w:ind w:firstLine="480" w:firstLineChars="200"/>
        <w:rPr>
          <w:rFonts w:ascii="宋体" w:hAnsi="宋体"/>
          <w:sz w:val="24"/>
          <w:szCs w:val="24"/>
        </w:rPr>
      </w:pPr>
      <w:r>
        <w:rPr>
          <w:rFonts w:hint="eastAsia" w:ascii="宋体" w:hAnsi="宋体"/>
          <w:sz w:val="24"/>
          <w:szCs w:val="24"/>
        </w:rPr>
        <w:t>4、如我公司成交，我公司承诺愿意按磋商文件规定缴纳履约保证金。</w:t>
      </w:r>
    </w:p>
    <w:p w14:paraId="73D42DE8">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5、我方愿意提供贵方可能另外要求的、与磋商有关的文件资料，并保证我方已提供和将要提供的文件是真实的、准确的。</w:t>
      </w:r>
    </w:p>
    <w:p w14:paraId="51CB053A">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0D653180">
      <w:pPr>
        <w:tabs>
          <w:tab w:val="left" w:pos="0"/>
          <w:tab w:val="left" w:pos="840"/>
        </w:tabs>
        <w:spacing w:line="360" w:lineRule="auto"/>
        <w:jc w:val="left"/>
        <w:rPr>
          <w:rFonts w:ascii="宋体" w:hAnsi="宋体"/>
          <w:sz w:val="24"/>
          <w:szCs w:val="24"/>
        </w:rPr>
      </w:pPr>
    </w:p>
    <w:p w14:paraId="457642DC">
      <w:pPr>
        <w:tabs>
          <w:tab w:val="left" w:pos="0"/>
          <w:tab w:val="left" w:pos="840"/>
        </w:tabs>
        <w:rPr>
          <w:rFonts w:ascii="宋体" w:hAnsi="宋体"/>
          <w:sz w:val="24"/>
          <w:szCs w:val="24"/>
        </w:rPr>
      </w:pPr>
    </w:p>
    <w:p w14:paraId="573C443C">
      <w:pPr>
        <w:tabs>
          <w:tab w:val="left" w:pos="0"/>
          <w:tab w:val="left" w:pos="840"/>
        </w:tabs>
        <w:rPr>
          <w:rFonts w:ascii="宋体" w:hAnsi="宋体"/>
          <w:sz w:val="24"/>
          <w:szCs w:val="24"/>
        </w:rPr>
      </w:pPr>
    </w:p>
    <w:p w14:paraId="3A1A0C1F">
      <w:pPr>
        <w:tabs>
          <w:tab w:val="left" w:pos="0"/>
          <w:tab w:val="left" w:pos="840"/>
        </w:tabs>
        <w:rPr>
          <w:rFonts w:ascii="宋体" w:hAnsi="宋体"/>
          <w:sz w:val="24"/>
          <w:szCs w:val="24"/>
        </w:rPr>
      </w:pPr>
    </w:p>
    <w:p w14:paraId="1E6367D6">
      <w:pPr>
        <w:tabs>
          <w:tab w:val="left" w:pos="0"/>
          <w:tab w:val="left" w:pos="840"/>
        </w:tabs>
        <w:rPr>
          <w:rFonts w:ascii="宋体" w:hAnsi="宋体"/>
          <w:sz w:val="24"/>
          <w:szCs w:val="24"/>
        </w:rPr>
      </w:pPr>
    </w:p>
    <w:p w14:paraId="26278B67">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w:t>
      </w:r>
      <w:r>
        <w:rPr>
          <w:rFonts w:hint="eastAsia" w:ascii="宋体" w:hAnsi="宋体"/>
          <w:b/>
          <w:bCs/>
          <w:sz w:val="24"/>
          <w:szCs w:val="24"/>
        </w:rPr>
        <w:t>章：</w:t>
      </w:r>
    </w:p>
    <w:p w14:paraId="537197EE">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06E3556D">
      <w:pPr>
        <w:pStyle w:val="7"/>
        <w:rPr>
          <w:sz w:val="24"/>
          <w:szCs w:val="24"/>
          <w:lang w:val="en-US"/>
        </w:rPr>
      </w:pPr>
    </w:p>
    <w:p w14:paraId="66BD9646"/>
    <w:p w14:paraId="4CD6622F"/>
    <w:p w14:paraId="3E821029">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5E0979E7">
      <w:pPr>
        <w:pStyle w:val="6"/>
        <w:spacing w:before="0" w:after="0" w:line="560" w:lineRule="exact"/>
        <w:rPr>
          <w:rFonts w:ascii="宋体" w:hAnsi="宋体" w:eastAsia="宋体" w:cs="宋体"/>
          <w:sz w:val="24"/>
          <w:szCs w:val="24"/>
        </w:rPr>
      </w:pPr>
      <w:bookmarkStart w:id="113" w:name="_Toc30929"/>
      <w:r>
        <w:rPr>
          <w:rFonts w:hint="eastAsia" w:ascii="宋体" w:hAnsi="宋体" w:eastAsia="宋体" w:cs="宋体"/>
          <w:sz w:val="24"/>
          <w:szCs w:val="24"/>
        </w:rPr>
        <w:t>附件</w:t>
      </w:r>
      <w:bookmarkEnd w:id="112"/>
      <w:r>
        <w:rPr>
          <w:rFonts w:hint="eastAsia" w:ascii="宋体" w:hAnsi="宋体" w:eastAsia="宋体" w:cs="宋体"/>
          <w:sz w:val="24"/>
          <w:szCs w:val="24"/>
        </w:rPr>
        <w:t>五</w:t>
      </w:r>
      <w:bookmarkEnd w:id="113"/>
    </w:p>
    <w:p w14:paraId="0D0D7AD2">
      <w:pPr>
        <w:pStyle w:val="2"/>
        <w:ind w:firstLine="2891" w:firstLineChars="1200"/>
        <w:rPr>
          <w:rFonts w:ascii="宋体" w:hAnsi="宋体" w:cs="宋体"/>
          <w:b/>
          <w:szCs w:val="24"/>
          <w:lang w:val="zh-CN"/>
        </w:rPr>
      </w:pPr>
      <w:bookmarkStart w:id="114" w:name="_Hlk77793942"/>
      <w:bookmarkStart w:id="115" w:name="_Toc363199274"/>
      <w:r>
        <w:rPr>
          <w:rFonts w:hint="eastAsia" w:ascii="宋体" w:hAnsi="宋体" w:cs="宋体"/>
          <w:b/>
          <w:szCs w:val="24"/>
          <w:lang w:val="zh-CN"/>
        </w:rPr>
        <w:t>无重大违法记录声明函</w:t>
      </w:r>
    </w:p>
    <w:p w14:paraId="4D54B79B">
      <w:pPr>
        <w:pStyle w:val="2"/>
        <w:ind w:firstLine="480" w:firstLineChars="200"/>
        <w:rPr>
          <w:rFonts w:ascii="宋体" w:hAnsi="宋体"/>
          <w:szCs w:val="24"/>
        </w:rPr>
      </w:pPr>
      <w:bookmarkStart w:id="116"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278550B9">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6BE3A902">
      <w:pPr>
        <w:spacing w:line="360" w:lineRule="auto"/>
        <w:ind w:firstLine="435"/>
        <w:rPr>
          <w:rFonts w:ascii="宋体" w:hAnsi="宋体"/>
          <w:sz w:val="24"/>
          <w:szCs w:val="24"/>
        </w:rPr>
      </w:pPr>
    </w:p>
    <w:p w14:paraId="2C51A9F3">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74CA9BA7">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16"/>
    <w:p w14:paraId="4DC269AB">
      <w:pPr>
        <w:pStyle w:val="2"/>
        <w:ind w:firstLine="210"/>
      </w:pPr>
    </w:p>
    <w:p w14:paraId="4AC5B327">
      <w:pPr>
        <w:pStyle w:val="2"/>
        <w:ind w:firstLine="210"/>
      </w:pPr>
    </w:p>
    <w:p w14:paraId="72FBC484">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1E51C86B">
      <w:pPr>
        <w:spacing w:line="360" w:lineRule="auto"/>
        <w:ind w:firstLine="435"/>
        <w:rPr>
          <w:rFonts w:ascii="宋体" w:hAnsi="宋体"/>
          <w:sz w:val="24"/>
          <w:szCs w:val="24"/>
        </w:rPr>
      </w:pPr>
      <w:bookmarkStart w:id="117" w:name="_Hlk77794010"/>
      <w:r>
        <w:rPr>
          <w:rFonts w:hint="eastAsia" w:ascii="宋体" w:hAnsi="宋体"/>
          <w:sz w:val="24"/>
          <w:szCs w:val="24"/>
        </w:rPr>
        <w:t>本公司郑重承诺，我公司无以下不良信用记录情形：</w:t>
      </w:r>
    </w:p>
    <w:p w14:paraId="4C7F8370">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3EC2403C">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29EE4F8C">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56F74FD4">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06DE3BA7">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52424F1D">
      <w:pPr>
        <w:tabs>
          <w:tab w:val="left" w:pos="630"/>
        </w:tabs>
        <w:spacing w:line="360" w:lineRule="auto"/>
        <w:ind w:firstLine="630"/>
        <w:rPr>
          <w:rFonts w:ascii="宋体" w:hAnsi="宋体"/>
          <w:sz w:val="24"/>
          <w:szCs w:val="24"/>
        </w:rPr>
      </w:pPr>
    </w:p>
    <w:p w14:paraId="7EEE3F12">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60D9D662">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117"/>
    <w:p w14:paraId="132EE5ED">
      <w:pPr>
        <w:pStyle w:val="2"/>
        <w:ind w:firstLine="210"/>
      </w:pPr>
    </w:p>
    <w:bookmarkEnd w:id="114"/>
    <w:p w14:paraId="5C769446">
      <w:pPr>
        <w:pStyle w:val="2"/>
        <w:ind w:firstLine="210"/>
      </w:pPr>
    </w:p>
    <w:p w14:paraId="35EB2853">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55A9DEA4">
      <w:pPr>
        <w:pStyle w:val="6"/>
        <w:spacing w:before="0" w:after="0" w:line="560" w:lineRule="exact"/>
        <w:rPr>
          <w:rFonts w:ascii="宋体" w:hAnsi="宋体" w:eastAsia="宋体" w:cs="宋体"/>
          <w:sz w:val="24"/>
          <w:szCs w:val="24"/>
        </w:rPr>
      </w:pPr>
      <w:bookmarkStart w:id="118" w:name="_Toc1454"/>
      <w:r>
        <w:rPr>
          <w:rFonts w:hint="eastAsia" w:ascii="宋体" w:hAnsi="宋体" w:eastAsia="宋体" w:cs="宋体"/>
          <w:sz w:val="24"/>
          <w:szCs w:val="24"/>
        </w:rPr>
        <w:t>附件</w:t>
      </w:r>
      <w:bookmarkEnd w:id="115"/>
      <w:r>
        <w:rPr>
          <w:rFonts w:hint="eastAsia" w:ascii="宋体" w:hAnsi="宋体" w:eastAsia="宋体" w:cs="宋体"/>
          <w:sz w:val="24"/>
          <w:szCs w:val="24"/>
        </w:rPr>
        <w:t>六</w:t>
      </w:r>
      <w:bookmarkEnd w:id="118"/>
    </w:p>
    <w:p w14:paraId="3ED98425">
      <w:pPr>
        <w:pStyle w:val="6"/>
        <w:spacing w:before="0" w:after="0" w:line="560" w:lineRule="exact"/>
        <w:jc w:val="center"/>
        <w:rPr>
          <w:rFonts w:ascii="宋体" w:hAnsi="宋体" w:eastAsia="宋体" w:cs="宋体"/>
          <w:sz w:val="24"/>
          <w:szCs w:val="24"/>
          <w:lang w:val="zh-CN"/>
        </w:rPr>
      </w:pPr>
      <w:bookmarkStart w:id="119" w:name="_Toc14362"/>
      <w:bookmarkStart w:id="120" w:name="_Toc13276"/>
      <w:bookmarkStart w:id="121" w:name="_Toc25238"/>
      <w:r>
        <w:rPr>
          <w:rFonts w:hint="eastAsia" w:ascii="宋体" w:hAnsi="宋体" w:eastAsia="宋体" w:cs="宋体"/>
          <w:sz w:val="24"/>
          <w:szCs w:val="24"/>
          <w:lang w:val="zh-CN"/>
        </w:rPr>
        <w:t>响应情况表</w:t>
      </w:r>
      <w:bookmarkEnd w:id="119"/>
      <w:bookmarkEnd w:id="120"/>
      <w:bookmarkEnd w:id="121"/>
    </w:p>
    <w:p w14:paraId="5BB82F33">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00AD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4A2AF9D0">
            <w:pPr>
              <w:jc w:val="center"/>
              <w:rPr>
                <w:rFonts w:ascii="宋体" w:hAnsi="宋体" w:cs="宋体"/>
                <w:b/>
                <w:bCs/>
                <w:sz w:val="24"/>
                <w:szCs w:val="24"/>
              </w:rPr>
            </w:pPr>
            <w:bookmarkStart w:id="122" w:name="_Toc471299110"/>
            <w:r>
              <w:rPr>
                <w:rFonts w:hint="eastAsia" w:ascii="宋体" w:hAnsi="宋体" w:cs="宋体"/>
                <w:b/>
                <w:bCs/>
                <w:sz w:val="24"/>
                <w:szCs w:val="24"/>
              </w:rPr>
              <w:t>按磋商文件规定填写</w:t>
            </w:r>
          </w:p>
        </w:tc>
        <w:tc>
          <w:tcPr>
            <w:tcW w:w="4200" w:type="dxa"/>
            <w:gridSpan w:val="2"/>
            <w:vAlign w:val="center"/>
          </w:tcPr>
          <w:p w14:paraId="255E3D87">
            <w:pPr>
              <w:jc w:val="center"/>
              <w:rPr>
                <w:rFonts w:ascii="宋体" w:hAnsi="宋体" w:cs="宋体"/>
                <w:b/>
                <w:bCs/>
                <w:sz w:val="24"/>
                <w:szCs w:val="24"/>
              </w:rPr>
            </w:pPr>
            <w:r>
              <w:rPr>
                <w:rFonts w:hint="eastAsia" w:ascii="宋体" w:hAnsi="宋体" w:cs="宋体"/>
                <w:b/>
                <w:bCs/>
                <w:sz w:val="24"/>
                <w:szCs w:val="24"/>
              </w:rPr>
              <w:t>按供应商所投内容填写</w:t>
            </w:r>
          </w:p>
        </w:tc>
      </w:tr>
      <w:tr w14:paraId="6D36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19B00A63">
            <w:pPr>
              <w:jc w:val="center"/>
              <w:rPr>
                <w:rFonts w:ascii="宋体" w:hAnsi="宋体" w:cs="宋体"/>
                <w:b/>
                <w:bCs/>
                <w:sz w:val="24"/>
                <w:szCs w:val="24"/>
              </w:rPr>
            </w:pPr>
            <w:r>
              <w:rPr>
                <w:rFonts w:hint="eastAsia" w:ascii="宋体" w:hAnsi="宋体" w:cs="宋体"/>
                <w:b/>
                <w:bCs/>
                <w:sz w:val="24"/>
                <w:szCs w:val="24"/>
              </w:rPr>
              <w:t>第一部分：技术部分响应</w:t>
            </w:r>
          </w:p>
        </w:tc>
      </w:tr>
      <w:tr w14:paraId="7C17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715C8355">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74F3C8BA">
            <w:pPr>
              <w:jc w:val="center"/>
              <w:rPr>
                <w:rFonts w:ascii="宋体" w:hAnsi="宋体" w:cs="宋体"/>
                <w:sz w:val="24"/>
                <w:szCs w:val="24"/>
              </w:rPr>
            </w:pPr>
            <w:r>
              <w:rPr>
                <w:rFonts w:hint="eastAsia" w:ascii="宋体" w:hAnsi="宋体" w:cs="宋体"/>
                <w:sz w:val="24"/>
                <w:szCs w:val="24"/>
              </w:rPr>
              <w:t>品名</w:t>
            </w:r>
          </w:p>
        </w:tc>
        <w:tc>
          <w:tcPr>
            <w:tcW w:w="2520" w:type="dxa"/>
            <w:vAlign w:val="center"/>
          </w:tcPr>
          <w:p w14:paraId="67B1942C">
            <w:pPr>
              <w:jc w:val="center"/>
              <w:rPr>
                <w:rFonts w:ascii="宋体" w:hAnsi="宋体" w:cs="宋体"/>
                <w:sz w:val="24"/>
                <w:szCs w:val="24"/>
              </w:rPr>
            </w:pPr>
            <w:r>
              <w:rPr>
                <w:rFonts w:hint="eastAsia" w:ascii="宋体" w:hAnsi="宋体" w:cs="宋体"/>
                <w:sz w:val="24"/>
                <w:szCs w:val="24"/>
              </w:rPr>
              <w:t>技术规格及配置</w:t>
            </w:r>
          </w:p>
        </w:tc>
        <w:tc>
          <w:tcPr>
            <w:tcW w:w="2310" w:type="dxa"/>
            <w:vAlign w:val="center"/>
          </w:tcPr>
          <w:p w14:paraId="4DB7FA32">
            <w:pPr>
              <w:rPr>
                <w:rFonts w:ascii="宋体" w:hAnsi="宋体" w:cs="宋体"/>
                <w:sz w:val="24"/>
                <w:szCs w:val="24"/>
              </w:rPr>
            </w:pPr>
            <w:r>
              <w:rPr>
                <w:rFonts w:hint="eastAsia" w:ascii="宋体" w:hAnsi="宋体" w:cs="宋体"/>
                <w:sz w:val="24"/>
                <w:szCs w:val="24"/>
              </w:rPr>
              <w:t>品牌、型号、技术规格及配置、材质</w:t>
            </w:r>
          </w:p>
        </w:tc>
        <w:tc>
          <w:tcPr>
            <w:tcW w:w="1890" w:type="dxa"/>
            <w:vAlign w:val="center"/>
          </w:tcPr>
          <w:p w14:paraId="6BD858DC">
            <w:pPr>
              <w:jc w:val="center"/>
              <w:rPr>
                <w:rFonts w:ascii="宋体" w:hAnsi="宋体" w:cs="宋体"/>
                <w:sz w:val="24"/>
                <w:szCs w:val="24"/>
              </w:rPr>
            </w:pPr>
            <w:r>
              <w:rPr>
                <w:rFonts w:hint="eastAsia" w:ascii="宋体" w:hAnsi="宋体" w:cs="宋体"/>
                <w:sz w:val="24"/>
                <w:szCs w:val="24"/>
              </w:rPr>
              <w:t>偏离说明</w:t>
            </w:r>
          </w:p>
        </w:tc>
      </w:tr>
      <w:tr w14:paraId="3748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06C323A">
            <w:pPr>
              <w:jc w:val="center"/>
              <w:rPr>
                <w:rFonts w:ascii="宋体" w:hAnsi="宋体" w:cs="宋体"/>
                <w:sz w:val="24"/>
                <w:szCs w:val="24"/>
              </w:rPr>
            </w:pPr>
            <w:r>
              <w:rPr>
                <w:rFonts w:hint="eastAsia" w:ascii="宋体" w:hAnsi="宋体" w:cs="宋体"/>
                <w:sz w:val="24"/>
                <w:szCs w:val="24"/>
              </w:rPr>
              <w:t>1</w:t>
            </w:r>
          </w:p>
        </w:tc>
        <w:tc>
          <w:tcPr>
            <w:tcW w:w="1470" w:type="dxa"/>
          </w:tcPr>
          <w:p w14:paraId="272576EE">
            <w:pPr>
              <w:rPr>
                <w:rFonts w:ascii="宋体" w:hAnsi="宋体" w:cs="宋体"/>
                <w:sz w:val="24"/>
                <w:szCs w:val="24"/>
              </w:rPr>
            </w:pPr>
          </w:p>
        </w:tc>
        <w:tc>
          <w:tcPr>
            <w:tcW w:w="2520" w:type="dxa"/>
          </w:tcPr>
          <w:p w14:paraId="7D28193F">
            <w:pPr>
              <w:rPr>
                <w:rFonts w:ascii="宋体" w:hAnsi="宋体" w:cs="宋体"/>
                <w:sz w:val="24"/>
                <w:szCs w:val="24"/>
              </w:rPr>
            </w:pPr>
          </w:p>
        </w:tc>
        <w:tc>
          <w:tcPr>
            <w:tcW w:w="2310" w:type="dxa"/>
          </w:tcPr>
          <w:p w14:paraId="04DC3C4F">
            <w:pPr>
              <w:rPr>
                <w:rFonts w:ascii="宋体" w:hAnsi="宋体" w:cs="宋体"/>
                <w:sz w:val="24"/>
                <w:szCs w:val="24"/>
              </w:rPr>
            </w:pPr>
          </w:p>
        </w:tc>
        <w:tc>
          <w:tcPr>
            <w:tcW w:w="1890" w:type="dxa"/>
          </w:tcPr>
          <w:p w14:paraId="0EA31FCF">
            <w:pPr>
              <w:rPr>
                <w:rFonts w:ascii="宋体" w:hAnsi="宋体" w:cs="宋体"/>
                <w:sz w:val="24"/>
                <w:szCs w:val="24"/>
              </w:rPr>
            </w:pPr>
          </w:p>
        </w:tc>
      </w:tr>
      <w:tr w14:paraId="163E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ACFDE18">
            <w:pPr>
              <w:jc w:val="center"/>
              <w:rPr>
                <w:rFonts w:ascii="宋体" w:hAnsi="宋体" w:cs="宋体"/>
                <w:sz w:val="24"/>
                <w:szCs w:val="24"/>
              </w:rPr>
            </w:pPr>
            <w:r>
              <w:rPr>
                <w:rFonts w:hint="eastAsia" w:ascii="宋体" w:hAnsi="宋体" w:cs="宋体"/>
                <w:sz w:val="24"/>
                <w:szCs w:val="24"/>
              </w:rPr>
              <w:t>2</w:t>
            </w:r>
          </w:p>
        </w:tc>
        <w:tc>
          <w:tcPr>
            <w:tcW w:w="1470" w:type="dxa"/>
          </w:tcPr>
          <w:p w14:paraId="581CD4DD">
            <w:pPr>
              <w:rPr>
                <w:rFonts w:ascii="宋体" w:hAnsi="宋体" w:cs="宋体"/>
                <w:sz w:val="24"/>
                <w:szCs w:val="24"/>
              </w:rPr>
            </w:pPr>
          </w:p>
        </w:tc>
        <w:tc>
          <w:tcPr>
            <w:tcW w:w="2520" w:type="dxa"/>
          </w:tcPr>
          <w:p w14:paraId="013B078B">
            <w:pPr>
              <w:rPr>
                <w:rFonts w:ascii="宋体" w:hAnsi="宋体" w:cs="宋体"/>
                <w:sz w:val="24"/>
                <w:szCs w:val="24"/>
              </w:rPr>
            </w:pPr>
          </w:p>
        </w:tc>
        <w:tc>
          <w:tcPr>
            <w:tcW w:w="2310" w:type="dxa"/>
          </w:tcPr>
          <w:p w14:paraId="5FAE8C21">
            <w:pPr>
              <w:rPr>
                <w:rFonts w:ascii="宋体" w:hAnsi="宋体" w:cs="宋体"/>
                <w:sz w:val="24"/>
                <w:szCs w:val="24"/>
              </w:rPr>
            </w:pPr>
          </w:p>
        </w:tc>
        <w:tc>
          <w:tcPr>
            <w:tcW w:w="1890" w:type="dxa"/>
          </w:tcPr>
          <w:p w14:paraId="174A0EFE">
            <w:pPr>
              <w:rPr>
                <w:rFonts w:ascii="宋体" w:hAnsi="宋体" w:cs="宋体"/>
                <w:sz w:val="24"/>
                <w:szCs w:val="24"/>
              </w:rPr>
            </w:pPr>
          </w:p>
        </w:tc>
      </w:tr>
      <w:tr w14:paraId="1B83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FCE028F">
            <w:pPr>
              <w:jc w:val="center"/>
              <w:rPr>
                <w:rFonts w:ascii="宋体" w:hAnsi="宋体" w:cs="宋体"/>
                <w:sz w:val="24"/>
                <w:szCs w:val="24"/>
              </w:rPr>
            </w:pPr>
            <w:r>
              <w:rPr>
                <w:rFonts w:hint="eastAsia" w:ascii="宋体" w:hAnsi="宋体" w:cs="宋体"/>
                <w:sz w:val="24"/>
                <w:szCs w:val="24"/>
              </w:rPr>
              <w:t>3</w:t>
            </w:r>
          </w:p>
        </w:tc>
        <w:tc>
          <w:tcPr>
            <w:tcW w:w="1470" w:type="dxa"/>
          </w:tcPr>
          <w:p w14:paraId="4178E404">
            <w:pPr>
              <w:rPr>
                <w:rFonts w:ascii="宋体" w:hAnsi="宋体" w:cs="宋体"/>
                <w:sz w:val="24"/>
                <w:szCs w:val="24"/>
              </w:rPr>
            </w:pPr>
          </w:p>
        </w:tc>
        <w:tc>
          <w:tcPr>
            <w:tcW w:w="2520" w:type="dxa"/>
          </w:tcPr>
          <w:p w14:paraId="33FB948D">
            <w:pPr>
              <w:rPr>
                <w:rFonts w:ascii="宋体" w:hAnsi="宋体" w:cs="宋体"/>
                <w:sz w:val="24"/>
                <w:szCs w:val="24"/>
              </w:rPr>
            </w:pPr>
          </w:p>
        </w:tc>
        <w:tc>
          <w:tcPr>
            <w:tcW w:w="2310" w:type="dxa"/>
          </w:tcPr>
          <w:p w14:paraId="7B5AEC1E">
            <w:pPr>
              <w:rPr>
                <w:rFonts w:ascii="宋体" w:hAnsi="宋体" w:cs="宋体"/>
                <w:sz w:val="24"/>
                <w:szCs w:val="24"/>
              </w:rPr>
            </w:pPr>
          </w:p>
        </w:tc>
        <w:tc>
          <w:tcPr>
            <w:tcW w:w="1890" w:type="dxa"/>
          </w:tcPr>
          <w:p w14:paraId="6FDFC18F">
            <w:pPr>
              <w:rPr>
                <w:rFonts w:ascii="宋体" w:hAnsi="宋体" w:cs="宋体"/>
                <w:sz w:val="24"/>
                <w:szCs w:val="24"/>
              </w:rPr>
            </w:pPr>
          </w:p>
        </w:tc>
      </w:tr>
      <w:tr w14:paraId="5126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9CDD944">
            <w:pPr>
              <w:jc w:val="center"/>
              <w:rPr>
                <w:rFonts w:ascii="宋体" w:hAnsi="宋体" w:cs="宋体"/>
                <w:sz w:val="24"/>
                <w:szCs w:val="24"/>
              </w:rPr>
            </w:pPr>
            <w:r>
              <w:rPr>
                <w:rFonts w:hint="eastAsia" w:ascii="宋体" w:hAnsi="宋体" w:cs="宋体"/>
                <w:sz w:val="24"/>
                <w:szCs w:val="24"/>
              </w:rPr>
              <w:t>4</w:t>
            </w:r>
          </w:p>
        </w:tc>
        <w:tc>
          <w:tcPr>
            <w:tcW w:w="1470" w:type="dxa"/>
          </w:tcPr>
          <w:p w14:paraId="7494D523">
            <w:pP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2520" w:type="dxa"/>
          </w:tcPr>
          <w:p w14:paraId="6D5DF999">
            <w:pPr>
              <w:rPr>
                <w:rFonts w:ascii="宋体" w:hAnsi="宋体" w:cs="宋体"/>
                <w:sz w:val="24"/>
                <w:szCs w:val="24"/>
              </w:rPr>
            </w:pPr>
          </w:p>
        </w:tc>
        <w:tc>
          <w:tcPr>
            <w:tcW w:w="2310" w:type="dxa"/>
          </w:tcPr>
          <w:p w14:paraId="784C0DFF">
            <w:pPr>
              <w:rPr>
                <w:rFonts w:ascii="宋体" w:hAnsi="宋体" w:cs="宋体"/>
                <w:sz w:val="24"/>
                <w:szCs w:val="24"/>
              </w:rPr>
            </w:pPr>
          </w:p>
        </w:tc>
        <w:tc>
          <w:tcPr>
            <w:tcW w:w="1890" w:type="dxa"/>
          </w:tcPr>
          <w:p w14:paraId="310BA7C9">
            <w:pPr>
              <w:rPr>
                <w:rFonts w:ascii="宋体" w:hAnsi="宋体" w:cs="宋体"/>
                <w:sz w:val="24"/>
                <w:szCs w:val="24"/>
              </w:rPr>
            </w:pPr>
          </w:p>
        </w:tc>
      </w:tr>
      <w:tr w14:paraId="6F29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7761E7CE">
            <w:pPr>
              <w:jc w:val="center"/>
              <w:rPr>
                <w:rFonts w:ascii="宋体" w:hAnsi="宋体" w:cs="宋体"/>
                <w:sz w:val="24"/>
                <w:szCs w:val="24"/>
              </w:rPr>
            </w:pPr>
            <w:r>
              <w:rPr>
                <w:rFonts w:hint="eastAsia" w:ascii="宋体" w:hAnsi="宋体" w:cs="宋体"/>
                <w:b/>
                <w:bCs/>
                <w:sz w:val="24"/>
                <w:szCs w:val="24"/>
              </w:rPr>
              <w:t>第二部分：资信及报价部分响应</w:t>
            </w:r>
          </w:p>
        </w:tc>
      </w:tr>
      <w:tr w14:paraId="49F3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43A076FB">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028EDD40">
            <w:pPr>
              <w:jc w:val="center"/>
              <w:rPr>
                <w:rFonts w:ascii="宋体" w:hAnsi="宋体" w:cs="宋体"/>
                <w:sz w:val="24"/>
                <w:szCs w:val="24"/>
              </w:rPr>
            </w:pPr>
            <w:r>
              <w:rPr>
                <w:rFonts w:hint="eastAsia" w:ascii="宋体" w:hAnsi="宋体" w:cs="宋体"/>
                <w:sz w:val="24"/>
                <w:szCs w:val="24"/>
              </w:rPr>
              <w:t>内容</w:t>
            </w:r>
          </w:p>
        </w:tc>
        <w:tc>
          <w:tcPr>
            <w:tcW w:w="2520" w:type="dxa"/>
            <w:vAlign w:val="center"/>
          </w:tcPr>
          <w:p w14:paraId="19C5BE80">
            <w:pPr>
              <w:jc w:val="center"/>
              <w:rPr>
                <w:rFonts w:ascii="宋体" w:hAnsi="宋体" w:cs="宋体"/>
                <w:sz w:val="24"/>
                <w:szCs w:val="24"/>
              </w:rPr>
            </w:pPr>
            <w:r>
              <w:rPr>
                <w:rFonts w:hint="eastAsia" w:ascii="宋体" w:hAnsi="宋体" w:cs="宋体"/>
                <w:sz w:val="24"/>
                <w:szCs w:val="24"/>
              </w:rPr>
              <w:t>磋商文件要求</w:t>
            </w:r>
          </w:p>
        </w:tc>
        <w:tc>
          <w:tcPr>
            <w:tcW w:w="2310" w:type="dxa"/>
            <w:vAlign w:val="center"/>
          </w:tcPr>
          <w:p w14:paraId="423FF441">
            <w:pPr>
              <w:jc w:val="center"/>
              <w:rPr>
                <w:rFonts w:ascii="宋体" w:hAnsi="宋体" w:cs="宋体"/>
                <w:sz w:val="24"/>
                <w:szCs w:val="24"/>
              </w:rPr>
            </w:pPr>
            <w:r>
              <w:rPr>
                <w:rFonts w:hint="eastAsia" w:ascii="宋体" w:hAnsi="宋体" w:cs="宋体"/>
                <w:sz w:val="24"/>
                <w:szCs w:val="24"/>
              </w:rPr>
              <w:t>响应承诺</w:t>
            </w:r>
          </w:p>
        </w:tc>
        <w:tc>
          <w:tcPr>
            <w:tcW w:w="1890" w:type="dxa"/>
            <w:vAlign w:val="center"/>
          </w:tcPr>
          <w:p w14:paraId="202DFDD7">
            <w:pPr>
              <w:jc w:val="center"/>
              <w:rPr>
                <w:rFonts w:ascii="宋体" w:hAnsi="宋体" w:cs="宋体"/>
                <w:sz w:val="24"/>
                <w:szCs w:val="24"/>
              </w:rPr>
            </w:pPr>
            <w:r>
              <w:rPr>
                <w:rFonts w:hint="eastAsia" w:ascii="宋体" w:hAnsi="宋体" w:cs="宋体"/>
                <w:sz w:val="24"/>
                <w:szCs w:val="24"/>
              </w:rPr>
              <w:t>偏离说明</w:t>
            </w:r>
          </w:p>
        </w:tc>
      </w:tr>
      <w:tr w14:paraId="092B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BEC4153">
            <w:pPr>
              <w:jc w:val="center"/>
              <w:rPr>
                <w:rFonts w:ascii="宋体" w:hAnsi="宋体" w:cs="宋体"/>
                <w:sz w:val="24"/>
                <w:szCs w:val="24"/>
              </w:rPr>
            </w:pPr>
            <w:r>
              <w:rPr>
                <w:rFonts w:hint="eastAsia" w:ascii="宋体" w:hAnsi="宋体" w:cs="宋体"/>
                <w:sz w:val="24"/>
                <w:szCs w:val="24"/>
              </w:rPr>
              <w:t>1</w:t>
            </w:r>
          </w:p>
        </w:tc>
        <w:tc>
          <w:tcPr>
            <w:tcW w:w="1470" w:type="dxa"/>
            <w:vAlign w:val="center"/>
          </w:tcPr>
          <w:p w14:paraId="778EDF10">
            <w:pPr>
              <w:jc w:val="center"/>
              <w:rPr>
                <w:rFonts w:ascii="宋体" w:hAnsi="宋体" w:cs="宋体"/>
                <w:sz w:val="24"/>
                <w:szCs w:val="24"/>
              </w:rPr>
            </w:pPr>
            <w:r>
              <w:rPr>
                <w:rFonts w:hint="eastAsia" w:ascii="宋体" w:hAnsi="宋体" w:cs="宋体"/>
                <w:sz w:val="24"/>
                <w:szCs w:val="24"/>
              </w:rPr>
              <w:t>供货及安装期限</w:t>
            </w:r>
          </w:p>
        </w:tc>
        <w:tc>
          <w:tcPr>
            <w:tcW w:w="2520" w:type="dxa"/>
          </w:tcPr>
          <w:p w14:paraId="76AD7E17">
            <w:pPr>
              <w:rPr>
                <w:rFonts w:ascii="宋体" w:hAnsi="宋体" w:cs="宋体"/>
                <w:sz w:val="24"/>
                <w:szCs w:val="24"/>
              </w:rPr>
            </w:pPr>
          </w:p>
        </w:tc>
        <w:tc>
          <w:tcPr>
            <w:tcW w:w="2310" w:type="dxa"/>
          </w:tcPr>
          <w:p w14:paraId="68B5EA75">
            <w:pPr>
              <w:rPr>
                <w:rFonts w:ascii="宋体" w:hAnsi="宋体" w:cs="宋体"/>
                <w:sz w:val="24"/>
                <w:szCs w:val="24"/>
              </w:rPr>
            </w:pPr>
          </w:p>
        </w:tc>
        <w:tc>
          <w:tcPr>
            <w:tcW w:w="1890" w:type="dxa"/>
          </w:tcPr>
          <w:p w14:paraId="64857027">
            <w:pPr>
              <w:rPr>
                <w:rFonts w:ascii="宋体" w:hAnsi="宋体" w:cs="宋体"/>
                <w:sz w:val="24"/>
                <w:szCs w:val="24"/>
              </w:rPr>
            </w:pPr>
          </w:p>
        </w:tc>
      </w:tr>
      <w:tr w14:paraId="2F2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FEB050E">
            <w:pPr>
              <w:jc w:val="center"/>
              <w:rPr>
                <w:rFonts w:ascii="宋体" w:hAnsi="宋体" w:cs="宋体"/>
                <w:sz w:val="24"/>
                <w:szCs w:val="24"/>
              </w:rPr>
            </w:pPr>
            <w:r>
              <w:rPr>
                <w:rFonts w:hint="eastAsia" w:ascii="宋体" w:hAnsi="宋体" w:cs="宋体"/>
                <w:sz w:val="24"/>
                <w:szCs w:val="24"/>
              </w:rPr>
              <w:t>2</w:t>
            </w:r>
          </w:p>
        </w:tc>
        <w:tc>
          <w:tcPr>
            <w:tcW w:w="1470" w:type="dxa"/>
            <w:vAlign w:val="center"/>
          </w:tcPr>
          <w:p w14:paraId="3585A01A">
            <w:pPr>
              <w:rPr>
                <w:rFonts w:ascii="宋体" w:hAnsi="宋体" w:cs="宋体"/>
                <w:sz w:val="24"/>
                <w:szCs w:val="24"/>
              </w:rPr>
            </w:pPr>
            <w:r>
              <w:rPr>
                <w:rFonts w:hint="eastAsia" w:ascii="宋体" w:hAnsi="宋体" w:cs="宋体"/>
                <w:b/>
                <w:bCs/>
                <w:sz w:val="24"/>
                <w:szCs w:val="24"/>
              </w:rPr>
              <w:t>免费质保期</w:t>
            </w:r>
          </w:p>
        </w:tc>
        <w:tc>
          <w:tcPr>
            <w:tcW w:w="2520" w:type="dxa"/>
          </w:tcPr>
          <w:p w14:paraId="50627552">
            <w:pPr>
              <w:rPr>
                <w:rFonts w:ascii="宋体" w:hAnsi="宋体" w:cs="宋体"/>
                <w:sz w:val="24"/>
                <w:szCs w:val="24"/>
              </w:rPr>
            </w:pPr>
          </w:p>
        </w:tc>
        <w:tc>
          <w:tcPr>
            <w:tcW w:w="2310" w:type="dxa"/>
          </w:tcPr>
          <w:p w14:paraId="1460C977">
            <w:pPr>
              <w:rPr>
                <w:rFonts w:ascii="宋体" w:hAnsi="宋体" w:cs="宋体"/>
                <w:sz w:val="24"/>
                <w:szCs w:val="24"/>
              </w:rPr>
            </w:pPr>
          </w:p>
        </w:tc>
        <w:tc>
          <w:tcPr>
            <w:tcW w:w="1890" w:type="dxa"/>
          </w:tcPr>
          <w:p w14:paraId="5D02F019">
            <w:pPr>
              <w:rPr>
                <w:rFonts w:ascii="宋体" w:hAnsi="宋体" w:cs="宋体"/>
                <w:sz w:val="24"/>
                <w:szCs w:val="24"/>
              </w:rPr>
            </w:pPr>
          </w:p>
        </w:tc>
      </w:tr>
      <w:tr w14:paraId="3B9F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4EBCA70">
            <w:pPr>
              <w:jc w:val="center"/>
              <w:rPr>
                <w:rFonts w:ascii="宋体" w:hAnsi="宋体" w:cs="宋体"/>
                <w:sz w:val="24"/>
                <w:szCs w:val="24"/>
              </w:rPr>
            </w:pPr>
            <w:r>
              <w:rPr>
                <w:rFonts w:hint="eastAsia" w:ascii="宋体" w:hAnsi="宋体" w:cs="宋体"/>
                <w:sz w:val="24"/>
                <w:szCs w:val="24"/>
              </w:rPr>
              <w:t>3</w:t>
            </w:r>
          </w:p>
        </w:tc>
        <w:tc>
          <w:tcPr>
            <w:tcW w:w="1470" w:type="dxa"/>
            <w:vAlign w:val="center"/>
          </w:tcPr>
          <w:p w14:paraId="6329E66E">
            <w:pPr>
              <w:jc w:val="center"/>
              <w:rPr>
                <w:rFonts w:ascii="宋体" w:hAnsi="宋体" w:cs="宋体"/>
                <w:sz w:val="24"/>
                <w:szCs w:val="24"/>
              </w:rPr>
            </w:pPr>
            <w:r>
              <w:rPr>
                <w:rFonts w:hint="eastAsia" w:ascii="宋体" w:hAnsi="宋体" w:cs="宋体"/>
                <w:sz w:val="24"/>
                <w:szCs w:val="24"/>
              </w:rPr>
              <w:t>付款响应</w:t>
            </w:r>
          </w:p>
        </w:tc>
        <w:tc>
          <w:tcPr>
            <w:tcW w:w="2520" w:type="dxa"/>
          </w:tcPr>
          <w:p w14:paraId="7B510863">
            <w:pPr>
              <w:rPr>
                <w:rFonts w:ascii="宋体" w:hAnsi="宋体" w:cs="宋体"/>
                <w:sz w:val="24"/>
                <w:szCs w:val="24"/>
              </w:rPr>
            </w:pPr>
          </w:p>
        </w:tc>
        <w:tc>
          <w:tcPr>
            <w:tcW w:w="2310" w:type="dxa"/>
          </w:tcPr>
          <w:p w14:paraId="76E58F4B">
            <w:pPr>
              <w:rPr>
                <w:rFonts w:ascii="宋体" w:hAnsi="宋体" w:cs="宋体"/>
                <w:sz w:val="24"/>
                <w:szCs w:val="24"/>
              </w:rPr>
            </w:pPr>
          </w:p>
        </w:tc>
        <w:tc>
          <w:tcPr>
            <w:tcW w:w="1890" w:type="dxa"/>
          </w:tcPr>
          <w:p w14:paraId="1F034FA6">
            <w:pPr>
              <w:rPr>
                <w:rFonts w:ascii="宋体" w:hAnsi="宋体" w:cs="宋体"/>
                <w:sz w:val="24"/>
                <w:szCs w:val="24"/>
              </w:rPr>
            </w:pPr>
          </w:p>
        </w:tc>
      </w:tr>
      <w:tr w14:paraId="3765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83541B9">
            <w:pPr>
              <w:jc w:val="center"/>
              <w:rPr>
                <w:rFonts w:ascii="宋体" w:hAnsi="宋体" w:cs="宋体"/>
                <w:sz w:val="24"/>
                <w:szCs w:val="24"/>
              </w:rPr>
            </w:pPr>
            <w:r>
              <w:rPr>
                <w:rFonts w:hint="eastAsia" w:ascii="宋体" w:hAnsi="宋体" w:cs="宋体"/>
                <w:sz w:val="24"/>
                <w:szCs w:val="24"/>
              </w:rPr>
              <w:t>4</w:t>
            </w:r>
          </w:p>
        </w:tc>
        <w:tc>
          <w:tcPr>
            <w:tcW w:w="1470" w:type="dxa"/>
            <w:vAlign w:val="center"/>
          </w:tcPr>
          <w:p w14:paraId="0CBB03A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2520" w:type="dxa"/>
          </w:tcPr>
          <w:p w14:paraId="3B5DA0A9">
            <w:pPr>
              <w:rPr>
                <w:rFonts w:ascii="宋体" w:hAnsi="宋体" w:cs="宋体"/>
                <w:sz w:val="24"/>
                <w:szCs w:val="24"/>
              </w:rPr>
            </w:pPr>
          </w:p>
        </w:tc>
        <w:tc>
          <w:tcPr>
            <w:tcW w:w="2310" w:type="dxa"/>
          </w:tcPr>
          <w:p w14:paraId="4DC6749B">
            <w:pPr>
              <w:rPr>
                <w:rFonts w:ascii="宋体" w:hAnsi="宋体" w:cs="宋体"/>
                <w:sz w:val="24"/>
                <w:szCs w:val="24"/>
              </w:rPr>
            </w:pPr>
          </w:p>
        </w:tc>
        <w:tc>
          <w:tcPr>
            <w:tcW w:w="1890" w:type="dxa"/>
          </w:tcPr>
          <w:p w14:paraId="35C4789B">
            <w:pPr>
              <w:rPr>
                <w:rFonts w:ascii="宋体" w:hAnsi="宋体" w:cs="宋体"/>
                <w:sz w:val="24"/>
                <w:szCs w:val="24"/>
              </w:rPr>
            </w:pPr>
          </w:p>
        </w:tc>
      </w:tr>
    </w:tbl>
    <w:p w14:paraId="1E9C8F88">
      <w:pPr>
        <w:snapToGrid w:val="0"/>
        <w:spacing w:line="360" w:lineRule="auto"/>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14:paraId="28D85398">
      <w:pPr>
        <w:spacing w:line="360" w:lineRule="auto"/>
        <w:jc w:val="left"/>
        <w:rPr>
          <w:rFonts w:ascii="宋体" w:hAnsi="宋体" w:cs="宋体"/>
          <w:sz w:val="24"/>
          <w:szCs w:val="24"/>
        </w:rPr>
      </w:pPr>
      <w:r>
        <w:rPr>
          <w:rFonts w:hint="eastAsia" w:ascii="宋体" w:hAnsi="宋体" w:cs="宋体"/>
          <w:b/>
          <w:bCs/>
          <w:sz w:val="24"/>
          <w:szCs w:val="24"/>
        </w:rPr>
        <w:t>日期：   年  月  日</w:t>
      </w:r>
    </w:p>
    <w:p w14:paraId="6F27A479">
      <w:pPr>
        <w:spacing w:before="156" w:beforeLines="50" w:after="156" w:afterLines="50" w:line="360" w:lineRule="auto"/>
        <w:rPr>
          <w:rFonts w:ascii="宋体" w:hAnsi="宋体" w:cs="宋体"/>
          <w:sz w:val="24"/>
          <w:szCs w:val="24"/>
        </w:rPr>
      </w:pPr>
      <w:r>
        <w:rPr>
          <w:rFonts w:hint="eastAsia" w:ascii="宋体" w:hAnsi="宋体" w:cs="宋体"/>
          <w:sz w:val="24"/>
          <w:szCs w:val="24"/>
        </w:rPr>
        <w:t>注：</w:t>
      </w:r>
    </w:p>
    <w:p w14:paraId="0274BCF8">
      <w:pPr>
        <w:adjustRightInd w:val="0"/>
        <w:snapToGrid w:val="0"/>
        <w:spacing w:line="360" w:lineRule="auto"/>
        <w:rPr>
          <w:rFonts w:ascii="宋体" w:hAnsi="宋体" w:cs="宋体"/>
          <w:bCs/>
          <w:sz w:val="24"/>
          <w:szCs w:val="24"/>
        </w:rPr>
      </w:pPr>
      <w:r>
        <w:rPr>
          <w:rFonts w:hint="eastAsia" w:ascii="宋体" w:hAnsi="宋体" w:cs="宋体"/>
          <w:bCs/>
          <w:sz w:val="24"/>
          <w:szCs w:val="24"/>
        </w:rPr>
        <w:t>1、供应商必须逐项对应描述货物主要参数、材质、配置及服务要求，如不进行描述，仅在响应栏填“响应”或未填写或复制（包括全部复制或主要参数及配置的复制）磋商文件技术参数的，包括有选择性的技术响应（例如在某一分项中出现两个及以上的品牌或两种及两种以上的技术规格），均可能导致响应无效；</w:t>
      </w:r>
    </w:p>
    <w:p w14:paraId="5B2EBCB0">
      <w:pPr>
        <w:adjustRightInd w:val="0"/>
        <w:snapToGrid w:val="0"/>
        <w:spacing w:line="360" w:lineRule="auto"/>
        <w:rPr>
          <w:rFonts w:ascii="宋体" w:hAnsi="宋体" w:cs="宋体"/>
          <w:bCs/>
          <w:sz w:val="24"/>
          <w:szCs w:val="24"/>
        </w:rPr>
      </w:pPr>
      <w:r>
        <w:rPr>
          <w:rFonts w:hint="eastAsia" w:ascii="宋体" w:hAnsi="宋体" w:cs="宋体"/>
          <w:bCs/>
          <w:sz w:val="24"/>
          <w:szCs w:val="24"/>
        </w:rPr>
        <w:t>2、供应商所供产品如与磋商文件要求的规格及配置不一致，则须在上表偏离说明中详细注明。</w:t>
      </w:r>
    </w:p>
    <w:p w14:paraId="7554BB3F">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3、响应部分可后附详细说明及技术资料。</w:t>
      </w:r>
    </w:p>
    <w:p w14:paraId="67A18991">
      <w:pPr>
        <w:pStyle w:val="7"/>
        <w:spacing w:before="0" w:after="0"/>
        <w:rPr>
          <w:sz w:val="24"/>
          <w:szCs w:val="24"/>
        </w:rPr>
      </w:pPr>
      <w:r>
        <w:rPr>
          <w:rFonts w:hint="eastAsia"/>
          <w:sz w:val="24"/>
          <w:szCs w:val="24"/>
        </w:rPr>
        <w:br w:type="page"/>
      </w:r>
    </w:p>
    <w:p w14:paraId="5D62A14F">
      <w:pPr>
        <w:pStyle w:val="6"/>
        <w:spacing w:before="0" w:after="0" w:line="560" w:lineRule="exact"/>
        <w:rPr>
          <w:rFonts w:hint="eastAsia" w:ascii="宋体" w:hAnsi="宋体" w:eastAsia="宋体" w:cs="宋体"/>
          <w:sz w:val="24"/>
          <w:szCs w:val="24"/>
          <w:lang w:val="en-US" w:eastAsia="zh-CN"/>
        </w:rPr>
      </w:pPr>
      <w:bookmarkStart w:id="123" w:name="_Toc5632"/>
      <w:bookmarkStart w:id="124" w:name="_Toc14930"/>
      <w:r>
        <w:rPr>
          <w:rFonts w:hint="eastAsia" w:ascii="宋体" w:hAnsi="宋体" w:eastAsia="宋体" w:cs="宋体"/>
          <w:sz w:val="24"/>
          <w:szCs w:val="24"/>
        </w:rPr>
        <w:t>附件</w:t>
      </w:r>
      <w:bookmarkEnd w:id="122"/>
      <w:r>
        <w:rPr>
          <w:rFonts w:hint="eastAsia" w:ascii="宋体" w:hAnsi="宋体" w:eastAsia="宋体" w:cs="宋体"/>
          <w:sz w:val="24"/>
          <w:szCs w:val="24"/>
        </w:rPr>
        <w:t>七</w:t>
      </w:r>
      <w:bookmarkEnd w:id="123"/>
      <w:bookmarkEnd w:id="124"/>
      <w:r>
        <w:rPr>
          <w:rFonts w:hint="eastAsia" w:ascii="宋体" w:hAnsi="宋体" w:eastAsia="宋体" w:cs="宋体"/>
          <w:sz w:val="24"/>
          <w:szCs w:val="24"/>
          <w:lang w:val="en-US" w:eastAsia="zh-CN"/>
        </w:rPr>
        <w:t xml:space="preserve">                      </w:t>
      </w:r>
    </w:p>
    <w:p w14:paraId="6731EFF3">
      <w:pPr>
        <w:jc w:val="center"/>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技术标材料</w:t>
      </w:r>
    </w:p>
    <w:p w14:paraId="30953CA2">
      <w:pPr>
        <w:pStyle w:val="2"/>
        <w:jc w:val="center"/>
        <w:rPr>
          <w:rFonts w:hint="default"/>
          <w:lang w:val="en-US"/>
        </w:rPr>
      </w:pPr>
      <w:r>
        <w:rPr>
          <w:rFonts w:hint="eastAsia" w:ascii="宋体" w:hAnsi="宋体" w:eastAsia="宋体" w:cs="宋体"/>
          <w:b/>
          <w:bCs/>
          <w:sz w:val="24"/>
          <w:szCs w:val="24"/>
          <w:highlight w:val="none"/>
          <w:lang w:val="en-US" w:eastAsia="zh-CN"/>
        </w:rPr>
        <w:t>（满足磋商文件要求，格式自拟）</w:t>
      </w:r>
    </w:p>
    <w:p w14:paraId="4870D638">
      <w:pPr>
        <w:jc w:val="center"/>
        <w:rPr>
          <w:rFonts w:ascii="宋体" w:hAnsi="宋体"/>
          <w:b/>
          <w:sz w:val="24"/>
          <w:szCs w:val="28"/>
        </w:rPr>
      </w:pPr>
    </w:p>
    <w:p w14:paraId="32E13F12">
      <w:pPr>
        <w:jc w:val="center"/>
        <w:rPr>
          <w:rFonts w:ascii="宋体" w:hAnsi="宋体"/>
          <w:sz w:val="24"/>
          <w:szCs w:val="24"/>
        </w:rPr>
      </w:pPr>
    </w:p>
    <w:p w14:paraId="4620DCD9">
      <w:pPr>
        <w:pStyle w:val="6"/>
        <w:spacing w:before="0" w:after="0" w:line="560" w:lineRule="exact"/>
        <w:rPr>
          <w:rFonts w:hint="eastAsia" w:ascii="宋体" w:hAnsi="宋体" w:eastAsia="宋体" w:cs="宋体"/>
          <w:sz w:val="24"/>
          <w:szCs w:val="24"/>
          <w:lang w:eastAsia="zh-CN"/>
        </w:rPr>
      </w:pPr>
      <w:bookmarkStart w:id="125" w:name="_Toc26980"/>
      <w:r>
        <w:rPr>
          <w:rFonts w:hint="eastAsia" w:ascii="宋体" w:hAnsi="宋体" w:eastAsia="宋体" w:cs="宋体"/>
          <w:sz w:val="24"/>
          <w:szCs w:val="24"/>
        </w:rPr>
        <w:t>附件</w:t>
      </w:r>
      <w:bookmarkEnd w:id="125"/>
      <w:r>
        <w:rPr>
          <w:rFonts w:hint="eastAsia" w:ascii="宋体" w:hAnsi="宋体" w:eastAsia="宋体" w:cs="宋体"/>
          <w:sz w:val="24"/>
          <w:szCs w:val="24"/>
          <w:lang w:val="en-US" w:eastAsia="zh-CN"/>
        </w:rPr>
        <w:t>八</w:t>
      </w:r>
    </w:p>
    <w:p w14:paraId="7656638E"/>
    <w:p w14:paraId="0484070C">
      <w:pPr>
        <w:pStyle w:val="6"/>
        <w:spacing w:before="0" w:after="0" w:line="560" w:lineRule="exact"/>
        <w:jc w:val="center"/>
        <w:rPr>
          <w:rFonts w:ascii="宋体" w:hAnsi="宋体" w:eastAsia="宋体" w:cs="宋体"/>
          <w:b w:val="0"/>
          <w:bCs/>
          <w:sz w:val="24"/>
          <w:szCs w:val="24"/>
        </w:rPr>
      </w:pPr>
      <w:bookmarkStart w:id="126" w:name="_Toc28850"/>
      <w:bookmarkStart w:id="127" w:name="_Toc20044"/>
      <w:bookmarkStart w:id="128" w:name="_Toc2604"/>
      <w:r>
        <w:rPr>
          <w:rFonts w:hint="eastAsia" w:ascii="宋体" w:hAnsi="宋体" w:eastAsia="宋体" w:cs="宋体"/>
          <w:b w:val="0"/>
          <w:bCs/>
          <w:sz w:val="24"/>
          <w:szCs w:val="24"/>
        </w:rPr>
        <w:t>磋商文件要求和供应商认为需要提供的其它说明和资料</w:t>
      </w:r>
      <w:bookmarkEnd w:id="126"/>
      <w:bookmarkEnd w:id="127"/>
      <w:bookmarkEnd w:id="128"/>
    </w:p>
    <w:p w14:paraId="36E2B660">
      <w:pPr>
        <w:rPr>
          <w:rFonts w:hAnsi="宋体" w:cs="宋体"/>
          <w:sz w:val="24"/>
          <w:szCs w:val="32"/>
        </w:rPr>
      </w:pPr>
    </w:p>
    <w:sectPr>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0956">
    <w:pPr>
      <w:spacing w:line="220"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68105">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ZDRiMjgwZjI4ZDYyNDYzYzcyNzUwMmMyZWVkZjYifQ=="/>
  </w:docVars>
  <w:rsids>
    <w:rsidRoot w:val="002D677B"/>
    <w:rsid w:val="00003610"/>
    <w:rsid w:val="000145D1"/>
    <w:rsid w:val="00015C71"/>
    <w:rsid w:val="00042454"/>
    <w:rsid w:val="000530AC"/>
    <w:rsid w:val="00057B34"/>
    <w:rsid w:val="00066BCF"/>
    <w:rsid w:val="00076BD7"/>
    <w:rsid w:val="0007794F"/>
    <w:rsid w:val="00083A3D"/>
    <w:rsid w:val="00085013"/>
    <w:rsid w:val="0008734A"/>
    <w:rsid w:val="00091912"/>
    <w:rsid w:val="00092365"/>
    <w:rsid w:val="00095459"/>
    <w:rsid w:val="000A0CAE"/>
    <w:rsid w:val="000A3D75"/>
    <w:rsid w:val="000B438B"/>
    <w:rsid w:val="000C5C16"/>
    <w:rsid w:val="000D784C"/>
    <w:rsid w:val="000E723B"/>
    <w:rsid w:val="0010048A"/>
    <w:rsid w:val="001252D5"/>
    <w:rsid w:val="001260B2"/>
    <w:rsid w:val="00135355"/>
    <w:rsid w:val="00146D70"/>
    <w:rsid w:val="00156254"/>
    <w:rsid w:val="001567B7"/>
    <w:rsid w:val="001713C4"/>
    <w:rsid w:val="001723C8"/>
    <w:rsid w:val="001A1410"/>
    <w:rsid w:val="001A16C1"/>
    <w:rsid w:val="001A3254"/>
    <w:rsid w:val="001B57E1"/>
    <w:rsid w:val="001C3B69"/>
    <w:rsid w:val="0021447E"/>
    <w:rsid w:val="002175D2"/>
    <w:rsid w:val="0022100F"/>
    <w:rsid w:val="00222133"/>
    <w:rsid w:val="00230806"/>
    <w:rsid w:val="00232B23"/>
    <w:rsid w:val="002372B2"/>
    <w:rsid w:val="00246E67"/>
    <w:rsid w:val="002656AE"/>
    <w:rsid w:val="00265EC6"/>
    <w:rsid w:val="002760E1"/>
    <w:rsid w:val="0028115C"/>
    <w:rsid w:val="00295D2C"/>
    <w:rsid w:val="002A5B98"/>
    <w:rsid w:val="002C3E11"/>
    <w:rsid w:val="002D508E"/>
    <w:rsid w:val="002D552F"/>
    <w:rsid w:val="002D677B"/>
    <w:rsid w:val="002E521A"/>
    <w:rsid w:val="002F5374"/>
    <w:rsid w:val="002F5CAB"/>
    <w:rsid w:val="0031378C"/>
    <w:rsid w:val="00322074"/>
    <w:rsid w:val="003342EF"/>
    <w:rsid w:val="00337492"/>
    <w:rsid w:val="00341CB0"/>
    <w:rsid w:val="003452C5"/>
    <w:rsid w:val="003539B1"/>
    <w:rsid w:val="0035659C"/>
    <w:rsid w:val="0035777E"/>
    <w:rsid w:val="003808D6"/>
    <w:rsid w:val="00393CAC"/>
    <w:rsid w:val="003A03AB"/>
    <w:rsid w:val="003B2B2B"/>
    <w:rsid w:val="003B672C"/>
    <w:rsid w:val="003E0B3C"/>
    <w:rsid w:val="003E13E7"/>
    <w:rsid w:val="003E5E17"/>
    <w:rsid w:val="003E7C3B"/>
    <w:rsid w:val="003F4073"/>
    <w:rsid w:val="003F655F"/>
    <w:rsid w:val="00402FDA"/>
    <w:rsid w:val="00424DA5"/>
    <w:rsid w:val="00434A85"/>
    <w:rsid w:val="004413B4"/>
    <w:rsid w:val="00445952"/>
    <w:rsid w:val="00453F7D"/>
    <w:rsid w:val="00463A62"/>
    <w:rsid w:val="00473633"/>
    <w:rsid w:val="004C0AD3"/>
    <w:rsid w:val="004C64FF"/>
    <w:rsid w:val="004D4771"/>
    <w:rsid w:val="004D5F5D"/>
    <w:rsid w:val="00524A87"/>
    <w:rsid w:val="00532B91"/>
    <w:rsid w:val="00533AAE"/>
    <w:rsid w:val="00536E00"/>
    <w:rsid w:val="00554CE3"/>
    <w:rsid w:val="00576983"/>
    <w:rsid w:val="0058678B"/>
    <w:rsid w:val="00587005"/>
    <w:rsid w:val="005C34E1"/>
    <w:rsid w:val="005C6139"/>
    <w:rsid w:val="005E56CC"/>
    <w:rsid w:val="00612809"/>
    <w:rsid w:val="0062194E"/>
    <w:rsid w:val="0062376D"/>
    <w:rsid w:val="0063756A"/>
    <w:rsid w:val="00641AFF"/>
    <w:rsid w:val="00650A29"/>
    <w:rsid w:val="00654D2C"/>
    <w:rsid w:val="00661562"/>
    <w:rsid w:val="006650F6"/>
    <w:rsid w:val="0067781D"/>
    <w:rsid w:val="00685792"/>
    <w:rsid w:val="006B21E7"/>
    <w:rsid w:val="006C1B7A"/>
    <w:rsid w:val="006C30A4"/>
    <w:rsid w:val="006D3DB9"/>
    <w:rsid w:val="006F01D1"/>
    <w:rsid w:val="006F0CE4"/>
    <w:rsid w:val="006F3D3E"/>
    <w:rsid w:val="007003B4"/>
    <w:rsid w:val="00703A7D"/>
    <w:rsid w:val="00742F0D"/>
    <w:rsid w:val="00753D8A"/>
    <w:rsid w:val="00766A44"/>
    <w:rsid w:val="00767BB2"/>
    <w:rsid w:val="007838D0"/>
    <w:rsid w:val="0079235B"/>
    <w:rsid w:val="007B00FB"/>
    <w:rsid w:val="007B44EE"/>
    <w:rsid w:val="007E5141"/>
    <w:rsid w:val="007E77BF"/>
    <w:rsid w:val="007F2502"/>
    <w:rsid w:val="007F5F13"/>
    <w:rsid w:val="0080648E"/>
    <w:rsid w:val="00810784"/>
    <w:rsid w:val="008142BD"/>
    <w:rsid w:val="00821EE8"/>
    <w:rsid w:val="008377DF"/>
    <w:rsid w:val="008451EF"/>
    <w:rsid w:val="00851FA9"/>
    <w:rsid w:val="008524A2"/>
    <w:rsid w:val="00857D2A"/>
    <w:rsid w:val="0086536B"/>
    <w:rsid w:val="00885123"/>
    <w:rsid w:val="008A5C97"/>
    <w:rsid w:val="008A6D3D"/>
    <w:rsid w:val="008B0E3B"/>
    <w:rsid w:val="008C0ED2"/>
    <w:rsid w:val="008C2F6A"/>
    <w:rsid w:val="008D216E"/>
    <w:rsid w:val="008E1E10"/>
    <w:rsid w:val="008F25AF"/>
    <w:rsid w:val="008F2F04"/>
    <w:rsid w:val="00922A63"/>
    <w:rsid w:val="00924313"/>
    <w:rsid w:val="00925990"/>
    <w:rsid w:val="00940C0D"/>
    <w:rsid w:val="0094320A"/>
    <w:rsid w:val="0096145E"/>
    <w:rsid w:val="00971106"/>
    <w:rsid w:val="00975269"/>
    <w:rsid w:val="009752B8"/>
    <w:rsid w:val="0097577C"/>
    <w:rsid w:val="00977563"/>
    <w:rsid w:val="00980525"/>
    <w:rsid w:val="00990C6C"/>
    <w:rsid w:val="00997272"/>
    <w:rsid w:val="009A18E0"/>
    <w:rsid w:val="009B5EF1"/>
    <w:rsid w:val="009E2C0D"/>
    <w:rsid w:val="00A05AD9"/>
    <w:rsid w:val="00A17EB8"/>
    <w:rsid w:val="00A24491"/>
    <w:rsid w:val="00A2462A"/>
    <w:rsid w:val="00A5114C"/>
    <w:rsid w:val="00A52EA8"/>
    <w:rsid w:val="00A612D2"/>
    <w:rsid w:val="00A6271F"/>
    <w:rsid w:val="00A74097"/>
    <w:rsid w:val="00A83ACD"/>
    <w:rsid w:val="00A84216"/>
    <w:rsid w:val="00A85BA0"/>
    <w:rsid w:val="00A95755"/>
    <w:rsid w:val="00A957C6"/>
    <w:rsid w:val="00A95AB2"/>
    <w:rsid w:val="00AB1E8B"/>
    <w:rsid w:val="00AB51D7"/>
    <w:rsid w:val="00AB742B"/>
    <w:rsid w:val="00AC4741"/>
    <w:rsid w:val="00B07208"/>
    <w:rsid w:val="00B1311E"/>
    <w:rsid w:val="00B238CD"/>
    <w:rsid w:val="00B27CFD"/>
    <w:rsid w:val="00B302D5"/>
    <w:rsid w:val="00B363E9"/>
    <w:rsid w:val="00B37791"/>
    <w:rsid w:val="00B57818"/>
    <w:rsid w:val="00B704C7"/>
    <w:rsid w:val="00B7157E"/>
    <w:rsid w:val="00B75600"/>
    <w:rsid w:val="00B80346"/>
    <w:rsid w:val="00BA10A8"/>
    <w:rsid w:val="00BA136D"/>
    <w:rsid w:val="00BA3764"/>
    <w:rsid w:val="00BB7605"/>
    <w:rsid w:val="00BD684B"/>
    <w:rsid w:val="00BE0862"/>
    <w:rsid w:val="00BE281B"/>
    <w:rsid w:val="00C179DF"/>
    <w:rsid w:val="00C34566"/>
    <w:rsid w:val="00C35B5F"/>
    <w:rsid w:val="00C5087F"/>
    <w:rsid w:val="00C734AB"/>
    <w:rsid w:val="00C84AAC"/>
    <w:rsid w:val="00C8517A"/>
    <w:rsid w:val="00C97CD9"/>
    <w:rsid w:val="00CA32AE"/>
    <w:rsid w:val="00CA60CE"/>
    <w:rsid w:val="00CB7607"/>
    <w:rsid w:val="00CE1386"/>
    <w:rsid w:val="00CE28E9"/>
    <w:rsid w:val="00CF10C1"/>
    <w:rsid w:val="00CF3743"/>
    <w:rsid w:val="00D027C9"/>
    <w:rsid w:val="00D13AEE"/>
    <w:rsid w:val="00D16453"/>
    <w:rsid w:val="00D175FB"/>
    <w:rsid w:val="00D33ECF"/>
    <w:rsid w:val="00D6083A"/>
    <w:rsid w:val="00D70AF0"/>
    <w:rsid w:val="00DA3B7D"/>
    <w:rsid w:val="00DB16A6"/>
    <w:rsid w:val="00DD2C6C"/>
    <w:rsid w:val="00DE1600"/>
    <w:rsid w:val="00DE18CD"/>
    <w:rsid w:val="00DE73F9"/>
    <w:rsid w:val="00DF6F18"/>
    <w:rsid w:val="00E13FF9"/>
    <w:rsid w:val="00E20914"/>
    <w:rsid w:val="00E22452"/>
    <w:rsid w:val="00E22A4C"/>
    <w:rsid w:val="00E332F5"/>
    <w:rsid w:val="00E36567"/>
    <w:rsid w:val="00E4159F"/>
    <w:rsid w:val="00E71CC0"/>
    <w:rsid w:val="00E72CF4"/>
    <w:rsid w:val="00E752C9"/>
    <w:rsid w:val="00E76A3F"/>
    <w:rsid w:val="00E87871"/>
    <w:rsid w:val="00E912B4"/>
    <w:rsid w:val="00EA33CF"/>
    <w:rsid w:val="00EE4358"/>
    <w:rsid w:val="00EE5630"/>
    <w:rsid w:val="00EF2195"/>
    <w:rsid w:val="00EF3C5F"/>
    <w:rsid w:val="00F22829"/>
    <w:rsid w:val="00F251CD"/>
    <w:rsid w:val="00F267E8"/>
    <w:rsid w:val="00F40445"/>
    <w:rsid w:val="00F464A7"/>
    <w:rsid w:val="00F564DA"/>
    <w:rsid w:val="00F64830"/>
    <w:rsid w:val="00F74BC0"/>
    <w:rsid w:val="00F84A92"/>
    <w:rsid w:val="00F90A8E"/>
    <w:rsid w:val="00F91C4B"/>
    <w:rsid w:val="00FA1EEE"/>
    <w:rsid w:val="00FA35DA"/>
    <w:rsid w:val="00FB552D"/>
    <w:rsid w:val="00FC1D08"/>
    <w:rsid w:val="00FD5535"/>
    <w:rsid w:val="00FF1C7C"/>
    <w:rsid w:val="00FF2E49"/>
    <w:rsid w:val="017E1B19"/>
    <w:rsid w:val="01D24B5F"/>
    <w:rsid w:val="01ED3B47"/>
    <w:rsid w:val="03062E20"/>
    <w:rsid w:val="03317C67"/>
    <w:rsid w:val="03B22505"/>
    <w:rsid w:val="04067181"/>
    <w:rsid w:val="04EE7346"/>
    <w:rsid w:val="05045387"/>
    <w:rsid w:val="05104E6D"/>
    <w:rsid w:val="05532506"/>
    <w:rsid w:val="05ED76CD"/>
    <w:rsid w:val="06262FF6"/>
    <w:rsid w:val="06AB1B86"/>
    <w:rsid w:val="06C60D3D"/>
    <w:rsid w:val="07267565"/>
    <w:rsid w:val="072E7791"/>
    <w:rsid w:val="073C750A"/>
    <w:rsid w:val="07844F83"/>
    <w:rsid w:val="078C18B4"/>
    <w:rsid w:val="07A20F5E"/>
    <w:rsid w:val="07E96D45"/>
    <w:rsid w:val="08BE5FB5"/>
    <w:rsid w:val="095F7F4C"/>
    <w:rsid w:val="09A60123"/>
    <w:rsid w:val="09AE75F4"/>
    <w:rsid w:val="09B95F2A"/>
    <w:rsid w:val="0A0C7574"/>
    <w:rsid w:val="0A424E4D"/>
    <w:rsid w:val="0AB0493B"/>
    <w:rsid w:val="0AF82AC1"/>
    <w:rsid w:val="0B2226D0"/>
    <w:rsid w:val="0B66533A"/>
    <w:rsid w:val="0B84414D"/>
    <w:rsid w:val="0BD46BAD"/>
    <w:rsid w:val="0BE120B2"/>
    <w:rsid w:val="0C6531BD"/>
    <w:rsid w:val="0CEC43CA"/>
    <w:rsid w:val="0D1700B7"/>
    <w:rsid w:val="0D50431A"/>
    <w:rsid w:val="0DC93B08"/>
    <w:rsid w:val="0DF624E0"/>
    <w:rsid w:val="0E346850"/>
    <w:rsid w:val="0E404088"/>
    <w:rsid w:val="0EA113FA"/>
    <w:rsid w:val="0ECA11CC"/>
    <w:rsid w:val="0F390E8E"/>
    <w:rsid w:val="0F8F57EF"/>
    <w:rsid w:val="0FF97625"/>
    <w:rsid w:val="1018304A"/>
    <w:rsid w:val="110475FD"/>
    <w:rsid w:val="119066D9"/>
    <w:rsid w:val="11A335B5"/>
    <w:rsid w:val="1219428E"/>
    <w:rsid w:val="121B17AF"/>
    <w:rsid w:val="12412C02"/>
    <w:rsid w:val="12C0114D"/>
    <w:rsid w:val="13345697"/>
    <w:rsid w:val="13490C7D"/>
    <w:rsid w:val="135C3D02"/>
    <w:rsid w:val="14E27C21"/>
    <w:rsid w:val="153B2049"/>
    <w:rsid w:val="155B5FE8"/>
    <w:rsid w:val="15614DA8"/>
    <w:rsid w:val="15853F88"/>
    <w:rsid w:val="158C2634"/>
    <w:rsid w:val="15AD79BC"/>
    <w:rsid w:val="16066864"/>
    <w:rsid w:val="16991EF7"/>
    <w:rsid w:val="173850A7"/>
    <w:rsid w:val="174C0AC9"/>
    <w:rsid w:val="175E253F"/>
    <w:rsid w:val="177B4CDC"/>
    <w:rsid w:val="17BA7FA6"/>
    <w:rsid w:val="17F627DF"/>
    <w:rsid w:val="18386437"/>
    <w:rsid w:val="18EE76A7"/>
    <w:rsid w:val="192B2CC7"/>
    <w:rsid w:val="198B1495"/>
    <w:rsid w:val="1A6C248D"/>
    <w:rsid w:val="1AF45622"/>
    <w:rsid w:val="1B0D432A"/>
    <w:rsid w:val="1B5A7D5C"/>
    <w:rsid w:val="1B7B26E1"/>
    <w:rsid w:val="1C1A0C17"/>
    <w:rsid w:val="1C32741A"/>
    <w:rsid w:val="1C405AE5"/>
    <w:rsid w:val="1D136A94"/>
    <w:rsid w:val="1D960483"/>
    <w:rsid w:val="1DCF0496"/>
    <w:rsid w:val="1DF15284"/>
    <w:rsid w:val="1DF3331F"/>
    <w:rsid w:val="1F171CFB"/>
    <w:rsid w:val="1F205053"/>
    <w:rsid w:val="1F37730D"/>
    <w:rsid w:val="1F3C13B6"/>
    <w:rsid w:val="1F4B49D6"/>
    <w:rsid w:val="1FF85069"/>
    <w:rsid w:val="20F41885"/>
    <w:rsid w:val="21993B18"/>
    <w:rsid w:val="22174BD6"/>
    <w:rsid w:val="22464B8D"/>
    <w:rsid w:val="228F2F97"/>
    <w:rsid w:val="229A201B"/>
    <w:rsid w:val="22EA60C3"/>
    <w:rsid w:val="239974D6"/>
    <w:rsid w:val="23E266D0"/>
    <w:rsid w:val="23E4618A"/>
    <w:rsid w:val="241C2900"/>
    <w:rsid w:val="244E3D8C"/>
    <w:rsid w:val="24B335CE"/>
    <w:rsid w:val="24EF6268"/>
    <w:rsid w:val="25EF0E4B"/>
    <w:rsid w:val="269C26E3"/>
    <w:rsid w:val="272E2D63"/>
    <w:rsid w:val="27410CB9"/>
    <w:rsid w:val="276D441A"/>
    <w:rsid w:val="27F74FD8"/>
    <w:rsid w:val="284B576B"/>
    <w:rsid w:val="2861396F"/>
    <w:rsid w:val="28616AD6"/>
    <w:rsid w:val="28B44010"/>
    <w:rsid w:val="292450D2"/>
    <w:rsid w:val="29384EA8"/>
    <w:rsid w:val="29E26463"/>
    <w:rsid w:val="2A07065D"/>
    <w:rsid w:val="2A0A08C3"/>
    <w:rsid w:val="2A534564"/>
    <w:rsid w:val="2A573A70"/>
    <w:rsid w:val="2AE31A65"/>
    <w:rsid w:val="2CBD48CE"/>
    <w:rsid w:val="2CE211B2"/>
    <w:rsid w:val="2DC22A3B"/>
    <w:rsid w:val="2E015B36"/>
    <w:rsid w:val="2E275F81"/>
    <w:rsid w:val="2E4E51C2"/>
    <w:rsid w:val="2E77681E"/>
    <w:rsid w:val="2F4B2B19"/>
    <w:rsid w:val="2F6246CC"/>
    <w:rsid w:val="2FA06C7A"/>
    <w:rsid w:val="2FC53683"/>
    <w:rsid w:val="2FE97A5F"/>
    <w:rsid w:val="30180C08"/>
    <w:rsid w:val="305A47DE"/>
    <w:rsid w:val="309E348C"/>
    <w:rsid w:val="30CC288C"/>
    <w:rsid w:val="31394322"/>
    <w:rsid w:val="3184082E"/>
    <w:rsid w:val="31DB5204"/>
    <w:rsid w:val="31E87EA8"/>
    <w:rsid w:val="31FEBFA9"/>
    <w:rsid w:val="321567E5"/>
    <w:rsid w:val="32617B06"/>
    <w:rsid w:val="328304A8"/>
    <w:rsid w:val="32BC5F4D"/>
    <w:rsid w:val="33C323F3"/>
    <w:rsid w:val="33FE364D"/>
    <w:rsid w:val="3429115A"/>
    <w:rsid w:val="34F2580B"/>
    <w:rsid w:val="35A32FBE"/>
    <w:rsid w:val="36024564"/>
    <w:rsid w:val="36276335"/>
    <w:rsid w:val="362B51D9"/>
    <w:rsid w:val="364517E5"/>
    <w:rsid w:val="36981B5D"/>
    <w:rsid w:val="36A9634B"/>
    <w:rsid w:val="36D079C8"/>
    <w:rsid w:val="371711E7"/>
    <w:rsid w:val="377FB79C"/>
    <w:rsid w:val="3793263B"/>
    <w:rsid w:val="37D716E7"/>
    <w:rsid w:val="38A74091"/>
    <w:rsid w:val="3A4048DD"/>
    <w:rsid w:val="3A8F3EBA"/>
    <w:rsid w:val="3AB10259"/>
    <w:rsid w:val="3ABA6222"/>
    <w:rsid w:val="3B301F44"/>
    <w:rsid w:val="3BAE4829"/>
    <w:rsid w:val="3BC31DD8"/>
    <w:rsid w:val="3BDF73C5"/>
    <w:rsid w:val="3CDFFECA"/>
    <w:rsid w:val="3D7E6ED7"/>
    <w:rsid w:val="3D902D22"/>
    <w:rsid w:val="3DF4021A"/>
    <w:rsid w:val="3E047963"/>
    <w:rsid w:val="3E8E5BBA"/>
    <w:rsid w:val="3EDC10FF"/>
    <w:rsid w:val="3F0A5E23"/>
    <w:rsid w:val="3F8C3FE1"/>
    <w:rsid w:val="402E1B38"/>
    <w:rsid w:val="405A4873"/>
    <w:rsid w:val="407B3EBF"/>
    <w:rsid w:val="40B5259A"/>
    <w:rsid w:val="40DF693D"/>
    <w:rsid w:val="40F16A8E"/>
    <w:rsid w:val="41051E82"/>
    <w:rsid w:val="412545BE"/>
    <w:rsid w:val="4184340D"/>
    <w:rsid w:val="41E21275"/>
    <w:rsid w:val="422C694D"/>
    <w:rsid w:val="42F6152E"/>
    <w:rsid w:val="42FF6CFF"/>
    <w:rsid w:val="43771108"/>
    <w:rsid w:val="438C4E1A"/>
    <w:rsid w:val="446523D2"/>
    <w:rsid w:val="44CE7206"/>
    <w:rsid w:val="44DA0696"/>
    <w:rsid w:val="44E45943"/>
    <w:rsid w:val="4583380E"/>
    <w:rsid w:val="459102C1"/>
    <w:rsid w:val="45993146"/>
    <w:rsid w:val="45EB3538"/>
    <w:rsid w:val="46440499"/>
    <w:rsid w:val="46771AC0"/>
    <w:rsid w:val="468204C7"/>
    <w:rsid w:val="46F030A7"/>
    <w:rsid w:val="47867C8A"/>
    <w:rsid w:val="479B001B"/>
    <w:rsid w:val="47D21CE6"/>
    <w:rsid w:val="48876507"/>
    <w:rsid w:val="48A14890"/>
    <w:rsid w:val="48BD0CBA"/>
    <w:rsid w:val="48FE3012"/>
    <w:rsid w:val="497A7A86"/>
    <w:rsid w:val="4A4C0CEF"/>
    <w:rsid w:val="4A67403B"/>
    <w:rsid w:val="4A734E79"/>
    <w:rsid w:val="4AD27698"/>
    <w:rsid w:val="4B090E3B"/>
    <w:rsid w:val="4B1B114F"/>
    <w:rsid w:val="4B250368"/>
    <w:rsid w:val="4B7F6C9B"/>
    <w:rsid w:val="4BB01238"/>
    <w:rsid w:val="4C2F1AF1"/>
    <w:rsid w:val="4C3F1A69"/>
    <w:rsid w:val="4C4C7D4D"/>
    <w:rsid w:val="4C692E82"/>
    <w:rsid w:val="4CA7336B"/>
    <w:rsid w:val="4D001539"/>
    <w:rsid w:val="4D060FF1"/>
    <w:rsid w:val="4D714797"/>
    <w:rsid w:val="4D9F0EEA"/>
    <w:rsid w:val="4EE03327"/>
    <w:rsid w:val="4F095D32"/>
    <w:rsid w:val="4F1A4882"/>
    <w:rsid w:val="4F3C4DEC"/>
    <w:rsid w:val="4F4018A1"/>
    <w:rsid w:val="504900D3"/>
    <w:rsid w:val="524D365C"/>
    <w:rsid w:val="52815CFB"/>
    <w:rsid w:val="52892F5B"/>
    <w:rsid w:val="52A21143"/>
    <w:rsid w:val="52F61709"/>
    <w:rsid w:val="53513120"/>
    <w:rsid w:val="53F701D3"/>
    <w:rsid w:val="54073585"/>
    <w:rsid w:val="544A33E2"/>
    <w:rsid w:val="54DB7C79"/>
    <w:rsid w:val="54E74E26"/>
    <w:rsid w:val="55580A4D"/>
    <w:rsid w:val="55B45B96"/>
    <w:rsid w:val="55DC1770"/>
    <w:rsid w:val="55EB22AC"/>
    <w:rsid w:val="561133F2"/>
    <w:rsid w:val="56571FFA"/>
    <w:rsid w:val="56A92CC7"/>
    <w:rsid w:val="57F007D5"/>
    <w:rsid w:val="580E7814"/>
    <w:rsid w:val="583244D3"/>
    <w:rsid w:val="583B59E1"/>
    <w:rsid w:val="58BD10F2"/>
    <w:rsid w:val="58CD33C2"/>
    <w:rsid w:val="596469D4"/>
    <w:rsid w:val="59C449A1"/>
    <w:rsid w:val="59E36A9C"/>
    <w:rsid w:val="5A435D8A"/>
    <w:rsid w:val="5B51362C"/>
    <w:rsid w:val="5BBC1D09"/>
    <w:rsid w:val="5C34380B"/>
    <w:rsid w:val="5F281AB8"/>
    <w:rsid w:val="5F912AC4"/>
    <w:rsid w:val="5FCC7BD4"/>
    <w:rsid w:val="5FD14724"/>
    <w:rsid w:val="60700F30"/>
    <w:rsid w:val="6079650B"/>
    <w:rsid w:val="607B7DDA"/>
    <w:rsid w:val="611F5A7B"/>
    <w:rsid w:val="618D7EA5"/>
    <w:rsid w:val="61A76748"/>
    <w:rsid w:val="62B731FE"/>
    <w:rsid w:val="63023C80"/>
    <w:rsid w:val="636D3AA1"/>
    <w:rsid w:val="646D4BC2"/>
    <w:rsid w:val="64F22548"/>
    <w:rsid w:val="64FF32AE"/>
    <w:rsid w:val="659106E2"/>
    <w:rsid w:val="65AB236D"/>
    <w:rsid w:val="65B8080F"/>
    <w:rsid w:val="66483EC5"/>
    <w:rsid w:val="66704DB4"/>
    <w:rsid w:val="66A852F5"/>
    <w:rsid w:val="67102453"/>
    <w:rsid w:val="673578E3"/>
    <w:rsid w:val="682C4391"/>
    <w:rsid w:val="68A67F29"/>
    <w:rsid w:val="68C15CCA"/>
    <w:rsid w:val="697D619C"/>
    <w:rsid w:val="69EE3D79"/>
    <w:rsid w:val="6A0E091D"/>
    <w:rsid w:val="6ABA50AD"/>
    <w:rsid w:val="6B58725B"/>
    <w:rsid w:val="6BA94127"/>
    <w:rsid w:val="6BFE46EA"/>
    <w:rsid w:val="6C7F53F2"/>
    <w:rsid w:val="6C8B20CC"/>
    <w:rsid w:val="6D135E16"/>
    <w:rsid w:val="6D40401A"/>
    <w:rsid w:val="6DA74D12"/>
    <w:rsid w:val="6F447A17"/>
    <w:rsid w:val="6FF77ECA"/>
    <w:rsid w:val="704217E5"/>
    <w:rsid w:val="708B7819"/>
    <w:rsid w:val="71152000"/>
    <w:rsid w:val="721756F7"/>
    <w:rsid w:val="7231680E"/>
    <w:rsid w:val="72D3527F"/>
    <w:rsid w:val="73D531DE"/>
    <w:rsid w:val="742D6FE0"/>
    <w:rsid w:val="754972D6"/>
    <w:rsid w:val="75D21BA6"/>
    <w:rsid w:val="76ED37EF"/>
    <w:rsid w:val="770F21D1"/>
    <w:rsid w:val="78782796"/>
    <w:rsid w:val="78A7019A"/>
    <w:rsid w:val="78E66C7A"/>
    <w:rsid w:val="79BA3B0E"/>
    <w:rsid w:val="7ABB6962"/>
    <w:rsid w:val="7AF4539C"/>
    <w:rsid w:val="7B0060B8"/>
    <w:rsid w:val="7BFEEA97"/>
    <w:rsid w:val="7C013D85"/>
    <w:rsid w:val="7C662C4B"/>
    <w:rsid w:val="7C7FB7F5"/>
    <w:rsid w:val="7D578562"/>
    <w:rsid w:val="7DB40A20"/>
    <w:rsid w:val="7E136A50"/>
    <w:rsid w:val="7E49765A"/>
    <w:rsid w:val="7E4C0FEB"/>
    <w:rsid w:val="7EBE0C5A"/>
    <w:rsid w:val="7EFB3C47"/>
    <w:rsid w:val="7EFEFCA7"/>
    <w:rsid w:val="7F5342F2"/>
    <w:rsid w:val="7F850ECB"/>
    <w:rsid w:val="7FDC9BAD"/>
    <w:rsid w:val="7FEB08DE"/>
    <w:rsid w:val="7FF612D8"/>
    <w:rsid w:val="7FFA2D7F"/>
    <w:rsid w:val="7FFF732D"/>
    <w:rsid w:val="A7CD56A4"/>
    <w:rsid w:val="ABEF9526"/>
    <w:rsid w:val="BDDB0743"/>
    <w:rsid w:val="D6EF1DA6"/>
    <w:rsid w:val="DBBA10AF"/>
    <w:rsid w:val="DFFF433A"/>
    <w:rsid w:val="E7EFE23A"/>
    <w:rsid w:val="F7FF537B"/>
    <w:rsid w:val="FD7D6AD1"/>
    <w:rsid w:val="FFB9538B"/>
    <w:rsid w:val="FFDBE0E6"/>
    <w:rsid w:val="FFF8FDA8"/>
    <w:rsid w:val="FFFDE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7"/>
    <w:autoRedefine/>
    <w:qFormat/>
    <w:uiPriority w:val="0"/>
    <w:pPr>
      <w:keepNext/>
      <w:outlineLvl w:val="0"/>
    </w:pPr>
    <w:rPr>
      <w:sz w:val="28"/>
      <w:szCs w:val="24"/>
    </w:rPr>
  </w:style>
  <w:style w:type="paragraph" w:styleId="6">
    <w:name w:val="heading 2"/>
    <w:basedOn w:val="1"/>
    <w:next w:val="1"/>
    <w:link w:val="48"/>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9"/>
    <w:autoRedefine/>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50"/>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line="400" w:lineRule="atLeast"/>
      <w:ind w:firstLine="426"/>
    </w:pPr>
    <w:rPr>
      <w:sz w:val="24"/>
      <w:szCs w:val="20"/>
    </w:rPr>
  </w:style>
  <w:style w:type="paragraph" w:styleId="3">
    <w:name w:val="Body Text"/>
    <w:basedOn w:val="1"/>
    <w:next w:val="4"/>
    <w:link w:val="63"/>
    <w:autoRedefine/>
    <w:qFormat/>
    <w:uiPriority w:val="0"/>
    <w:pPr>
      <w:spacing w:after="120"/>
    </w:pPr>
    <w:rPr>
      <w:szCs w:val="24"/>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9">
    <w:name w:val="toc 7"/>
    <w:basedOn w:val="1"/>
    <w:next w:val="1"/>
    <w:autoRedefine/>
    <w:qFormat/>
    <w:uiPriority w:val="0"/>
    <w:pPr>
      <w:ind w:left="2520" w:leftChars="1200"/>
    </w:pPr>
  </w:style>
  <w:style w:type="paragraph" w:styleId="10">
    <w:name w:val="Document Map"/>
    <w:basedOn w:val="1"/>
    <w:link w:val="74"/>
    <w:autoRedefine/>
    <w:qFormat/>
    <w:uiPriority w:val="0"/>
    <w:pPr>
      <w:shd w:val="clear" w:color="auto" w:fill="000080"/>
    </w:pPr>
  </w:style>
  <w:style w:type="paragraph" w:styleId="11">
    <w:name w:val="annotation text"/>
    <w:basedOn w:val="1"/>
    <w:link w:val="68"/>
    <w:autoRedefine/>
    <w:semiHidden/>
    <w:qFormat/>
    <w:uiPriority w:val="99"/>
    <w:pPr>
      <w:jc w:val="left"/>
    </w:pPr>
  </w:style>
  <w:style w:type="paragraph" w:styleId="12">
    <w:name w:val="Body Text 3"/>
    <w:basedOn w:val="1"/>
    <w:link w:val="89"/>
    <w:autoRedefine/>
    <w:unhideWhenUsed/>
    <w:qFormat/>
    <w:uiPriority w:val="99"/>
    <w:pPr>
      <w:spacing w:after="120"/>
    </w:pPr>
    <w:rPr>
      <w:rFonts w:ascii="Calibri" w:hAnsi="Calibri"/>
      <w:sz w:val="16"/>
      <w:szCs w:val="16"/>
      <w:lang w:val="zh-CN"/>
    </w:rPr>
  </w:style>
  <w:style w:type="paragraph" w:styleId="13">
    <w:name w:val="Body Text Indent"/>
    <w:basedOn w:val="1"/>
    <w:next w:val="3"/>
    <w:link w:val="52"/>
    <w:autoRedefine/>
    <w:qFormat/>
    <w:uiPriority w:val="0"/>
    <w:pPr>
      <w:ind w:firstLine="540"/>
    </w:pPr>
    <w:rPr>
      <w:rFonts w:eastAsia="仿宋_GB2312"/>
      <w:sz w:val="28"/>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39"/>
    <w:pPr>
      <w:ind w:left="840" w:leftChars="400"/>
    </w:pPr>
  </w:style>
  <w:style w:type="paragraph" w:styleId="16">
    <w:name w:val="Plain Text"/>
    <w:basedOn w:val="1"/>
    <w:link w:val="71"/>
    <w:autoRedefine/>
    <w:qFormat/>
    <w:uiPriority w:val="0"/>
    <w:rPr>
      <w:rFonts w:ascii="宋体" w:hAnsi="Courier New" w:cstheme="minorBidi"/>
      <w:szCs w:val="22"/>
    </w:rPr>
  </w:style>
  <w:style w:type="paragraph" w:styleId="17">
    <w:name w:val="toc 8"/>
    <w:basedOn w:val="1"/>
    <w:next w:val="1"/>
    <w:autoRedefine/>
    <w:qFormat/>
    <w:uiPriority w:val="0"/>
    <w:pPr>
      <w:ind w:left="2940" w:leftChars="1400"/>
    </w:pPr>
  </w:style>
  <w:style w:type="paragraph" w:styleId="18">
    <w:name w:val="Date"/>
    <w:basedOn w:val="1"/>
    <w:next w:val="1"/>
    <w:link w:val="51"/>
    <w:autoRedefine/>
    <w:qFormat/>
    <w:uiPriority w:val="0"/>
    <w:rPr>
      <w:rFonts w:ascii="Arial" w:hAnsi="Arial" w:eastAsia="楷体_GB2312"/>
      <w:sz w:val="28"/>
    </w:rPr>
  </w:style>
  <w:style w:type="paragraph" w:styleId="19">
    <w:name w:val="Body Text Indent 2"/>
    <w:basedOn w:val="1"/>
    <w:link w:val="54"/>
    <w:autoRedefine/>
    <w:qFormat/>
    <w:uiPriority w:val="0"/>
    <w:pPr>
      <w:tabs>
        <w:tab w:val="left" w:pos="720"/>
      </w:tabs>
      <w:ind w:right="-506" w:rightChars="-241" w:firstLine="538" w:firstLineChars="192"/>
    </w:pPr>
    <w:rPr>
      <w:rFonts w:eastAsia="仿宋_GB2312"/>
      <w:sz w:val="28"/>
    </w:rPr>
  </w:style>
  <w:style w:type="paragraph" w:styleId="20">
    <w:name w:val="Balloon Text"/>
    <w:basedOn w:val="1"/>
    <w:link w:val="65"/>
    <w:autoRedefine/>
    <w:qFormat/>
    <w:uiPriority w:val="0"/>
    <w:rPr>
      <w:sz w:val="18"/>
      <w:szCs w:val="18"/>
    </w:rPr>
  </w:style>
  <w:style w:type="paragraph" w:styleId="21">
    <w:name w:val="footer"/>
    <w:basedOn w:val="1"/>
    <w:link w:val="46"/>
    <w:autoRedefine/>
    <w:unhideWhenUsed/>
    <w:qFormat/>
    <w:uiPriority w:val="99"/>
    <w:pPr>
      <w:tabs>
        <w:tab w:val="center" w:pos="4153"/>
        <w:tab w:val="right" w:pos="8306"/>
      </w:tabs>
      <w:snapToGrid w:val="0"/>
      <w:jc w:val="left"/>
    </w:pPr>
    <w:rPr>
      <w:sz w:val="18"/>
      <w:szCs w:val="18"/>
    </w:rPr>
  </w:style>
  <w:style w:type="paragraph" w:styleId="22">
    <w:name w:val="envelope return"/>
    <w:basedOn w:val="1"/>
    <w:autoRedefine/>
    <w:qFormat/>
    <w:uiPriority w:val="0"/>
    <w:pPr>
      <w:snapToGrid w:val="0"/>
    </w:pPr>
    <w:rPr>
      <w:rFonts w:ascii="Arial" w:hAnsi="Arial"/>
    </w:rPr>
  </w:style>
  <w:style w:type="paragraph" w:styleId="23">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toc 4"/>
    <w:basedOn w:val="1"/>
    <w:next w:val="1"/>
    <w:autoRedefine/>
    <w:qFormat/>
    <w:uiPriority w:val="0"/>
    <w:pPr>
      <w:ind w:left="1260" w:leftChars="600"/>
    </w:pPr>
  </w:style>
  <w:style w:type="paragraph" w:styleId="26">
    <w:name w:val="toc 6"/>
    <w:basedOn w:val="1"/>
    <w:next w:val="1"/>
    <w:autoRedefine/>
    <w:qFormat/>
    <w:uiPriority w:val="0"/>
    <w:pPr>
      <w:ind w:left="2100" w:leftChars="1000"/>
    </w:pPr>
  </w:style>
  <w:style w:type="paragraph" w:styleId="27">
    <w:name w:val="Body Text Indent 3"/>
    <w:basedOn w:val="1"/>
    <w:link w:val="60"/>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Body Text 2"/>
    <w:basedOn w:val="1"/>
    <w:qFormat/>
    <w:uiPriority w:val="0"/>
    <w:pPr>
      <w:spacing w:after="120" w:line="480" w:lineRule="auto"/>
    </w:pPr>
  </w:style>
  <w:style w:type="paragraph" w:styleId="3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unhideWhenUsed/>
    <w:qFormat/>
    <w:uiPriority w:val="99"/>
    <w:pPr>
      <w:jc w:val="left"/>
    </w:pPr>
    <w:rPr>
      <w:kern w:val="0"/>
      <w:sz w:val="24"/>
    </w:rPr>
  </w:style>
  <w:style w:type="paragraph" w:styleId="33">
    <w:name w:val="index 1"/>
    <w:basedOn w:val="1"/>
    <w:next w:val="1"/>
    <w:autoRedefine/>
    <w:semiHidden/>
    <w:qFormat/>
    <w:uiPriority w:val="0"/>
    <w:pPr>
      <w:jc w:val="center"/>
    </w:pPr>
    <w:rPr>
      <w:rFonts w:ascii="仿宋_GB2312" w:eastAsia="仿宋_GB2312"/>
      <w:b/>
      <w:bCs/>
      <w:sz w:val="28"/>
    </w:rPr>
  </w:style>
  <w:style w:type="paragraph" w:styleId="34">
    <w:name w:val="annotation subject"/>
    <w:basedOn w:val="11"/>
    <w:next w:val="11"/>
    <w:link w:val="69"/>
    <w:autoRedefine/>
    <w:semiHidden/>
    <w:qFormat/>
    <w:uiPriority w:val="99"/>
    <w:rPr>
      <w:b/>
      <w:bCs/>
    </w:rPr>
  </w:style>
  <w:style w:type="table" w:styleId="36">
    <w:name w:val="Table Grid"/>
    <w:basedOn w:val="3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rPr>
  </w:style>
  <w:style w:type="character" w:styleId="39">
    <w:name w:val="page number"/>
    <w:basedOn w:val="37"/>
    <w:autoRedefine/>
    <w:qFormat/>
    <w:uiPriority w:val="0"/>
  </w:style>
  <w:style w:type="character" w:styleId="40">
    <w:name w:val="FollowedHyperlink"/>
    <w:basedOn w:val="37"/>
    <w:autoRedefine/>
    <w:unhideWhenUsed/>
    <w:qFormat/>
    <w:uiPriority w:val="99"/>
    <w:rPr>
      <w:color w:val="954F72" w:themeColor="followedHyperlink"/>
      <w:u w:val="single"/>
      <w14:textFill>
        <w14:solidFill>
          <w14:schemeClr w14:val="folHlink"/>
        </w14:solidFill>
      </w14:textFill>
    </w:rPr>
  </w:style>
  <w:style w:type="character" w:styleId="41">
    <w:name w:val="Hyperlink"/>
    <w:basedOn w:val="37"/>
    <w:autoRedefine/>
    <w:qFormat/>
    <w:uiPriority w:val="99"/>
    <w:rPr>
      <w:color w:val="333333"/>
      <w:u w:val="none"/>
    </w:rPr>
  </w:style>
  <w:style w:type="character" w:styleId="42">
    <w:name w:val="annotation reference"/>
    <w:autoRedefine/>
    <w:semiHidden/>
    <w:qFormat/>
    <w:uiPriority w:val="99"/>
    <w:rPr>
      <w:sz w:val="21"/>
      <w:szCs w:val="21"/>
    </w:rPr>
  </w:style>
  <w:style w:type="paragraph" w:customStyle="1" w:styleId="43">
    <w:name w:val="目录 71"/>
    <w:basedOn w:val="1"/>
    <w:next w:val="1"/>
    <w:autoRedefine/>
    <w:qFormat/>
    <w:uiPriority w:val="0"/>
    <w:pPr>
      <w:ind w:left="2520"/>
    </w:pPr>
    <w:rPr>
      <w:rFonts w:ascii="Calibri"/>
    </w:rPr>
  </w:style>
  <w:style w:type="paragraph" w:customStyle="1" w:styleId="44">
    <w:name w:val="表格文字"/>
    <w:basedOn w:val="1"/>
    <w:qFormat/>
    <w:uiPriority w:val="0"/>
    <w:pPr>
      <w:spacing w:line="360" w:lineRule="exact"/>
      <w:jc w:val="center"/>
    </w:pPr>
  </w:style>
  <w:style w:type="character" w:customStyle="1" w:styleId="45">
    <w:name w:val="页眉 Char"/>
    <w:basedOn w:val="37"/>
    <w:link w:val="23"/>
    <w:autoRedefine/>
    <w:qFormat/>
    <w:uiPriority w:val="0"/>
    <w:rPr>
      <w:sz w:val="18"/>
      <w:szCs w:val="18"/>
    </w:rPr>
  </w:style>
  <w:style w:type="character" w:customStyle="1" w:styleId="46">
    <w:name w:val="页脚 Char"/>
    <w:basedOn w:val="37"/>
    <w:link w:val="21"/>
    <w:autoRedefine/>
    <w:qFormat/>
    <w:uiPriority w:val="0"/>
    <w:rPr>
      <w:sz w:val="18"/>
      <w:szCs w:val="18"/>
    </w:rPr>
  </w:style>
  <w:style w:type="character" w:customStyle="1" w:styleId="47">
    <w:name w:val="标题 1 Char"/>
    <w:basedOn w:val="37"/>
    <w:link w:val="5"/>
    <w:autoRedefine/>
    <w:qFormat/>
    <w:uiPriority w:val="0"/>
    <w:rPr>
      <w:rFonts w:ascii="Times New Roman" w:hAnsi="Times New Roman" w:eastAsia="宋体" w:cs="Times New Roman"/>
      <w:sz w:val="28"/>
      <w:szCs w:val="24"/>
    </w:rPr>
  </w:style>
  <w:style w:type="character" w:customStyle="1" w:styleId="48">
    <w:name w:val="标题 2 Char"/>
    <w:basedOn w:val="37"/>
    <w:link w:val="6"/>
    <w:autoRedefine/>
    <w:qFormat/>
    <w:uiPriority w:val="0"/>
    <w:rPr>
      <w:rFonts w:ascii="Arial" w:hAnsi="Arial" w:eastAsia="黑体" w:cs="Times New Roman"/>
      <w:b/>
      <w:kern w:val="0"/>
      <w:sz w:val="32"/>
      <w:szCs w:val="20"/>
    </w:rPr>
  </w:style>
  <w:style w:type="character" w:customStyle="1" w:styleId="49">
    <w:name w:val="标题 3 Char"/>
    <w:basedOn w:val="37"/>
    <w:link w:val="7"/>
    <w:autoRedefine/>
    <w:qFormat/>
    <w:uiPriority w:val="0"/>
    <w:rPr>
      <w:rFonts w:ascii="Times New Roman" w:hAnsi="Times New Roman" w:eastAsia="宋体" w:cs="Times New Roman"/>
      <w:b/>
      <w:bCs/>
      <w:sz w:val="32"/>
      <w:szCs w:val="32"/>
      <w:lang w:val="zh-CN" w:eastAsia="zh-CN"/>
    </w:rPr>
  </w:style>
  <w:style w:type="character" w:customStyle="1" w:styleId="50">
    <w:name w:val="标题 4 Char"/>
    <w:basedOn w:val="37"/>
    <w:link w:val="8"/>
    <w:autoRedefine/>
    <w:qFormat/>
    <w:uiPriority w:val="0"/>
    <w:rPr>
      <w:rFonts w:ascii="Arial" w:hAnsi="Arial" w:eastAsia="黑体" w:cs="Times New Roman"/>
      <w:b/>
      <w:kern w:val="0"/>
      <w:sz w:val="28"/>
      <w:szCs w:val="20"/>
    </w:rPr>
  </w:style>
  <w:style w:type="character" w:customStyle="1" w:styleId="51">
    <w:name w:val="日期 Char"/>
    <w:basedOn w:val="37"/>
    <w:link w:val="18"/>
    <w:autoRedefine/>
    <w:qFormat/>
    <w:uiPriority w:val="0"/>
    <w:rPr>
      <w:rFonts w:ascii="Arial" w:hAnsi="Arial" w:eastAsia="楷体_GB2312" w:cs="Times New Roman"/>
      <w:sz w:val="28"/>
      <w:szCs w:val="20"/>
    </w:rPr>
  </w:style>
  <w:style w:type="character" w:customStyle="1" w:styleId="52">
    <w:name w:val="正文文本缩进 Char"/>
    <w:basedOn w:val="37"/>
    <w:link w:val="13"/>
    <w:autoRedefine/>
    <w:qFormat/>
    <w:uiPriority w:val="0"/>
    <w:rPr>
      <w:rFonts w:ascii="Times New Roman" w:hAnsi="Times New Roman" w:eastAsia="仿宋_GB2312" w:cs="Times New Roman"/>
      <w:sz w:val="28"/>
      <w:szCs w:val="20"/>
    </w:rPr>
  </w:style>
  <w:style w:type="paragraph" w:customStyle="1" w:styleId="53">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正文文本缩进 2 Char"/>
    <w:basedOn w:val="37"/>
    <w:link w:val="19"/>
    <w:autoRedefine/>
    <w:qFormat/>
    <w:uiPriority w:val="0"/>
    <w:rPr>
      <w:rFonts w:ascii="Times New Roman" w:hAnsi="Times New Roman" w:eastAsia="仿宋_GB2312" w:cs="Times New Roman"/>
      <w:sz w:val="28"/>
      <w:szCs w:val="20"/>
    </w:rPr>
  </w:style>
  <w:style w:type="paragraph" w:customStyle="1" w:styleId="55">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6">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7">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58">
    <w:name w:val="Char Char Char Char Char"/>
    <w:basedOn w:val="1"/>
    <w:autoRedefine/>
    <w:qFormat/>
    <w:uiPriority w:val="0"/>
    <w:rPr>
      <w:rFonts w:ascii="Tahoma" w:hAnsi="Tahoma"/>
      <w:sz w:val="24"/>
    </w:rPr>
  </w:style>
  <w:style w:type="paragraph" w:customStyle="1" w:styleId="59">
    <w:name w:val="Char"/>
    <w:basedOn w:val="1"/>
    <w:autoRedefine/>
    <w:qFormat/>
    <w:uiPriority w:val="0"/>
    <w:rPr>
      <w:rFonts w:ascii="Tahoma" w:hAnsi="Tahoma"/>
      <w:sz w:val="24"/>
    </w:rPr>
  </w:style>
  <w:style w:type="character" w:customStyle="1" w:styleId="60">
    <w:name w:val="正文文本缩进 3 Char"/>
    <w:basedOn w:val="37"/>
    <w:link w:val="27"/>
    <w:autoRedefine/>
    <w:qFormat/>
    <w:uiPriority w:val="0"/>
    <w:rPr>
      <w:rFonts w:ascii="仿宋_GB2312" w:hAnsi="Arial" w:eastAsia="仿宋_GB2312" w:cs="Times New Roman"/>
      <w:sz w:val="28"/>
      <w:szCs w:val="24"/>
    </w:rPr>
  </w:style>
  <w:style w:type="paragraph" w:customStyle="1" w:styleId="61">
    <w:name w:val="Char1"/>
    <w:basedOn w:val="1"/>
    <w:autoRedefine/>
    <w:qFormat/>
    <w:uiPriority w:val="0"/>
    <w:rPr>
      <w:rFonts w:ascii="Tahoma" w:hAnsi="Tahoma" w:eastAsia="仿宋_GB2312"/>
      <w:sz w:val="24"/>
    </w:rPr>
  </w:style>
  <w:style w:type="paragraph" w:customStyle="1" w:styleId="62">
    <w:name w:val="Char Char Char Char Char Char Char1 Char"/>
    <w:basedOn w:val="1"/>
    <w:autoRedefine/>
    <w:qFormat/>
    <w:uiPriority w:val="0"/>
    <w:rPr>
      <w:rFonts w:ascii="Tahoma" w:hAnsi="Tahoma"/>
      <w:sz w:val="24"/>
    </w:rPr>
  </w:style>
  <w:style w:type="character" w:customStyle="1" w:styleId="63">
    <w:name w:val="正文文本 Char"/>
    <w:basedOn w:val="37"/>
    <w:link w:val="3"/>
    <w:autoRedefine/>
    <w:qFormat/>
    <w:uiPriority w:val="0"/>
    <w:rPr>
      <w:rFonts w:ascii="Times New Roman" w:hAnsi="Times New Roman" w:eastAsia="宋体" w:cs="Times New Roman"/>
      <w:szCs w:val="24"/>
    </w:rPr>
  </w:style>
  <w:style w:type="paragraph" w:customStyle="1" w:styleId="64">
    <w:name w:val="Char Char Char Char"/>
    <w:basedOn w:val="1"/>
    <w:next w:val="1"/>
    <w:autoRedefine/>
    <w:qFormat/>
    <w:uiPriority w:val="0"/>
    <w:pPr>
      <w:widowControl/>
      <w:spacing w:line="360" w:lineRule="auto"/>
      <w:jc w:val="left"/>
    </w:pPr>
  </w:style>
  <w:style w:type="character" w:customStyle="1" w:styleId="65">
    <w:name w:val="批注框文本 Char"/>
    <w:basedOn w:val="37"/>
    <w:link w:val="20"/>
    <w:autoRedefine/>
    <w:qFormat/>
    <w:uiPriority w:val="0"/>
    <w:rPr>
      <w:rFonts w:ascii="Times New Roman" w:hAnsi="Times New Roman" w:eastAsia="宋体" w:cs="Times New Roman"/>
      <w:sz w:val="18"/>
      <w:szCs w:val="18"/>
    </w:rPr>
  </w:style>
  <w:style w:type="paragraph" w:customStyle="1" w:styleId="66">
    <w:name w:val="Char Char Char"/>
    <w:basedOn w:val="1"/>
    <w:autoRedefine/>
    <w:qFormat/>
    <w:uiPriority w:val="0"/>
    <w:rPr>
      <w:rFonts w:ascii="Tahoma" w:hAnsi="Tahoma"/>
      <w:sz w:val="24"/>
    </w:rPr>
  </w:style>
  <w:style w:type="paragraph" w:customStyle="1" w:styleId="67">
    <w:name w:val="Char Char Char Char Char Char Char Char Char Char"/>
    <w:basedOn w:val="1"/>
    <w:autoRedefine/>
    <w:qFormat/>
    <w:uiPriority w:val="0"/>
    <w:rPr>
      <w:rFonts w:ascii="Tahoma" w:hAnsi="Tahoma" w:cs="仿宋_GB2312"/>
      <w:sz w:val="24"/>
    </w:rPr>
  </w:style>
  <w:style w:type="character" w:customStyle="1" w:styleId="68">
    <w:name w:val="批注文字 Char"/>
    <w:basedOn w:val="37"/>
    <w:link w:val="11"/>
    <w:autoRedefine/>
    <w:semiHidden/>
    <w:qFormat/>
    <w:uiPriority w:val="99"/>
    <w:rPr>
      <w:rFonts w:ascii="Times New Roman" w:hAnsi="Times New Roman" w:eastAsia="宋体" w:cs="Times New Roman"/>
      <w:szCs w:val="20"/>
    </w:rPr>
  </w:style>
  <w:style w:type="character" w:customStyle="1" w:styleId="69">
    <w:name w:val="批注主题 Char"/>
    <w:basedOn w:val="68"/>
    <w:link w:val="34"/>
    <w:autoRedefine/>
    <w:semiHidden/>
    <w:qFormat/>
    <w:uiPriority w:val="99"/>
    <w:rPr>
      <w:rFonts w:ascii="Times New Roman" w:hAnsi="Times New Roman" w:eastAsia="宋体" w:cs="Times New Roman"/>
      <w:b/>
      <w:bCs/>
      <w:szCs w:val="20"/>
    </w:rPr>
  </w:style>
  <w:style w:type="paragraph" w:customStyle="1" w:styleId="70">
    <w:name w:val="Char Char Char Char Char Char"/>
    <w:basedOn w:val="1"/>
    <w:autoRedefine/>
    <w:qFormat/>
    <w:uiPriority w:val="0"/>
  </w:style>
  <w:style w:type="character" w:customStyle="1" w:styleId="71">
    <w:name w:val="纯文本 Char"/>
    <w:link w:val="16"/>
    <w:autoRedefine/>
    <w:qFormat/>
    <w:uiPriority w:val="0"/>
    <w:rPr>
      <w:rFonts w:ascii="宋体" w:hAnsi="Courier New" w:eastAsia="宋体"/>
    </w:rPr>
  </w:style>
  <w:style w:type="character" w:customStyle="1" w:styleId="72">
    <w:name w:val="纯文本 Char1"/>
    <w:basedOn w:val="37"/>
    <w:autoRedefine/>
    <w:semiHidden/>
    <w:qFormat/>
    <w:uiPriority w:val="99"/>
    <w:rPr>
      <w:rFonts w:ascii="宋体" w:hAnsi="Courier New" w:eastAsia="宋体" w:cs="Courier New"/>
      <w:szCs w:val="21"/>
    </w:rPr>
  </w:style>
  <w:style w:type="paragraph" w:customStyle="1" w:styleId="73">
    <w:name w:val="Char12 Char Char Char"/>
    <w:basedOn w:val="1"/>
    <w:autoRedefine/>
    <w:qFormat/>
    <w:uiPriority w:val="0"/>
  </w:style>
  <w:style w:type="character" w:customStyle="1" w:styleId="74">
    <w:name w:val="文档结构图 Char"/>
    <w:basedOn w:val="37"/>
    <w:link w:val="10"/>
    <w:autoRedefine/>
    <w:qFormat/>
    <w:uiPriority w:val="0"/>
    <w:rPr>
      <w:rFonts w:ascii="Times New Roman" w:hAnsi="Times New Roman" w:eastAsia="宋体" w:cs="Times New Roman"/>
      <w:szCs w:val="20"/>
      <w:shd w:val="clear" w:color="auto" w:fill="000080"/>
    </w:rPr>
  </w:style>
  <w:style w:type="character" w:customStyle="1" w:styleId="75">
    <w:name w:val="style29"/>
    <w:autoRedefine/>
    <w:qFormat/>
    <w:uiPriority w:val="0"/>
  </w:style>
  <w:style w:type="character" w:customStyle="1" w:styleId="76">
    <w:name w:val="正文1"/>
    <w:autoRedefine/>
    <w:qFormat/>
    <w:uiPriority w:val="0"/>
  </w:style>
  <w:style w:type="character" w:customStyle="1" w:styleId="77">
    <w:name w:val="font11"/>
    <w:autoRedefine/>
    <w:qFormat/>
    <w:uiPriority w:val="0"/>
    <w:rPr>
      <w:rFonts w:hint="default" w:ascii="Times New Roman" w:hAnsi="Times New Roman" w:cs="Times New Roman"/>
      <w:color w:val="3366FF"/>
      <w:sz w:val="24"/>
      <w:szCs w:val="24"/>
      <w:u w:val="none"/>
    </w:rPr>
  </w:style>
  <w:style w:type="character" w:customStyle="1" w:styleId="78">
    <w:name w:val="font21"/>
    <w:autoRedefine/>
    <w:qFormat/>
    <w:uiPriority w:val="0"/>
    <w:rPr>
      <w:rFonts w:hint="eastAsia" w:ascii="宋体" w:hAnsi="宋体" w:eastAsia="宋体"/>
      <w:color w:val="3366FF"/>
      <w:sz w:val="24"/>
      <w:szCs w:val="24"/>
      <w:u w:val="none"/>
    </w:rPr>
  </w:style>
  <w:style w:type="paragraph" w:customStyle="1" w:styleId="79">
    <w:name w:val="Char Char15"/>
    <w:basedOn w:val="1"/>
    <w:autoRedefine/>
    <w:qFormat/>
    <w:uiPriority w:val="0"/>
    <w:rPr>
      <w:rFonts w:ascii="Tahoma" w:hAnsi="Tahoma" w:eastAsia="仿宋_GB2312"/>
      <w:sz w:val="24"/>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Char2"/>
    <w:basedOn w:val="1"/>
    <w:autoRedefine/>
    <w:qFormat/>
    <w:uiPriority w:val="0"/>
    <w:pPr>
      <w:tabs>
        <w:tab w:val="left" w:pos="360"/>
      </w:tabs>
    </w:pPr>
    <w:rPr>
      <w:sz w:val="24"/>
      <w:szCs w:val="24"/>
    </w:rPr>
  </w:style>
  <w:style w:type="paragraph" w:customStyle="1" w:styleId="82">
    <w:name w:val="Char16"/>
    <w:basedOn w:val="1"/>
    <w:autoRedefine/>
    <w:qFormat/>
    <w:uiPriority w:val="0"/>
    <w:rPr>
      <w:rFonts w:ascii="Tahoma" w:hAnsi="Tahoma" w:eastAsia="仿宋_GB2312"/>
      <w:sz w:val="24"/>
    </w:rPr>
  </w:style>
  <w:style w:type="paragraph" w:customStyle="1" w:styleId="83">
    <w:name w:val="Char Char1"/>
    <w:basedOn w:val="1"/>
    <w:autoRedefine/>
    <w:qFormat/>
    <w:uiPriority w:val="0"/>
    <w:rPr>
      <w:rFonts w:ascii="Tahoma" w:hAnsi="Tahoma"/>
      <w:sz w:val="24"/>
    </w:rPr>
  </w:style>
  <w:style w:type="paragraph" w:customStyle="1" w:styleId="84">
    <w:name w:val="Char Char Char Char Char Char Char"/>
    <w:basedOn w:val="1"/>
    <w:autoRedefine/>
    <w:qFormat/>
    <w:uiPriority w:val="0"/>
    <w:rPr>
      <w:szCs w:val="24"/>
    </w:rPr>
  </w:style>
  <w:style w:type="paragraph" w:customStyle="1" w:styleId="85">
    <w:name w:val="Char Char"/>
    <w:basedOn w:val="1"/>
    <w:autoRedefine/>
    <w:qFormat/>
    <w:uiPriority w:val="0"/>
    <w:rPr>
      <w:rFonts w:ascii="Tahoma" w:hAnsi="Tahoma" w:cs="仿宋_GB2312"/>
      <w:sz w:val="24"/>
    </w:rPr>
  </w:style>
  <w:style w:type="paragraph" w:customStyle="1" w:styleId="86">
    <w:name w:val="Char Char2"/>
    <w:basedOn w:val="1"/>
    <w:autoRedefine/>
    <w:qFormat/>
    <w:uiPriority w:val="0"/>
    <w:rPr>
      <w:rFonts w:ascii="Tahoma" w:hAnsi="Tahoma" w:cs="仿宋_GB2312"/>
      <w:sz w:val="24"/>
    </w:rPr>
  </w:style>
  <w:style w:type="paragraph" w:customStyle="1" w:styleId="87">
    <w:name w:val="Char Char Char1"/>
    <w:basedOn w:val="1"/>
    <w:autoRedefine/>
    <w:qFormat/>
    <w:uiPriority w:val="0"/>
    <w:rPr>
      <w:rFonts w:ascii="Tahoma" w:hAnsi="Tahoma"/>
      <w:sz w:val="24"/>
    </w:rPr>
  </w:style>
  <w:style w:type="paragraph" w:customStyle="1" w:styleId="88">
    <w:name w:val="D&amp;L"/>
    <w:basedOn w:val="2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9">
    <w:name w:val="正文文本 3 Char"/>
    <w:basedOn w:val="37"/>
    <w:link w:val="12"/>
    <w:autoRedefine/>
    <w:qFormat/>
    <w:uiPriority w:val="99"/>
    <w:rPr>
      <w:rFonts w:ascii="Calibri" w:hAnsi="Calibri" w:eastAsia="宋体" w:cs="Times New Roman"/>
      <w:sz w:val="16"/>
      <w:szCs w:val="16"/>
      <w:lang w:val="zh-CN" w:eastAsia="zh-CN"/>
    </w:rPr>
  </w:style>
  <w:style w:type="paragraph" w:customStyle="1" w:styleId="90">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2">
    <w:name w:val="style23"/>
    <w:autoRedefine/>
    <w:qFormat/>
    <w:uiPriority w:val="0"/>
    <w:rPr>
      <w:rFonts w:ascii="Times New Roman" w:hAnsi="Times New Roman" w:eastAsia="宋体"/>
    </w:rPr>
  </w:style>
  <w:style w:type="paragraph" w:customStyle="1" w:styleId="93">
    <w:name w:val="p0"/>
    <w:basedOn w:val="1"/>
    <w:autoRedefine/>
    <w:qFormat/>
    <w:uiPriority w:val="0"/>
    <w:pPr>
      <w:widowControl/>
      <w:jc w:val="left"/>
    </w:pPr>
    <w:rPr>
      <w:rFonts w:ascii="等线" w:hAnsi="等线" w:eastAsia="等线" w:cs="等线"/>
      <w:kern w:val="0"/>
      <w:sz w:val="20"/>
      <w:szCs w:val="22"/>
    </w:rPr>
  </w:style>
  <w:style w:type="paragraph" w:customStyle="1" w:styleId="94">
    <w:name w:val="列表段落1"/>
    <w:basedOn w:val="1"/>
    <w:autoRedefine/>
    <w:qFormat/>
    <w:uiPriority w:val="34"/>
    <w:pPr>
      <w:ind w:firstLine="420" w:firstLineChars="200"/>
    </w:pPr>
    <w:rPr>
      <w:szCs w:val="24"/>
    </w:rPr>
  </w:style>
  <w:style w:type="paragraph" w:customStyle="1" w:styleId="95">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6">
    <w:name w:val="List Paragraph"/>
    <w:basedOn w:val="1"/>
    <w:autoRedefine/>
    <w:qFormat/>
    <w:uiPriority w:val="99"/>
    <w:pPr>
      <w:ind w:firstLine="420" w:firstLineChars="200"/>
    </w:pPr>
  </w:style>
  <w:style w:type="table" w:customStyle="1" w:styleId="97">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9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10975</Words>
  <Characters>11875</Characters>
  <Lines>187</Lines>
  <Paragraphs>52</Paragraphs>
  <TotalTime>21</TotalTime>
  <ScaleCrop>false</ScaleCrop>
  <LinksUpToDate>false</LinksUpToDate>
  <CharactersWithSpaces>12061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逆袭</cp:lastModifiedBy>
  <cp:lastPrinted>2021-07-30T15:18:00Z</cp:lastPrinted>
  <dcterms:modified xsi:type="dcterms:W3CDTF">2025-08-28T08:23:56Z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2783A891AC6C4465B66F0B96E3F4F071_13</vt:lpwstr>
  </property>
  <property fmtid="{D5CDD505-2E9C-101B-9397-08002B2CF9AE}" pid="4" name="KSOTemplateDocerSaveRecord">
    <vt:lpwstr>eyJoZGlkIjoiY2NlNWZjNTQ3OTUyYmY3NWQ5YjNkZmNlZGI2MjQxM2EiLCJ1c2VySWQiOiI0MzgwMjU5ODMifQ==</vt:lpwstr>
  </property>
</Properties>
</file>