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4E7CC3D5">
      <w:pPr>
        <w:jc w:val="center"/>
        <w:rPr>
          <w:rFonts w:hint="eastAsia" w:ascii="宋体" w:hAnsi="宋体"/>
          <w:b/>
          <w:spacing w:val="0"/>
          <w:sz w:val="44"/>
          <w:szCs w:val="44"/>
          <w:lang w:eastAsia="zh-CN"/>
        </w:rPr>
      </w:pPr>
      <w:r>
        <w:rPr>
          <w:rFonts w:hint="eastAsia" w:ascii="宋体" w:hAnsi="宋体"/>
          <w:b/>
          <w:spacing w:val="0"/>
          <w:sz w:val="44"/>
          <w:szCs w:val="44"/>
          <w:lang w:eastAsia="zh-CN"/>
        </w:rPr>
        <w:t>2024年佛子岭镇高岭村耕地恢复及</w:t>
      </w: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流出整改项目</w:t>
      </w:r>
    </w:p>
    <w:p w14:paraId="7A4D8D74">
      <w:pPr>
        <w:pStyle w:val="35"/>
        <w:rPr>
          <w:rFonts w:hint="eastAsia" w:ascii="宋体" w:hAnsi="宋体"/>
          <w:b/>
          <w:spacing w:val="0"/>
          <w:sz w:val="48"/>
          <w:szCs w:val="48"/>
          <w:lang w:eastAsia="zh-CN"/>
        </w:rPr>
      </w:pPr>
    </w:p>
    <w:p w14:paraId="59FB3EA3">
      <w:pPr>
        <w:pStyle w:val="26"/>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项目编号：AHHYZX-2024033</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6"/>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霍山县佛子岭镇高岭村民委员会</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5</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4E2F1C0F">
      <w:pPr>
        <w:pStyle w:val="3"/>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28964"/>
      <w:bookmarkStart w:id="1" w:name="_Toc30186"/>
      <w:bookmarkStart w:id="2" w:name="_Toc216158623"/>
      <w:bookmarkStart w:id="3" w:name="_Toc363199264"/>
    </w:p>
    <w:p w14:paraId="03BE7E7E">
      <w:pPr>
        <w:pStyle w:val="3"/>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2024年佛子岭镇高岭村耕地恢复及流出整改项目</w:t>
      </w:r>
    </w:p>
    <w:p w14:paraId="71C58BC6">
      <w:pPr>
        <w:pStyle w:val="3"/>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竞争性谈判公告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cs="宋体"/>
          <w:sz w:val="24"/>
          <w:szCs w:val="24"/>
          <w:u w:val="single"/>
          <w:lang w:eastAsia="zh-CN"/>
        </w:rPr>
        <w:t>2024年佛子岭镇高岭村耕地恢复及流出整改项目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5</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11</w:t>
      </w:r>
      <w:r>
        <w:rPr>
          <w:rFonts w:hint="eastAsia" w:ascii="宋体" w:hAnsi="宋体" w:eastAsia="宋体" w:cs="宋体"/>
          <w:sz w:val="24"/>
          <w:szCs w:val="24"/>
          <w:lang w:eastAsia="zh-CN"/>
        </w:rPr>
        <w:t>日</w:t>
      </w:r>
      <w:r>
        <w:rPr>
          <w:rFonts w:hint="eastAsia" w:ascii="宋体" w:hAnsi="宋体" w:cs="宋体"/>
          <w:sz w:val="24"/>
          <w:szCs w:val="24"/>
          <w:lang w:val="en-US" w:eastAsia="zh-CN"/>
        </w:rPr>
        <w:t>9</w:t>
      </w:r>
      <w:r>
        <w:rPr>
          <w:rFonts w:hint="eastAsia" w:ascii="宋体" w:hAnsi="宋体" w:eastAsia="宋体" w:cs="宋体"/>
          <w:sz w:val="24"/>
          <w:szCs w:val="24"/>
          <w:lang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lang w:eastAsia="zh-CN"/>
        </w:rPr>
        <w:t>分（北京时间）前提交响应文件。</w:t>
      </w:r>
    </w:p>
    <w:p w14:paraId="43F7D3C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35393629"/>
      <w:bookmarkStart w:id="5" w:name="_Toc28359089"/>
      <w:bookmarkStart w:id="6" w:name="_Toc7777"/>
      <w:bookmarkStart w:id="7" w:name="_Toc35393798"/>
      <w:bookmarkStart w:id="8" w:name="_Toc28359012"/>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2024年佛子岭镇高岭村耕地恢复及流出整改项目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w:t>
      </w:r>
      <w:r>
        <w:rPr>
          <w:rFonts w:hint="eastAsia" w:ascii="宋体" w:hAnsi="宋体" w:cs="宋体"/>
          <w:sz w:val="24"/>
          <w:szCs w:val="24"/>
          <w:lang w:val="en-US" w:eastAsia="zh-CN"/>
        </w:rPr>
        <w:t>AHHYZX-2024033</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、预算金额：</w:t>
      </w:r>
      <w:r>
        <w:rPr>
          <w:rFonts w:hint="eastAsia" w:ascii="宋体" w:hAnsi="宋体" w:cs="宋体"/>
          <w:sz w:val="24"/>
          <w:szCs w:val="24"/>
          <w:highlight w:val="none"/>
          <w:lang w:val="en-US" w:eastAsia="zh-CN"/>
        </w:rPr>
        <w:t>281163.89</w:t>
      </w:r>
      <w:r>
        <w:rPr>
          <w:rFonts w:hint="eastAsia" w:ascii="宋体" w:hAnsi="宋体" w:eastAsia="宋体" w:cs="宋体"/>
          <w:sz w:val="24"/>
          <w:szCs w:val="24"/>
          <w:highlight w:val="none"/>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、最高限价：</w:t>
      </w:r>
      <w:r>
        <w:rPr>
          <w:rFonts w:hint="eastAsia" w:ascii="宋体" w:hAnsi="宋体" w:cs="宋体"/>
          <w:sz w:val="24"/>
          <w:szCs w:val="24"/>
          <w:highlight w:val="none"/>
          <w:lang w:val="en-US" w:eastAsia="zh-CN"/>
        </w:rPr>
        <w:t>281163.89</w:t>
      </w:r>
      <w:r>
        <w:rPr>
          <w:rFonts w:hint="eastAsia" w:ascii="宋体" w:hAnsi="宋体" w:eastAsia="宋体" w:cs="宋体"/>
          <w:sz w:val="24"/>
          <w:szCs w:val="24"/>
          <w:highlight w:val="none"/>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、采购需求：本项目</w:t>
      </w:r>
      <w:bookmarkStart w:id="9" w:name="_Hlk117796205"/>
      <w:r>
        <w:rPr>
          <w:rFonts w:hint="eastAsia" w:ascii="宋体" w:hAnsi="宋体" w:eastAsia="宋体" w:cs="宋体"/>
          <w:sz w:val="24"/>
          <w:szCs w:val="24"/>
          <w:highlight w:val="none"/>
        </w:rPr>
        <w:t>位于</w:t>
      </w:r>
      <w:bookmarkEnd w:id="9"/>
      <w:r>
        <w:rPr>
          <w:rFonts w:hint="eastAsia" w:ascii="宋体" w:hAnsi="宋体" w:cs="宋体"/>
          <w:sz w:val="24"/>
          <w:szCs w:val="24"/>
          <w:highlight w:val="none"/>
          <w:lang w:eastAsia="zh-CN"/>
        </w:rPr>
        <w:t>霍山县佛子岭镇高岭村</w:t>
      </w:r>
      <w:r>
        <w:rPr>
          <w:rFonts w:hint="eastAsia" w:ascii="宋体" w:hAnsi="宋体" w:eastAsia="宋体" w:cs="宋体"/>
          <w:sz w:val="24"/>
          <w:szCs w:val="24"/>
          <w:highlight w:val="none"/>
          <w:lang w:val="en-US" w:eastAsia="zh-CN"/>
        </w:rPr>
        <w:t>，内容</w:t>
      </w:r>
      <w:r>
        <w:rPr>
          <w:rFonts w:hint="eastAsia" w:ascii="宋体" w:hAnsi="宋体" w:cs="宋体"/>
          <w:sz w:val="24"/>
          <w:szCs w:val="24"/>
          <w:highlight w:val="none"/>
          <w:lang w:val="en-US" w:eastAsia="zh-CN"/>
        </w:rPr>
        <w:t>含</w:t>
      </w:r>
      <w:r>
        <w:rPr>
          <w:rFonts w:hint="eastAsia" w:ascii="宋体" w:hAnsi="宋体" w:eastAsia="宋体" w:cs="宋体"/>
          <w:sz w:val="24"/>
          <w:szCs w:val="24"/>
          <w:highlight w:val="none"/>
          <w:lang w:val="en-US" w:eastAsia="zh-CN"/>
        </w:rPr>
        <w:t>场地清理</w:t>
      </w:r>
      <w:r>
        <w:rPr>
          <w:rFonts w:hint="eastAsia" w:ascii="宋体" w:hAnsi="宋体" w:cs="宋体"/>
          <w:sz w:val="24"/>
          <w:szCs w:val="24"/>
          <w:highlight w:val="none"/>
          <w:lang w:val="en-US" w:eastAsia="zh-CN"/>
        </w:rPr>
        <w:t>、人工播种、人工施肥、场地平整、人工清理边沟等</w:t>
      </w:r>
      <w:r>
        <w:rPr>
          <w:rFonts w:hint="eastAsia" w:ascii="宋体" w:hAnsi="宋体" w:eastAsia="宋体" w:cs="宋体"/>
          <w:sz w:val="24"/>
          <w:szCs w:val="24"/>
          <w:highlight w:val="none"/>
          <w:lang w:val="en-US" w:eastAsia="zh-CN"/>
        </w:rPr>
        <w:t>，工程造价约28</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万元</w:t>
      </w:r>
      <w:r>
        <w:rPr>
          <w:rFonts w:hint="eastAsia" w:ascii="宋体" w:hAnsi="宋体" w:cs="宋体"/>
          <w:sz w:val="24"/>
          <w:szCs w:val="24"/>
          <w:highlight w:val="none"/>
          <w:lang w:val="en-US" w:eastAsia="zh-CN"/>
        </w:rPr>
        <w:t>，具体</w:t>
      </w:r>
      <w:r>
        <w:rPr>
          <w:rFonts w:hint="eastAsia" w:ascii="宋体" w:hAnsi="宋体" w:eastAsia="宋体" w:cs="宋体"/>
          <w:sz w:val="24"/>
          <w:szCs w:val="24"/>
          <w:highlight w:val="none"/>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、合同履行期限：</w:t>
      </w:r>
      <w:r>
        <w:rPr>
          <w:rFonts w:hint="eastAsia" w:ascii="宋体" w:hAnsi="宋体" w:cs="宋体"/>
          <w:sz w:val="24"/>
          <w:szCs w:val="24"/>
          <w:highlight w:val="none"/>
          <w:lang w:val="en-US" w:eastAsia="zh-CN"/>
        </w:rPr>
        <w:t>90</w:t>
      </w:r>
      <w:r>
        <w:rPr>
          <w:rFonts w:hint="eastAsia" w:ascii="宋体" w:hAnsi="宋体" w:eastAsia="宋体" w:cs="宋体"/>
          <w:sz w:val="24"/>
          <w:szCs w:val="24"/>
          <w:highlight w:val="none"/>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、是否接受联合体：本项目不接受联合体</w:t>
      </w:r>
    </w:p>
    <w:p w14:paraId="25DEC309">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highlight w:val="none"/>
        </w:rPr>
      </w:pPr>
      <w:bookmarkStart w:id="10" w:name="_Toc35393630"/>
      <w:bookmarkStart w:id="11" w:name="_Toc28359013"/>
      <w:bookmarkStart w:id="12" w:name="_Toc35393799"/>
      <w:bookmarkStart w:id="13" w:name="_Toc11070"/>
      <w:bookmarkStart w:id="14" w:name="_Toc28359090"/>
      <w:r>
        <w:rPr>
          <w:rFonts w:hint="eastAsia" w:ascii="宋体" w:hAnsi="宋体" w:eastAsia="宋体" w:cs="宋体"/>
          <w:b/>
          <w:bCs w:val="0"/>
          <w:sz w:val="24"/>
          <w:szCs w:val="24"/>
          <w:highlight w:val="none"/>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1、满足《中华人民共和国政府采购法》第二十二条规定；</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bookmarkStart w:id="15" w:name="_Toc28359014"/>
      <w:bookmarkStart w:id="16" w:name="_Toc28359091"/>
      <w:r>
        <w:rPr>
          <w:rFonts w:hint="eastAsia" w:ascii="宋体" w:hAnsi="宋体" w:eastAsia="宋体" w:cs="宋体"/>
          <w:sz w:val="24"/>
          <w:szCs w:val="24"/>
          <w:highlight w:val="none"/>
          <w:lang w:val="en-US" w:eastAsia="zh-CN"/>
        </w:rPr>
        <w:t>2、本项目的特定资格要求：供应商具备具有有效的</w:t>
      </w:r>
      <w:r>
        <w:rPr>
          <w:rFonts w:hint="eastAsia" w:ascii="宋体" w:hAnsi="宋体" w:cs="宋体"/>
          <w:sz w:val="24"/>
          <w:szCs w:val="24"/>
          <w:highlight w:val="none"/>
          <w:lang w:val="en-US" w:eastAsia="zh-CN"/>
        </w:rPr>
        <w:t>营业执照</w:t>
      </w:r>
      <w:r>
        <w:rPr>
          <w:rFonts w:hint="eastAsia" w:ascii="宋体" w:hAnsi="宋体" w:eastAsia="宋体" w:cs="宋体"/>
          <w:sz w:val="24"/>
          <w:szCs w:val="24"/>
          <w:highlight w:val="none"/>
          <w:lang w:val="en-US" w:eastAsia="zh-CN"/>
        </w:rPr>
        <w:t>；</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5DAE1517">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35393631"/>
      <w:bookmarkStart w:id="18" w:name="_Toc15899"/>
      <w:bookmarkStart w:id="19" w:name="_Toc35393800"/>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28359092"/>
      <w:bookmarkStart w:id="21" w:name="_Toc13207"/>
      <w:bookmarkStart w:id="22" w:name="_Toc35393632"/>
      <w:bookmarkStart w:id="23" w:name="_Toc28359015"/>
      <w:bookmarkStart w:id="24" w:name="_Toc35393801"/>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28359016"/>
      <w:bookmarkStart w:id="26" w:name="_Toc28359093"/>
      <w:bookmarkStart w:id="27" w:name="_Toc35393802"/>
      <w:bookmarkStart w:id="28" w:name="_Toc35393633"/>
      <w:bookmarkStart w:id="29" w:name="_Toc31128"/>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8359017"/>
      <w:bookmarkStart w:id="31" w:name="_Toc28359094"/>
      <w:bookmarkStart w:id="32" w:name="_Toc35393803"/>
      <w:bookmarkStart w:id="33" w:name="_Toc25132"/>
      <w:bookmarkStart w:id="34" w:name="_Toc35393634"/>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r>
        <w:rPr>
          <w:rFonts w:hint="eastAsia" w:ascii="宋体" w:hAnsi="宋体" w:cs="宋体"/>
          <w:sz w:val="24"/>
          <w:szCs w:val="24"/>
          <w:lang w:val="en-US" w:eastAsia="zh-CN"/>
        </w:rPr>
        <w:t>）</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804"/>
      <w:bookmarkStart w:id="36" w:name="_Toc35393635"/>
      <w:r>
        <w:rPr>
          <w:rFonts w:hint="eastAsia" w:ascii="宋体" w:hAnsi="宋体" w:eastAsia="宋体" w:cs="宋体"/>
          <w:b/>
          <w:bCs w:val="0"/>
          <w:sz w:val="24"/>
          <w:szCs w:val="24"/>
        </w:rPr>
        <w:t>其他事宜</w:t>
      </w:r>
      <w:bookmarkEnd w:id="35"/>
      <w:bookmarkEnd w:id="36"/>
      <w:bookmarkStart w:id="37" w:name="_Toc28359095"/>
      <w:bookmarkStart w:id="38" w:name="_Toc35393805"/>
      <w:bookmarkStart w:id="39" w:name="_Toc35393636"/>
      <w:bookmarkStart w:id="40" w:name="_Toc28359018"/>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35393806"/>
      <w:bookmarkStart w:id="43" w:name="_Toc28359019"/>
      <w:bookmarkStart w:id="44" w:name="_Toc28359096"/>
      <w:bookmarkStart w:id="45" w:name="_Toc35393637"/>
      <w:bookmarkStart w:id="46" w:name="_Toc12167"/>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28359097"/>
      <w:bookmarkStart w:id="48" w:name="_Toc35393807"/>
      <w:bookmarkStart w:id="49" w:name="_Toc35393638"/>
      <w:bookmarkStart w:id="50" w:name="_Toc28359020"/>
      <w:r>
        <w:rPr>
          <w:rFonts w:hint="eastAsia" w:ascii="宋体" w:hAnsi="宋体" w:eastAsia="宋体" w:cs="宋体"/>
          <w:sz w:val="24"/>
          <w:szCs w:val="24"/>
          <w:lang w:val="en-US" w:eastAsia="zh-CN"/>
        </w:rPr>
        <w:t>名称：</w:t>
      </w:r>
      <w:r>
        <w:rPr>
          <w:rFonts w:hint="eastAsia" w:ascii="宋体" w:hAnsi="宋体" w:cs="宋体"/>
          <w:sz w:val="24"/>
          <w:szCs w:val="24"/>
          <w:lang w:val="en-US" w:eastAsia="zh-CN"/>
        </w:rPr>
        <w:t>霍山县佛子岭镇高岭村民委员会</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r>
        <w:rPr>
          <w:rFonts w:hint="eastAsia" w:ascii="宋体" w:hAnsi="宋体" w:cs="宋体"/>
          <w:sz w:val="24"/>
          <w:szCs w:val="24"/>
          <w:highlight w:val="none"/>
          <w:lang w:val="en-US" w:eastAsia="zh-CN"/>
        </w:rPr>
        <w:t>霍山县佛子岭镇高岭村</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程先生 18297466811</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35393808"/>
      <w:bookmarkStart w:id="52" w:name="_Toc35393639"/>
      <w:bookmarkStart w:id="53" w:name="_Toc28359098"/>
      <w:bookmarkStart w:id="54" w:name="_Toc28359021"/>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r>
        <w:rPr>
          <w:rFonts w:hint="eastAsia" w:ascii="宋体" w:hAnsi="宋体" w:eastAsia="宋体" w:cs="宋体"/>
          <w:sz w:val="24"/>
          <w:szCs w:val="24"/>
          <w:lang w:val="en-US" w:eastAsia="zh-CN"/>
        </w:rPr>
        <w:t>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3"/>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3"/>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霍山县佛子岭镇高岭村民委员会</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2024年佛子岭镇高岭村耕地恢复及流出整改项目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AHHYZX-2024033</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highlight w:val="none"/>
                <w:lang w:val="en-US" w:eastAsia="zh-CN"/>
              </w:rPr>
            </w:pPr>
            <w:r>
              <w:rPr>
                <w:rFonts w:hint="eastAsia" w:ascii="宋体" w:hAnsi="宋体" w:cs="宋体"/>
                <w:b w:val="0"/>
                <w:bCs w:val="0"/>
                <w:color w:val="auto"/>
                <w:sz w:val="24"/>
                <w:szCs w:val="24"/>
                <w:highlight w:val="none"/>
                <w:lang w:val="en-US" w:eastAsia="zh-CN"/>
              </w:rPr>
              <w:t>项目验收合格后一次性付清（具体以签订合同为准）。</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highlight w:val="none"/>
              </w:rPr>
            </w:pPr>
            <w:r>
              <w:rPr>
                <w:rFonts w:hint="eastAsia"/>
                <w:b w:val="0"/>
                <w:bCs w:val="0"/>
                <w:color w:val="auto"/>
                <w:sz w:val="24"/>
                <w:szCs w:val="24"/>
                <w:highlight w:val="none"/>
                <w:lang w:val="en-US" w:eastAsia="zh-CN"/>
              </w:rPr>
              <w:t>90日历天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highlight w:val="none"/>
                <w:lang w:val="en-US"/>
              </w:rPr>
            </w:pPr>
            <w:r>
              <w:rPr>
                <w:rFonts w:hint="eastAsia" w:ascii="宋体" w:hAnsi="宋体"/>
                <w:bCs/>
                <w:kern w:val="2"/>
                <w:szCs w:val="24"/>
                <w:highlight w:val="none"/>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highlight w:val="none"/>
                <w:lang w:val="en-US"/>
              </w:rPr>
            </w:pPr>
            <w:r>
              <w:rPr>
                <w:rFonts w:hint="eastAsia" w:ascii="宋体" w:hAnsi="宋体" w:cs="宋体"/>
                <w:bCs/>
                <w:color w:val="auto"/>
                <w:szCs w:val="24"/>
                <w:highlight w:val="none"/>
              </w:rPr>
              <w:t>自竣工验收合格之日起</w:t>
            </w:r>
            <w:r>
              <w:rPr>
                <w:rFonts w:hint="eastAsia" w:ascii="宋体" w:hAnsi="宋体" w:cs="宋体"/>
                <w:bCs/>
                <w:color w:val="auto"/>
                <w:szCs w:val="24"/>
                <w:highlight w:val="none"/>
                <w:lang w:val="en-US" w:eastAsia="zh-CN"/>
              </w:rPr>
              <w:t>1</w:t>
            </w:r>
            <w:r>
              <w:rPr>
                <w:rFonts w:hint="eastAsia" w:ascii="宋体" w:hAnsi="宋体" w:cs="宋体"/>
                <w:bCs/>
                <w:color w:val="auto"/>
                <w:szCs w:val="24"/>
                <w:highlight w:val="none"/>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2BD0DB99">
            <w:pPr>
              <w:keepNext w:val="0"/>
              <w:keepLines w:val="0"/>
              <w:pageBreakBefore w:val="0"/>
              <w:kinsoku/>
              <w:wordWrap/>
              <w:overflowPunct/>
              <w:topLinePunct w:val="0"/>
              <w:bidi w:val="0"/>
              <w:spacing w:line="500" w:lineRule="exact"/>
              <w:ind w:left="2"/>
              <w:textAlignment w:val="auto"/>
              <w:rPr>
                <w:rFonts w:hint="eastAsia" w:ascii="宋体" w:hAnsi="宋体" w:eastAsia="宋体" w:cs="宋体"/>
                <w:color w:val="auto"/>
                <w:szCs w:val="24"/>
                <w:highlight w:val="none"/>
                <w:lang w:eastAsia="zh-CN"/>
              </w:rPr>
            </w:pPr>
            <w:r>
              <w:rPr>
                <w:rFonts w:hint="eastAsia" w:ascii="宋体" w:hAnsi="宋体" w:cs="宋体"/>
                <w:b w:val="0"/>
                <w:bCs w:val="0"/>
                <w:color w:val="auto"/>
                <w:sz w:val="24"/>
                <w:szCs w:val="24"/>
                <w:highlight w:val="none"/>
                <w:lang w:val="en-US" w:eastAsia="zh-CN"/>
              </w:rPr>
              <w:t>无</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w:t>
            </w:r>
            <w:bookmarkStart w:id="109" w:name="_GoBack"/>
            <w:r>
              <w:rPr>
                <w:rFonts w:hint="eastAsia" w:ascii="宋体" w:hAnsi="宋体"/>
                <w:szCs w:val="24"/>
                <w:highlight w:val="yellow"/>
              </w:rPr>
              <w:t>没有按规定分装、标记和密封，</w:t>
            </w:r>
            <w:bookmarkEnd w:id="109"/>
            <w:r>
              <w:rPr>
                <w:rFonts w:hint="eastAsia" w:ascii="宋体" w:hAnsi="宋体"/>
                <w:szCs w:val="24"/>
              </w:rPr>
              <w:t>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1</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hint="eastAsia" w:ascii="宋体" w:hAnsi="宋体" w:cs="宋体"/>
                <w:color w:val="auto"/>
                <w:sz w:val="24"/>
                <w:szCs w:val="24"/>
                <w:lang w:val="en-US" w:eastAsia="zh-CN"/>
              </w:rPr>
              <w:t>2</w:t>
            </w:r>
            <w:r>
              <w:rPr>
                <w:rFonts w:ascii="宋体" w:hAnsi="宋体" w:eastAsia="宋体" w:cs="宋体"/>
                <w:color w:val="auto"/>
                <w:sz w:val="24"/>
                <w:szCs w:val="24"/>
              </w:rPr>
              <w:t>、在工程项目谈判过程中，若供应商最终报价与公布的最高投标限价（控制价）或项目概算相比降幅过小，或供应商最终报价明显缺乏竞争性的，谈判小组可以否决其报价。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3"/>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216158625"/>
      <w:bookmarkStart w:id="62" w:name="_Toc438648662"/>
      <w:bookmarkStart w:id="63" w:name="_Toc363199266"/>
      <w:r>
        <w:rPr>
          <w:rFonts w:hint="eastAsia"/>
        </w:rPr>
        <w:t>见本项目采购公告</w:t>
      </w:r>
    </w:p>
    <w:p w14:paraId="4317B20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（1）营业执照符合采购文件要求；（2）供应商响应报价中清单内容与发布的工程量清单保持一致，未进行实质性修改和删减；（</w:t>
      </w:r>
      <w:r>
        <w:rPr>
          <w:rFonts w:hint="eastAsia" w:ascii="宋体" w:hAnsi="宋体"/>
          <w:b/>
          <w:bCs/>
          <w:sz w:val="24"/>
          <w:szCs w:val="24"/>
          <w:lang w:val="en-US" w:eastAsia="zh-CN"/>
        </w:rPr>
        <w:t>3</w:t>
      </w:r>
      <w:r>
        <w:rPr>
          <w:rFonts w:hint="eastAsia" w:ascii="宋体" w:hAnsi="宋体"/>
          <w:b/>
          <w:bCs/>
          <w:sz w:val="24"/>
          <w:szCs w:val="24"/>
        </w:rPr>
        <w:t>）供应商工程量清单中的暂列金额与暂估价与采购人公布的一致；（</w:t>
      </w:r>
      <w:r>
        <w:rPr>
          <w:rFonts w:hint="eastAsia" w:ascii="宋体" w:hAnsi="宋体"/>
          <w:b/>
          <w:bCs/>
          <w:sz w:val="24"/>
          <w:szCs w:val="24"/>
          <w:lang w:val="en-US" w:eastAsia="zh-CN"/>
        </w:rPr>
        <w:t>4</w:t>
      </w:r>
      <w:r>
        <w:rPr>
          <w:rFonts w:hint="eastAsia" w:ascii="宋体" w:hAnsi="宋体"/>
          <w:b/>
          <w:bCs/>
          <w:sz w:val="24"/>
          <w:szCs w:val="24"/>
        </w:rPr>
        <w:t>）其他要求均符合采购文件规定。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5EDAFA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4E20286F">
      <w:pPr>
        <w:pStyle w:val="26"/>
        <w:rPr>
          <w:rFonts w:hint="eastAsia" w:ascii="宋体" w:hAnsi="宋体"/>
          <w:sz w:val="24"/>
        </w:rPr>
      </w:pPr>
    </w:p>
    <w:p w14:paraId="28D6C0C0">
      <w:pPr>
        <w:rPr>
          <w:rFonts w:hint="eastAsia" w:ascii="宋体" w:hAnsi="宋体"/>
          <w:sz w:val="24"/>
        </w:rPr>
      </w:pPr>
    </w:p>
    <w:p w14:paraId="06FF8F28">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30"/>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0"/>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3"/>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3"/>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3"/>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19"/>
        <w:pageBreakBefore w:val="0"/>
        <w:kinsoku/>
        <w:overflowPunct/>
        <w:topLinePunct w:val="0"/>
        <w:bidi w:val="0"/>
        <w:spacing w:line="500" w:lineRule="exact"/>
        <w:rPr>
          <w:rFonts w:ascii="宋体" w:hAnsi="宋体" w:eastAsia="宋体" w:cs="宋体"/>
          <w:b/>
          <w:bCs/>
          <w:sz w:val="24"/>
        </w:rPr>
      </w:pPr>
    </w:p>
    <w:p w14:paraId="770A6442">
      <w:pPr>
        <w:pStyle w:val="19"/>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3"/>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3"/>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3"/>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jc w:val="center"/>
        <w:rPr>
          <w:rFonts w:ascii="宋体" w:hAnsi="宋体"/>
          <w:szCs w:val="24"/>
        </w:rPr>
      </w:pPr>
      <w:r>
        <w:rPr>
          <w:rFonts w:hint="eastAsia" w:ascii="宋体" w:hAnsi="宋体"/>
          <w:szCs w:val="24"/>
          <w:lang w:eastAsia="zh-CN"/>
        </w:rPr>
        <w:t>注：</w:t>
      </w:r>
      <w:r>
        <w:rPr>
          <w:rFonts w:hint="eastAsia" w:ascii="宋体" w:hAnsi="宋体"/>
          <w:szCs w:val="24"/>
        </w:rPr>
        <w:t>后附营业执照等资料</w:t>
      </w:r>
    </w:p>
    <w:p w14:paraId="2E205966">
      <w:pPr>
        <w:pageBreakBefore w:val="0"/>
        <w:kinsoku/>
        <w:overflowPunct/>
        <w:topLinePunct w:val="0"/>
        <w:bidi w:val="0"/>
        <w:spacing w:line="500" w:lineRule="exact"/>
        <w:jc w:val="center"/>
      </w:pPr>
    </w:p>
    <w:p w14:paraId="11D51063">
      <w:pPr>
        <w:pStyle w:val="3"/>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3D3D1DC4">
      <w:pPr>
        <w:pageBreakBefore w:val="0"/>
        <w:kinsoku/>
        <w:overflowPunct/>
        <w:topLinePunct w:val="0"/>
        <w:bidi w:val="0"/>
        <w:spacing w:line="500" w:lineRule="exact"/>
        <w:rPr>
          <w:rFonts w:hint="eastAsia" w:ascii="宋体" w:hAnsi="宋体" w:cs="宋体"/>
          <w:b/>
          <w:sz w:val="24"/>
          <w:szCs w:val="24"/>
        </w:rPr>
      </w:pPr>
      <w:bookmarkStart w:id="88" w:name="_Toc15172"/>
    </w:p>
    <w:p w14:paraId="5FC59FAE">
      <w:pPr>
        <w:pageBreakBefore w:val="0"/>
        <w:kinsoku/>
        <w:overflowPunct/>
        <w:topLinePunct w:val="0"/>
        <w:bidi w:val="0"/>
        <w:spacing w:line="500" w:lineRule="exact"/>
        <w:rPr>
          <w:rFonts w:hint="eastAsia" w:ascii="宋体" w:hAnsi="宋体" w:cs="宋体"/>
          <w:b/>
          <w:sz w:val="24"/>
          <w:szCs w:val="24"/>
        </w:rPr>
      </w:pPr>
    </w:p>
    <w:p w14:paraId="1DF2EEE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30"/>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3"/>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30"/>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7"/>
        <w:pageBreakBefore w:val="0"/>
        <w:kinsoku/>
        <w:overflowPunct/>
        <w:topLinePunct w:val="0"/>
        <w:bidi w:val="0"/>
        <w:spacing w:line="500" w:lineRule="exact"/>
        <w:rPr>
          <w:rFonts w:hAnsi="宋体" w:cs="宋体"/>
          <w:sz w:val="24"/>
          <w:szCs w:val="24"/>
        </w:rPr>
      </w:pPr>
    </w:p>
    <w:p w14:paraId="7601B36B">
      <w:pPr>
        <w:pStyle w:val="3"/>
        <w:pageBreakBefore w:val="0"/>
        <w:kinsoku/>
        <w:overflowPunct/>
        <w:topLinePunct w:val="0"/>
        <w:bidi w:val="0"/>
        <w:spacing w:before="0" w:after="0" w:line="500" w:lineRule="exact"/>
        <w:rPr>
          <w:rFonts w:ascii="宋体" w:hAnsi="宋体" w:eastAsia="宋体" w:cs="宋体"/>
          <w:sz w:val="24"/>
          <w:szCs w:val="24"/>
        </w:rPr>
      </w:pPr>
    </w:p>
    <w:p w14:paraId="4F137E8C">
      <w:pPr>
        <w:pStyle w:val="3"/>
        <w:pageBreakBefore w:val="0"/>
        <w:kinsoku/>
        <w:overflowPunct/>
        <w:topLinePunct w:val="0"/>
        <w:bidi w:val="0"/>
        <w:spacing w:before="0" w:after="0" w:line="500" w:lineRule="exact"/>
        <w:rPr>
          <w:rFonts w:ascii="宋体" w:hAnsi="宋体" w:eastAsia="宋体" w:cs="宋体"/>
          <w:sz w:val="24"/>
          <w:szCs w:val="24"/>
        </w:rPr>
      </w:pPr>
    </w:p>
    <w:p w14:paraId="7E804189">
      <w:pPr>
        <w:pStyle w:val="3"/>
        <w:pageBreakBefore w:val="0"/>
        <w:kinsoku/>
        <w:overflowPunct/>
        <w:topLinePunct w:val="0"/>
        <w:bidi w:val="0"/>
        <w:spacing w:before="0" w:after="0" w:line="500" w:lineRule="exact"/>
        <w:rPr>
          <w:rFonts w:ascii="宋体" w:hAnsi="宋体" w:eastAsia="宋体" w:cs="宋体"/>
          <w:sz w:val="24"/>
          <w:szCs w:val="24"/>
        </w:rPr>
      </w:pPr>
    </w:p>
    <w:p w14:paraId="44E07512">
      <w:pPr>
        <w:pStyle w:val="3"/>
        <w:pageBreakBefore w:val="0"/>
        <w:kinsoku/>
        <w:overflowPunct/>
        <w:topLinePunct w:val="0"/>
        <w:bidi w:val="0"/>
        <w:spacing w:before="0" w:after="0" w:line="500" w:lineRule="exact"/>
        <w:rPr>
          <w:rFonts w:ascii="宋体" w:hAnsi="宋体" w:eastAsia="宋体" w:cs="宋体"/>
          <w:sz w:val="24"/>
          <w:szCs w:val="24"/>
        </w:rPr>
      </w:pPr>
    </w:p>
    <w:p w14:paraId="113CFF47">
      <w:pPr>
        <w:pStyle w:val="3"/>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4"/>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3"/>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3"/>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3"/>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25238"/>
      <w:bookmarkStart w:id="98" w:name="_Toc11166"/>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4"/>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3"/>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3"/>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17674E4C">
      <w:pPr>
        <w:pStyle w:val="3"/>
        <w:pageBreakBefore w:val="0"/>
        <w:kinsoku/>
        <w:overflowPunct/>
        <w:topLinePunct w:val="0"/>
        <w:bidi w:val="0"/>
        <w:spacing w:before="0" w:after="0" w:line="50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28850"/>
      <w:bookmarkStart w:id="106" w:name="_Toc19723"/>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30"/>
        <w:rPr>
          <w:rFonts w:hint="default"/>
          <w:lang w:val="en-US" w:eastAsia="zh-CN"/>
        </w:rPr>
      </w:pPr>
    </w:p>
    <w:p w14:paraId="1D8B1C78">
      <w:pPr>
        <w:pStyle w:val="30"/>
        <w:rPr>
          <w:rFonts w:hint="default"/>
          <w:lang w:val="en-US" w:eastAsia="zh-CN"/>
        </w:rPr>
      </w:pPr>
    </w:p>
    <w:bookmarkEnd w:id="103"/>
    <w:p w14:paraId="3A667222">
      <w:pPr>
        <w:pStyle w:val="3"/>
        <w:pageBreakBefore w:val="0"/>
        <w:kinsoku/>
        <w:overflowPunct/>
        <w:topLinePunct w:val="0"/>
        <w:bidi w:val="0"/>
        <w:spacing w:before="0" w:after="0" w:line="500" w:lineRule="exact"/>
        <w:rPr>
          <w:rStyle w:val="116"/>
          <w:rFonts w:ascii="宋体" w:hAnsi="宋体" w:eastAsia="宋体" w:cs="宋体"/>
          <w:b/>
          <w:sz w:val="24"/>
          <w:szCs w:val="24"/>
        </w:rPr>
      </w:pPr>
      <w:bookmarkStart w:id="107" w:name="_Toc23763"/>
      <w:bookmarkStart w:id="108" w:name="_Toc5314"/>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w:t>
      </w:r>
      <w:r>
        <w:rPr>
          <w:rFonts w:hint="eastAsia" w:ascii="宋体" w:hAnsi="宋体" w:eastAsia="宋体" w:cs="宋体"/>
          <w:b/>
          <w:color w:val="auto"/>
          <w:sz w:val="24"/>
          <w:szCs w:val="24"/>
          <w:highlight w:val="none"/>
        </w:rPr>
        <w:t>（勿需装订在谈判文件内）</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E4411CA-1A32-476E-922E-60D09A7F3212}"/>
  </w:font>
  <w:font w:name="黑体">
    <w:panose1 w:val="02010609060101010101"/>
    <w:charset w:val="86"/>
    <w:family w:val="auto"/>
    <w:pitch w:val="default"/>
    <w:sig w:usb0="800002BF" w:usb1="38CF7CFA" w:usb2="00000016" w:usb3="00000000" w:csb0="00040001" w:csb1="00000000"/>
    <w:embedRegular r:id="rId2" w:fontKey="{0672AA57-9FD6-49EF-8B10-EAE3949FDC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05BB62D-E881-4414-91BB-E2BD94879E11}"/>
  </w:font>
  <w:font w:name="仿宋_GB2312">
    <w:panose1 w:val="02010609030101010101"/>
    <w:charset w:val="86"/>
    <w:family w:val="auto"/>
    <w:pitch w:val="default"/>
    <w:sig w:usb0="00000001" w:usb1="080E0000" w:usb2="00000000" w:usb3="00000000" w:csb0="00040000" w:csb1="00000000"/>
    <w:embedRegular r:id="rId4" w:fontKey="{34427DDA-572C-4784-B516-4C7A3CE3DBF9}"/>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9027E373-283C-4407-9123-5FEEE9399A03}"/>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C543D415-9F1B-47A8-A500-F42868E6696D}"/>
  </w:font>
  <w:font w:name="华文中宋">
    <w:panose1 w:val="02010600040101010101"/>
    <w:charset w:val="86"/>
    <w:family w:val="auto"/>
    <w:pitch w:val="default"/>
    <w:sig w:usb0="00000287" w:usb1="080F0000" w:usb2="00000000" w:usb3="00000000" w:csb0="0004009F" w:csb1="DFD70000"/>
    <w:embedRegular r:id="rId7" w:fontKey="{D8183F53-DDD1-4B15-8B6D-882D14E6ED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B0113"/>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6E6226"/>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0DC3279"/>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8F527E"/>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BE9375C"/>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B80978"/>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B1429E"/>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9F446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9333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162CA"/>
    <w:rsid w:val="59795EEC"/>
    <w:rsid w:val="59BD375F"/>
    <w:rsid w:val="59C812C8"/>
    <w:rsid w:val="5A3572F7"/>
    <w:rsid w:val="5A3E3CD2"/>
    <w:rsid w:val="5A435D8A"/>
    <w:rsid w:val="5A536A85"/>
    <w:rsid w:val="5BBC1D09"/>
    <w:rsid w:val="5C34380B"/>
    <w:rsid w:val="5C441E45"/>
    <w:rsid w:val="5CBA4C19"/>
    <w:rsid w:val="5D194289"/>
    <w:rsid w:val="5D8C2B4C"/>
    <w:rsid w:val="5DC32E71"/>
    <w:rsid w:val="5DE35D38"/>
    <w:rsid w:val="5E402B64"/>
    <w:rsid w:val="5E473A9D"/>
    <w:rsid w:val="5E94654C"/>
    <w:rsid w:val="5F001951"/>
    <w:rsid w:val="5F1F46E3"/>
    <w:rsid w:val="5F6E1DF3"/>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1F1B6D"/>
    <w:rsid w:val="6734799D"/>
    <w:rsid w:val="673F6E25"/>
    <w:rsid w:val="680622D3"/>
    <w:rsid w:val="686C2F70"/>
    <w:rsid w:val="68A67F29"/>
    <w:rsid w:val="68BB130F"/>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346B1A"/>
    <w:rsid w:val="6D616AB2"/>
    <w:rsid w:val="6DD54955"/>
    <w:rsid w:val="6E4932E5"/>
    <w:rsid w:val="6E993829"/>
    <w:rsid w:val="6EB71B5D"/>
    <w:rsid w:val="6EBE56B6"/>
    <w:rsid w:val="6F447A17"/>
    <w:rsid w:val="6F7601FC"/>
    <w:rsid w:val="6F773253"/>
    <w:rsid w:val="6F7E1A3C"/>
    <w:rsid w:val="6FD11419"/>
    <w:rsid w:val="7017480F"/>
    <w:rsid w:val="704217E5"/>
    <w:rsid w:val="7076354C"/>
    <w:rsid w:val="707E56F3"/>
    <w:rsid w:val="70F6444B"/>
    <w:rsid w:val="71152000"/>
    <w:rsid w:val="71951D13"/>
    <w:rsid w:val="71B92881"/>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autoRedefine/>
    <w:qFormat/>
    <w:uiPriority w:val="0"/>
    <w:pPr>
      <w:keepNext/>
      <w:outlineLvl w:val="0"/>
    </w:pPr>
    <w:rPr>
      <w:sz w:val="28"/>
      <w:szCs w:val="24"/>
    </w:rPr>
  </w:style>
  <w:style w:type="paragraph" w:styleId="3">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87"/>
    <w:autoRedefine/>
    <w:qFormat/>
    <w:uiPriority w:val="0"/>
    <w:pPr>
      <w:shd w:val="clear" w:color="auto" w:fill="000080"/>
    </w:pPr>
  </w:style>
  <w:style w:type="paragraph" w:styleId="8">
    <w:name w:val="annotation text"/>
    <w:basedOn w:val="1"/>
    <w:link w:val="81"/>
    <w:semiHidden/>
    <w:qFormat/>
    <w:uiPriority w:val="99"/>
    <w:pPr>
      <w:jc w:val="left"/>
    </w:pPr>
  </w:style>
  <w:style w:type="paragraph" w:styleId="9">
    <w:name w:val="Body Text 3"/>
    <w:basedOn w:val="1"/>
    <w:link w:val="101"/>
    <w:autoRedefine/>
    <w:unhideWhenUsed/>
    <w:qFormat/>
    <w:uiPriority w:val="99"/>
    <w:pPr>
      <w:spacing w:after="120"/>
    </w:pPr>
    <w:rPr>
      <w:rFonts w:ascii="Calibri" w:hAnsi="Calibri"/>
      <w:sz w:val="16"/>
      <w:szCs w:val="16"/>
      <w:lang w:val="zh-CN"/>
    </w:rPr>
  </w:style>
  <w:style w:type="paragraph" w:styleId="10">
    <w:name w:val="Body Text"/>
    <w:basedOn w:val="1"/>
    <w:next w:val="11"/>
    <w:link w:val="76"/>
    <w:autoRedefine/>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next w:val="14"/>
    <w:link w:val="65"/>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4"/>
    <w:autoRedefine/>
    <w:qFormat/>
    <w:uiPriority w:val="0"/>
    <w:rPr>
      <w:rFonts w:ascii="Arial" w:hAnsi="Arial" w:eastAsia="楷体_GB2312"/>
      <w:sz w:val="28"/>
    </w:rPr>
  </w:style>
  <w:style w:type="paragraph" w:styleId="20">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8"/>
    <w:autoRedefine/>
    <w:qFormat/>
    <w:uiPriority w:val="0"/>
    <w:rPr>
      <w:sz w:val="18"/>
      <w:szCs w:val="18"/>
    </w:rPr>
  </w:style>
  <w:style w:type="paragraph" w:styleId="22">
    <w:name w:val="footer"/>
    <w:basedOn w:val="1"/>
    <w:link w:val="59"/>
    <w:autoRedefine/>
    <w:unhideWhenUsed/>
    <w:qFormat/>
    <w:uiPriority w:val="99"/>
    <w:pPr>
      <w:tabs>
        <w:tab w:val="center" w:pos="4153"/>
        <w:tab w:val="right" w:pos="8306"/>
      </w:tabs>
      <w:snapToGrid w:val="0"/>
      <w:jc w:val="left"/>
    </w:pPr>
    <w:rPr>
      <w:sz w:val="18"/>
      <w:szCs w:val="18"/>
    </w:rPr>
  </w:style>
  <w:style w:type="paragraph" w:styleId="23">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2"/>
    <w:autoRedefine/>
    <w:semiHidden/>
    <w:qFormat/>
    <w:uiPriority w:val="99"/>
    <w:rPr>
      <w:b/>
      <w:bCs/>
    </w:rPr>
  </w:style>
  <w:style w:type="paragraph" w:styleId="35">
    <w:name w:val="Body Text First Indent"/>
    <w:basedOn w:val="10"/>
    <w:next w:val="26"/>
    <w:unhideWhenUsed/>
    <w:qFormat/>
    <w:uiPriority w:val="99"/>
    <w:pPr>
      <w:spacing w:line="400" w:lineRule="atLeast"/>
      <w:ind w:firstLine="426"/>
    </w:pPr>
    <w:rPr>
      <w:sz w:val="24"/>
      <w:szCs w:val="20"/>
    </w:rPr>
  </w:style>
  <w:style w:type="paragraph" w:styleId="36">
    <w:name w:val="Body Text First Indent 2"/>
    <w:basedOn w:val="13"/>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3"/>
    <w:autoRedefine/>
    <w:qFormat/>
    <w:uiPriority w:val="0"/>
    <w:rPr>
      <w:sz w:val="18"/>
      <w:szCs w:val="18"/>
    </w:rPr>
  </w:style>
  <w:style w:type="character" w:customStyle="1" w:styleId="59">
    <w:name w:val="页脚 字符"/>
    <w:basedOn w:val="39"/>
    <w:link w:val="22"/>
    <w:autoRedefine/>
    <w:qFormat/>
    <w:uiPriority w:val="0"/>
    <w:rPr>
      <w:sz w:val="18"/>
      <w:szCs w:val="18"/>
    </w:rPr>
  </w:style>
  <w:style w:type="character" w:customStyle="1" w:styleId="60">
    <w:name w:val="标题 1 字符"/>
    <w:basedOn w:val="39"/>
    <w:link w:val="2"/>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5"/>
    <w:autoRedefine/>
    <w:qFormat/>
    <w:uiPriority w:val="0"/>
    <w:rPr>
      <w:rFonts w:ascii="Arial" w:hAnsi="Arial" w:eastAsia="黑体" w:cs="Times New Roman"/>
      <w:b/>
      <w:kern w:val="0"/>
      <w:sz w:val="28"/>
      <w:szCs w:val="20"/>
    </w:rPr>
  </w:style>
  <w:style w:type="character" w:customStyle="1" w:styleId="64">
    <w:name w:val="日期 字符"/>
    <w:basedOn w:val="39"/>
    <w:link w:val="19"/>
    <w:autoRedefine/>
    <w:qFormat/>
    <w:uiPriority w:val="0"/>
    <w:rPr>
      <w:rFonts w:ascii="Arial" w:hAnsi="Arial" w:eastAsia="楷体_GB2312" w:cs="Times New Roman"/>
      <w:sz w:val="28"/>
      <w:szCs w:val="20"/>
    </w:rPr>
  </w:style>
  <w:style w:type="character" w:customStyle="1" w:styleId="65">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7"/>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0"/>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1"/>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8"/>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7"/>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3"/>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9611</Words>
  <Characters>10191</Characters>
  <Lines>294</Lines>
  <Paragraphs>82</Paragraphs>
  <TotalTime>4</TotalTime>
  <ScaleCrop>false</ScaleCrop>
  <LinksUpToDate>false</LinksUpToDate>
  <CharactersWithSpaces>11130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Administrator</cp:lastModifiedBy>
  <cp:lastPrinted>2025-04-09T00:29:29Z</cp:lastPrinted>
  <dcterms:modified xsi:type="dcterms:W3CDTF">2025-04-09T00:29:40Z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0F91DF31B20842F794856516BA3C2BB1</vt:lpwstr>
  </property>
  <property fmtid="{D5CDD505-2E9C-101B-9397-08002B2CF9AE}" pid="4" name="KSOTemplateDocerSaveRecord">
    <vt:lpwstr>eyJoZGlkIjoiNWUwMWI5YmJmY2Y0NTYxYzI5ODYzNmM5YTg1ZWMyYWIiLCJ1c2VySWQiOiI0MzgwMjU5ODMifQ==</vt:lpwstr>
  </property>
</Properties>
</file>