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8064">
      <w:pPr>
        <w:spacing w:line="360" w:lineRule="auto"/>
        <w:jc w:val="center"/>
        <w:rPr>
          <w:rFonts w:ascii="宋体" w:hAnsi="宋体"/>
          <w:b/>
          <w:sz w:val="22"/>
          <w:szCs w:val="22"/>
        </w:rPr>
      </w:pPr>
    </w:p>
    <w:p w14:paraId="2F3349CD">
      <w:pPr>
        <w:spacing w:line="720" w:lineRule="auto"/>
        <w:jc w:val="center"/>
        <w:rPr>
          <w:rFonts w:hint="eastAsia" w:ascii="宋体" w:hAnsi="宋体"/>
          <w:b/>
          <w:sz w:val="48"/>
          <w:szCs w:val="48"/>
          <w:lang w:val="en-US" w:eastAsia="zh-CN"/>
        </w:rPr>
      </w:pPr>
      <w:r>
        <w:rPr>
          <w:rFonts w:hint="eastAsia" w:ascii="宋体" w:hAnsi="宋体"/>
          <w:b/>
          <w:sz w:val="48"/>
          <w:szCs w:val="48"/>
          <w:lang w:val="en-US" w:eastAsia="zh-CN"/>
        </w:rPr>
        <w:t>霍山县2025年城市体检项目</w:t>
      </w:r>
    </w:p>
    <w:p w14:paraId="01FA2D36">
      <w:pPr>
        <w:jc w:val="center"/>
        <w:rPr>
          <w:rFonts w:ascii="宋体" w:hAnsi="宋体"/>
          <w:b/>
          <w:sz w:val="32"/>
          <w:szCs w:val="32"/>
        </w:rPr>
      </w:pPr>
    </w:p>
    <w:p w14:paraId="0922A9EA">
      <w:pPr>
        <w:jc w:val="center"/>
        <w:rPr>
          <w:rFonts w:ascii="宋体" w:hAnsi="宋体"/>
          <w:b/>
          <w:sz w:val="32"/>
          <w:szCs w:val="32"/>
        </w:rPr>
      </w:pPr>
    </w:p>
    <w:p w14:paraId="2D777AF6">
      <w:pPr>
        <w:spacing w:line="720" w:lineRule="auto"/>
        <w:jc w:val="center"/>
        <w:rPr>
          <w:rFonts w:ascii="宋体" w:hAnsi="宋体"/>
          <w:b/>
          <w:sz w:val="48"/>
          <w:szCs w:val="48"/>
        </w:rPr>
      </w:pPr>
      <w:r>
        <w:rPr>
          <w:rFonts w:hint="eastAsia" w:ascii="宋体" w:hAnsi="宋体"/>
          <w:b/>
          <w:sz w:val="48"/>
          <w:szCs w:val="48"/>
        </w:rPr>
        <w:t>竞</w:t>
      </w:r>
    </w:p>
    <w:p w14:paraId="5A67E244">
      <w:pPr>
        <w:spacing w:line="720" w:lineRule="auto"/>
        <w:jc w:val="center"/>
        <w:rPr>
          <w:rFonts w:ascii="宋体" w:hAnsi="宋体"/>
          <w:b/>
          <w:sz w:val="48"/>
          <w:szCs w:val="48"/>
        </w:rPr>
      </w:pPr>
      <w:r>
        <w:rPr>
          <w:rFonts w:hint="eastAsia" w:ascii="宋体" w:hAnsi="宋体"/>
          <w:b/>
          <w:sz w:val="48"/>
          <w:szCs w:val="48"/>
        </w:rPr>
        <w:t>争</w:t>
      </w:r>
    </w:p>
    <w:p w14:paraId="73D1F6DA">
      <w:pPr>
        <w:spacing w:line="720" w:lineRule="auto"/>
        <w:jc w:val="center"/>
        <w:rPr>
          <w:rFonts w:ascii="宋体" w:hAnsi="宋体"/>
          <w:b/>
          <w:sz w:val="48"/>
          <w:szCs w:val="48"/>
        </w:rPr>
      </w:pPr>
      <w:r>
        <w:rPr>
          <w:rFonts w:hint="eastAsia" w:ascii="宋体" w:hAnsi="宋体"/>
          <w:b/>
          <w:sz w:val="48"/>
          <w:szCs w:val="48"/>
        </w:rPr>
        <w:t>性</w:t>
      </w:r>
    </w:p>
    <w:p w14:paraId="0ABD259A">
      <w:pPr>
        <w:spacing w:line="720" w:lineRule="auto"/>
        <w:jc w:val="center"/>
        <w:rPr>
          <w:rFonts w:ascii="宋体" w:hAnsi="宋体"/>
          <w:b/>
          <w:sz w:val="48"/>
          <w:szCs w:val="48"/>
        </w:rPr>
      </w:pPr>
      <w:r>
        <w:rPr>
          <w:rFonts w:hint="eastAsia" w:ascii="宋体" w:hAnsi="宋体"/>
          <w:b/>
          <w:sz w:val="48"/>
          <w:szCs w:val="48"/>
        </w:rPr>
        <w:t>谈</w:t>
      </w:r>
    </w:p>
    <w:p w14:paraId="244171C8">
      <w:pPr>
        <w:spacing w:line="720" w:lineRule="auto"/>
        <w:jc w:val="center"/>
        <w:rPr>
          <w:sz w:val="20"/>
          <w:szCs w:val="18"/>
        </w:rPr>
      </w:pPr>
      <w:r>
        <w:rPr>
          <w:rFonts w:hint="eastAsia" w:ascii="宋体" w:hAnsi="宋体"/>
          <w:b/>
          <w:sz w:val="48"/>
          <w:szCs w:val="48"/>
        </w:rPr>
        <w:t>判</w:t>
      </w:r>
    </w:p>
    <w:p w14:paraId="31222647">
      <w:pPr>
        <w:spacing w:line="720" w:lineRule="auto"/>
        <w:jc w:val="center"/>
        <w:rPr>
          <w:rFonts w:ascii="宋体" w:hAnsi="宋体"/>
          <w:b/>
          <w:sz w:val="48"/>
          <w:szCs w:val="48"/>
        </w:rPr>
      </w:pPr>
      <w:r>
        <w:rPr>
          <w:rFonts w:hint="eastAsia" w:ascii="宋体" w:hAnsi="宋体"/>
          <w:b/>
          <w:sz w:val="48"/>
          <w:szCs w:val="48"/>
        </w:rPr>
        <w:t>文</w:t>
      </w:r>
    </w:p>
    <w:p w14:paraId="2D41F3D3">
      <w:pPr>
        <w:spacing w:line="720" w:lineRule="auto"/>
        <w:jc w:val="center"/>
        <w:rPr>
          <w:rFonts w:ascii="宋体" w:hAnsi="宋体"/>
          <w:b/>
          <w:sz w:val="52"/>
          <w:szCs w:val="52"/>
        </w:rPr>
      </w:pPr>
      <w:r>
        <w:rPr>
          <w:rFonts w:hint="eastAsia" w:ascii="宋体" w:hAnsi="宋体"/>
          <w:b/>
          <w:sz w:val="48"/>
          <w:szCs w:val="48"/>
        </w:rPr>
        <w:t>件</w:t>
      </w:r>
    </w:p>
    <w:p w14:paraId="7F5B6E4D">
      <w:pPr>
        <w:pStyle w:val="33"/>
        <w:ind w:left="0" w:leftChars="0" w:firstLine="0" w:firstLineChars="0"/>
      </w:pPr>
    </w:p>
    <w:p w14:paraId="3829BB6D">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p>
    <w:p w14:paraId="4AB90B9C">
      <w:pPr>
        <w:tabs>
          <w:tab w:val="left" w:pos="2410"/>
        </w:tabs>
        <w:autoSpaceDE w:val="0"/>
        <w:autoSpaceDN w:val="0"/>
        <w:adjustRightInd w:val="0"/>
        <w:snapToGrid w:val="0"/>
        <w:spacing w:line="600" w:lineRule="exact"/>
        <w:ind w:left="1050" w:leftChars="500" w:firstLine="1030" w:firstLineChars="300"/>
        <w:jc w:val="left"/>
        <w:rPr>
          <w:rFonts w:hint="eastAsia" w:ascii="宋体" w:hAnsi="宋体" w:eastAsia="宋体" w:cs="宋体"/>
          <w:b/>
          <w:color w:val="000000"/>
          <w:spacing w:val="23"/>
          <w:sz w:val="32"/>
          <w:szCs w:val="32"/>
          <w:lang w:eastAsia="zh-CN"/>
        </w:rPr>
      </w:pPr>
      <w:r>
        <w:rPr>
          <w:rFonts w:hint="eastAsia" w:ascii="宋体" w:hAnsi="DotumChe" w:cs="宋体"/>
          <w:b/>
          <w:spacing w:val="11"/>
          <w:kern w:val="0"/>
          <w:sz w:val="32"/>
          <w:szCs w:val="32"/>
        </w:rPr>
        <w:t>项目编号：</w:t>
      </w:r>
      <w:r>
        <w:rPr>
          <w:rFonts w:hint="eastAsia" w:ascii="宋体" w:hAnsi="宋体" w:cs="宋体"/>
          <w:b/>
          <w:color w:val="000000"/>
          <w:spacing w:val="23"/>
          <w:sz w:val="32"/>
          <w:szCs w:val="32"/>
          <w:lang w:eastAsia="zh-CN"/>
        </w:rPr>
        <w:t>HYZX-2025-0701</w:t>
      </w:r>
    </w:p>
    <w:p w14:paraId="1519A626">
      <w:pPr>
        <w:tabs>
          <w:tab w:val="left" w:pos="2410"/>
        </w:tabs>
        <w:autoSpaceDE w:val="0"/>
        <w:autoSpaceDN w:val="0"/>
        <w:adjustRightInd w:val="0"/>
        <w:snapToGrid w:val="0"/>
        <w:spacing w:line="600" w:lineRule="exact"/>
        <w:ind w:left="1050" w:leftChars="500" w:firstLine="1030" w:firstLineChars="300"/>
        <w:jc w:val="left"/>
        <w:rPr>
          <w:rFonts w:ascii="宋体" w:hAnsi="DotumChe" w:cs="宋体"/>
          <w:b/>
          <w:spacing w:val="11"/>
          <w:kern w:val="0"/>
          <w:sz w:val="32"/>
          <w:szCs w:val="32"/>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val="en-US" w:eastAsia="zh-CN"/>
        </w:rPr>
        <w:t>霍山县住房和城乡建设局</w:t>
      </w:r>
    </w:p>
    <w:p w14:paraId="6C84C85C">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z w:val="32"/>
          <w:szCs w:val="32"/>
        </w:rPr>
      </w:pPr>
      <w:r>
        <w:rPr>
          <w:rFonts w:hint="eastAsia" w:ascii="宋体" w:hAnsi="DotumChe" w:cs="宋体"/>
          <w:b/>
          <w:spacing w:val="11"/>
          <w:kern w:val="0"/>
          <w:sz w:val="32"/>
          <w:szCs w:val="32"/>
        </w:rPr>
        <w:t>采购代理机构：</w:t>
      </w:r>
      <w:r>
        <w:rPr>
          <w:rFonts w:hint="eastAsia" w:ascii="宋体" w:hAnsi="宋体" w:cs="宋体"/>
          <w:b/>
          <w:color w:val="000000"/>
          <w:sz w:val="32"/>
          <w:szCs w:val="32"/>
        </w:rPr>
        <w:t>安徽衡宇工程咨询有限公司</w:t>
      </w:r>
    </w:p>
    <w:p w14:paraId="431D8654">
      <w:pPr>
        <w:tabs>
          <w:tab w:val="left" w:pos="2410"/>
        </w:tabs>
        <w:autoSpaceDE w:val="0"/>
        <w:autoSpaceDN w:val="0"/>
        <w:adjustRightInd w:val="0"/>
        <w:snapToGrid w:val="0"/>
        <w:spacing w:line="600" w:lineRule="exact"/>
        <w:ind w:left="1050" w:leftChars="500" w:firstLine="1030" w:firstLineChars="300"/>
        <w:jc w:val="left"/>
        <w:rPr>
          <w:rFonts w:ascii="仿宋" w:hAnsi="仿宋" w:eastAsia="仿宋" w:cs="仿宋"/>
          <w:sz w:val="36"/>
          <w:szCs w:val="36"/>
        </w:rPr>
      </w:pPr>
      <w:r>
        <w:rPr>
          <w:rFonts w:hint="eastAsia" w:ascii="宋体" w:hAnsi="DotumChe" w:cs="宋体"/>
          <w:b/>
          <w:spacing w:val="11"/>
          <w:kern w:val="0"/>
          <w:sz w:val="32"/>
          <w:szCs w:val="32"/>
        </w:rPr>
        <w:t>采购时间：</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5</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07</w:t>
      </w:r>
      <w:r>
        <w:rPr>
          <w:rFonts w:hint="eastAsia" w:ascii="宋体" w:hAnsi="宋体" w:cs="宋体"/>
          <w:b/>
          <w:color w:val="000000"/>
          <w:sz w:val="32"/>
          <w:szCs w:val="32"/>
        </w:rPr>
        <w:t>月</w:t>
      </w:r>
    </w:p>
    <w:p w14:paraId="5114CD0B">
      <w:pPr>
        <w:pStyle w:val="33"/>
      </w:pPr>
    </w:p>
    <w:p w14:paraId="7124F5AE">
      <w:pPr>
        <w:pStyle w:val="3"/>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5" w:type="first"/>
          <w:footerReference r:id="rId4" w:type="default"/>
          <w:pgSz w:w="11906" w:h="16838"/>
          <w:pgMar w:top="1440" w:right="1080" w:bottom="1440" w:left="1080" w:header="851" w:footer="992" w:gutter="0"/>
          <w:pgNumType w:fmt="decimal" w:start="1"/>
          <w:cols w:space="720" w:num="1"/>
          <w:titlePg/>
          <w:docGrid w:type="lines" w:linePitch="312" w:charSpace="0"/>
        </w:sectPr>
      </w:pPr>
    </w:p>
    <w:p w14:paraId="5DBC4EFD">
      <w:pPr>
        <w:pStyle w:val="3"/>
        <w:spacing w:before="120" w:beforeLines="50" w:after="120" w:afterLines="50" w:line="520" w:lineRule="exact"/>
        <w:jc w:val="center"/>
        <w:rPr>
          <w:rFonts w:ascii="华文中宋" w:hAnsi="华文中宋" w:eastAsia="华文中宋" w:cs="华文中宋"/>
          <w:b w:val="0"/>
          <w:bCs/>
          <w:sz w:val="40"/>
          <w:szCs w:val="40"/>
        </w:rPr>
      </w:pPr>
      <w:bookmarkStart w:id="0" w:name="_Toc13779"/>
      <w:bookmarkStart w:id="1" w:name="_Toc30186"/>
      <w:bookmarkStart w:id="2" w:name="_Toc216158623"/>
      <w:bookmarkStart w:id="3" w:name="_Toc363199264"/>
      <w:r>
        <w:rPr>
          <w:rFonts w:hint="eastAsia" w:ascii="华文中宋" w:hAnsi="华文中宋" w:eastAsia="华文中宋" w:cs="华文中宋"/>
          <w:b w:val="0"/>
          <w:bCs/>
          <w:sz w:val="40"/>
          <w:szCs w:val="40"/>
          <w:lang w:val="en-US" w:eastAsia="zh-CN"/>
        </w:rPr>
        <w:t>霍山县2025年城市体检项目</w:t>
      </w:r>
      <w:r>
        <w:rPr>
          <w:rFonts w:hint="eastAsia" w:ascii="华文中宋" w:hAnsi="华文中宋" w:eastAsia="华文中宋" w:cs="华文中宋"/>
          <w:b w:val="0"/>
          <w:bCs/>
          <w:sz w:val="40"/>
          <w:szCs w:val="40"/>
        </w:rPr>
        <w:t>竞争性谈判公告</w:t>
      </w:r>
      <w:bookmarkEnd w:id="0"/>
      <w:bookmarkEnd w:id="1"/>
    </w:p>
    <w:p w14:paraId="578F5FA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cs="宋体"/>
          <w:sz w:val="24"/>
          <w:szCs w:val="24"/>
          <w:u w:val="single"/>
          <w:lang w:val="en-US" w:eastAsia="zh-CN"/>
        </w:rPr>
        <w:t>霍山县2025年城市体检项目</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项目编号：</w:t>
      </w:r>
      <w:r>
        <w:rPr>
          <w:rFonts w:hint="eastAsia" w:ascii="宋体" w:hAnsi="宋体" w:cs="宋体"/>
          <w:sz w:val="24"/>
          <w:szCs w:val="24"/>
          <w:u w:val="single"/>
          <w:lang w:eastAsia="zh-CN"/>
        </w:rPr>
        <w:t>HYZX-2025-0701</w:t>
      </w:r>
      <w:r>
        <w:rPr>
          <w:rFonts w:hint="eastAsia" w:ascii="宋体" w:hAnsi="宋体" w:eastAsia="宋体" w:cs="宋体"/>
          <w:sz w:val="24"/>
          <w:szCs w:val="24"/>
          <w:u w:val="single"/>
        </w:rPr>
        <w:t>）</w:t>
      </w:r>
      <w:r>
        <w:rPr>
          <w:rFonts w:hint="eastAsia" w:ascii="宋体" w:hAnsi="宋体" w:eastAsia="宋体" w:cs="宋体"/>
          <w:sz w:val="24"/>
          <w:szCs w:val="24"/>
          <w:lang w:eastAsia="zh-CN"/>
        </w:rPr>
        <w:t>收到</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邀请函的</w:t>
      </w:r>
      <w:r>
        <w:rPr>
          <w:rFonts w:hint="eastAsia" w:ascii="宋体" w:hAnsi="宋体" w:eastAsia="宋体" w:cs="宋体"/>
          <w:sz w:val="24"/>
          <w:szCs w:val="24"/>
        </w:rPr>
        <w:t>供应商应在六安市公共资源交易电子服务系统（</w:t>
      </w:r>
      <w:r>
        <w:rPr>
          <w:rFonts w:hint="eastAsia" w:ascii="宋体" w:hAnsi="宋体" w:eastAsia="宋体" w:cs="宋体"/>
          <w:color w:val="auto"/>
          <w:sz w:val="24"/>
          <w:szCs w:val="24"/>
          <w:u w:val="none"/>
        </w:rPr>
        <w:t>http://gg</w:t>
      </w:r>
      <w:r>
        <w:rPr>
          <w:rFonts w:hint="eastAsia" w:ascii="宋体" w:hAnsi="宋体" w:eastAsia="宋体" w:cs="宋体"/>
          <w:color w:val="auto"/>
          <w:sz w:val="24"/>
          <w:szCs w:val="24"/>
          <w:highlight w:val="none"/>
          <w:u w:val="none"/>
        </w:rPr>
        <w:t>zy.luan.gov.cn）</w:t>
      </w:r>
      <w:r>
        <w:rPr>
          <w:rFonts w:hint="eastAsia" w:ascii="宋体" w:hAnsi="宋体" w:eastAsia="宋体" w:cs="宋体"/>
          <w:color w:val="auto"/>
          <w:sz w:val="24"/>
          <w:szCs w:val="24"/>
          <w:highlight w:val="none"/>
          <w:u w:val="none"/>
          <w:lang w:eastAsia="zh-CN"/>
        </w:rPr>
        <w:t>、</w:t>
      </w:r>
      <w:r>
        <w:rPr>
          <w:rFonts w:hint="eastAsia" w:ascii="宋体" w:hAnsi="宋体" w:eastAsia="宋体" w:cs="宋体"/>
          <w:sz w:val="24"/>
          <w:szCs w:val="24"/>
          <w:highlight w:val="none"/>
        </w:rPr>
        <w:t>安徽衡宇工程咨询有限公司网（http://www.ahhygczx.com）</w:t>
      </w:r>
      <w:r>
        <w:rPr>
          <w:rFonts w:hint="eastAsia" w:ascii="宋体" w:hAnsi="宋体" w:eastAsia="宋体" w:cs="宋体"/>
          <w:color w:val="auto"/>
          <w:sz w:val="24"/>
          <w:szCs w:val="24"/>
          <w:highlight w:val="none"/>
          <w:u w:val="none"/>
        </w:rPr>
        <w:t>获取采购文件，并于</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 xml:space="preserve"> 07 </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highlight w:val="none"/>
        </w:rPr>
        <w:t>北京时间）</w:t>
      </w:r>
      <w:r>
        <w:rPr>
          <w:rFonts w:hint="eastAsia" w:ascii="宋体" w:hAnsi="宋体" w:eastAsia="宋体" w:cs="宋体"/>
          <w:sz w:val="24"/>
          <w:szCs w:val="24"/>
        </w:rPr>
        <w:t>前提交响应文件。</w:t>
      </w:r>
    </w:p>
    <w:p w14:paraId="6C9F569C">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4" w:name="_Toc35393798"/>
      <w:bookmarkStart w:id="5" w:name="_Toc35393629"/>
      <w:bookmarkStart w:id="6" w:name="_Toc32104"/>
      <w:bookmarkStart w:id="7" w:name="_Toc28359012"/>
      <w:bookmarkStart w:id="8" w:name="_Toc28359089"/>
      <w:bookmarkStart w:id="9" w:name="_Toc25634"/>
      <w:r>
        <w:rPr>
          <w:rFonts w:hint="eastAsia" w:ascii="宋体" w:hAnsi="宋体" w:eastAsia="宋体" w:cs="宋体"/>
          <w:b/>
          <w:bCs w:val="0"/>
          <w:sz w:val="24"/>
          <w:szCs w:val="24"/>
        </w:rPr>
        <w:t>一、项目基本情况</w:t>
      </w:r>
      <w:bookmarkEnd w:id="4"/>
      <w:bookmarkEnd w:id="5"/>
      <w:bookmarkEnd w:id="6"/>
      <w:bookmarkEnd w:id="7"/>
      <w:bookmarkEnd w:id="8"/>
      <w:bookmarkEnd w:id="9"/>
    </w:p>
    <w:p w14:paraId="34BF9CF1">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ascii="宋体" w:hAnsi="宋体" w:cs="宋体"/>
          <w:sz w:val="24"/>
          <w:szCs w:val="24"/>
          <w:lang w:eastAsia="zh-CN"/>
        </w:rPr>
        <w:t>HYZX-2025-0701</w:t>
      </w:r>
      <w:r>
        <w:rPr>
          <w:rFonts w:hint="eastAsia" w:ascii="宋体" w:hAnsi="宋体" w:eastAsia="宋体" w:cs="宋体"/>
          <w:sz w:val="24"/>
          <w:szCs w:val="24"/>
        </w:rPr>
        <w:t xml:space="preserve"> </w:t>
      </w:r>
    </w:p>
    <w:p w14:paraId="6A101D1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cs="宋体"/>
          <w:sz w:val="24"/>
          <w:szCs w:val="24"/>
          <w:lang w:val="en-US" w:eastAsia="zh-CN"/>
        </w:rPr>
        <w:t>霍山县2025年城市体检项目</w:t>
      </w:r>
    </w:p>
    <w:p w14:paraId="7601C3E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3、项目类型：服务类</w:t>
      </w:r>
    </w:p>
    <w:p w14:paraId="01EA16D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4、采购方式：竞争性谈判</w:t>
      </w:r>
    </w:p>
    <w:p w14:paraId="3F7692D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FF0000"/>
          <w:sz w:val="24"/>
          <w:szCs w:val="24"/>
          <w:highlight w:val="none"/>
          <w:lang w:val="en-US"/>
        </w:rPr>
      </w:pPr>
      <w:r>
        <w:rPr>
          <w:rFonts w:hint="eastAsia" w:ascii="宋体" w:hAnsi="宋体" w:eastAsia="宋体" w:cs="宋体"/>
          <w:sz w:val="24"/>
          <w:szCs w:val="24"/>
          <w:highlight w:val="none"/>
        </w:rPr>
        <w:t>5、预算金</w:t>
      </w:r>
      <w:r>
        <w:rPr>
          <w:rFonts w:hint="eastAsia" w:ascii="宋体" w:hAnsi="宋体" w:eastAsia="宋体" w:cs="宋体"/>
          <w:color w:val="auto"/>
          <w:sz w:val="24"/>
          <w:szCs w:val="24"/>
          <w:highlight w:val="none"/>
        </w:rPr>
        <w:t>额：</w:t>
      </w:r>
      <w:r>
        <w:rPr>
          <w:rFonts w:hint="eastAsia" w:ascii="宋体" w:hAnsi="宋体" w:cs="宋体"/>
          <w:color w:val="auto"/>
          <w:sz w:val="24"/>
          <w:szCs w:val="24"/>
          <w:highlight w:val="none"/>
          <w:u w:val="single"/>
          <w:lang w:val="en-US" w:eastAsia="zh-CN"/>
        </w:rPr>
        <w:t>28.3万元</w:t>
      </w:r>
    </w:p>
    <w:p w14:paraId="6B6943B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6、最高限价：</w:t>
      </w:r>
      <w:r>
        <w:rPr>
          <w:rFonts w:hint="eastAsia" w:ascii="宋体" w:hAnsi="宋体" w:cs="宋体"/>
          <w:color w:val="auto"/>
          <w:sz w:val="24"/>
          <w:szCs w:val="24"/>
          <w:highlight w:val="none"/>
          <w:u w:val="single"/>
          <w:lang w:val="en-US" w:eastAsia="zh-CN"/>
        </w:rPr>
        <w:t>28.3万元</w:t>
      </w:r>
    </w:p>
    <w:p w14:paraId="2BCFF837">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7、采购需求：住建部《2025年城市体检基础指标体系》</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《2025年安徽省城市体检技术导则》要求，开展城市体检工作</w:t>
      </w:r>
      <w:r>
        <w:rPr>
          <w:rFonts w:hint="eastAsia" w:ascii="宋体" w:hAnsi="宋体" w:eastAsia="宋体" w:cs="宋体"/>
          <w:sz w:val="24"/>
          <w:szCs w:val="24"/>
          <w:highlight w:val="none"/>
          <w:lang w:val="en-US" w:eastAsia="zh-CN"/>
        </w:rPr>
        <w:t>，围绕确定的指标体系，开展城市指标数据的收集、梳理、分析、汇总，通过互联网数据、行业统计数据、社会满意度调查等数据的耦合，精准把握城市发展状态，形成城市体检报告，为城市建设发展把脉，具体详见采购需求。</w:t>
      </w:r>
    </w:p>
    <w:p w14:paraId="0E8EFEFD">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8、合同履行期限：</w:t>
      </w:r>
      <w:r>
        <w:rPr>
          <w:rFonts w:hint="eastAsia" w:ascii="宋体" w:hAnsi="宋体" w:cs="宋体"/>
          <w:sz w:val="24"/>
          <w:szCs w:val="24"/>
          <w:highlight w:val="none"/>
          <w:lang w:val="en-US" w:eastAsia="zh-CN"/>
        </w:rPr>
        <w:t>60日历天</w:t>
      </w:r>
    </w:p>
    <w:p w14:paraId="565915D4">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9、是否接受联合体：本项目不接受联合体。</w:t>
      </w:r>
    </w:p>
    <w:p w14:paraId="2154F386">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10" w:name="_Toc35393630"/>
      <w:bookmarkStart w:id="11" w:name="_Toc8072"/>
      <w:bookmarkStart w:id="12" w:name="_Toc5548"/>
      <w:bookmarkStart w:id="13" w:name="_Toc28359013"/>
      <w:bookmarkStart w:id="14" w:name="_Toc35393799"/>
      <w:bookmarkStart w:id="15" w:name="_Toc28359090"/>
      <w:r>
        <w:rPr>
          <w:rFonts w:hint="eastAsia" w:ascii="宋体" w:hAnsi="宋体" w:eastAsia="宋体" w:cs="宋体"/>
          <w:b/>
          <w:bCs w:val="0"/>
          <w:sz w:val="24"/>
          <w:szCs w:val="24"/>
          <w:highlight w:val="none"/>
        </w:rPr>
        <w:t>二、申请人的资格要求</w:t>
      </w:r>
      <w:bookmarkEnd w:id="10"/>
      <w:bookmarkEnd w:id="11"/>
      <w:bookmarkEnd w:id="12"/>
      <w:bookmarkEnd w:id="13"/>
      <w:bookmarkEnd w:id="14"/>
      <w:bookmarkEnd w:id="15"/>
    </w:p>
    <w:p w14:paraId="728BF29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bookmarkStart w:id="16" w:name="_Toc28359014"/>
      <w:bookmarkStart w:id="17" w:name="_Toc28359091"/>
      <w:r>
        <w:rPr>
          <w:rFonts w:hint="eastAsia" w:ascii="宋体" w:hAnsi="宋体" w:eastAsia="宋体" w:cs="宋体"/>
          <w:sz w:val="24"/>
          <w:szCs w:val="24"/>
          <w:highlight w:val="none"/>
        </w:rPr>
        <w:t>1、满足《中华人民共和国政府采购法》第二十二条规定；</w:t>
      </w:r>
    </w:p>
    <w:p w14:paraId="43FE380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2、本项目的特定资格要求：</w:t>
      </w:r>
      <w:r>
        <w:rPr>
          <w:rFonts w:hint="eastAsia" w:ascii="宋体" w:hAnsi="宋体" w:cs="宋体"/>
          <w:sz w:val="24"/>
          <w:szCs w:val="24"/>
          <w:highlight w:val="none"/>
          <w:lang w:eastAsia="zh-CN"/>
        </w:rPr>
        <w:t>供应商应具有有效的营业执照</w:t>
      </w:r>
      <w:r>
        <w:rPr>
          <w:rFonts w:hint="eastAsia" w:ascii="宋体" w:hAnsi="宋体" w:cs="宋体"/>
          <w:sz w:val="24"/>
          <w:szCs w:val="24"/>
          <w:highlight w:val="none"/>
          <w:lang w:val="en-US" w:eastAsia="zh-CN"/>
        </w:rPr>
        <w:t>。</w:t>
      </w:r>
    </w:p>
    <w:bookmarkEnd w:id="16"/>
    <w:bookmarkEnd w:id="17"/>
    <w:p w14:paraId="6E2F93DD">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18" w:name="_Toc15371"/>
      <w:bookmarkStart w:id="19" w:name="_Toc15899"/>
      <w:bookmarkStart w:id="20" w:name="_Toc35393800"/>
      <w:bookmarkStart w:id="21" w:name="_Toc35393631"/>
      <w:r>
        <w:rPr>
          <w:rFonts w:hint="eastAsia" w:ascii="宋体" w:hAnsi="宋体" w:eastAsia="宋体" w:cs="宋体"/>
          <w:b/>
          <w:bCs w:val="0"/>
          <w:sz w:val="24"/>
          <w:szCs w:val="24"/>
        </w:rPr>
        <w:t>三、获取采购文件</w:t>
      </w:r>
      <w:bookmarkEnd w:id="18"/>
      <w:bookmarkEnd w:id="19"/>
      <w:bookmarkEnd w:id="20"/>
      <w:bookmarkEnd w:id="21"/>
    </w:p>
    <w:p w14:paraId="726DFE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 xml:space="preserve">09 </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14</w:t>
      </w:r>
      <w:r>
        <w:rPr>
          <w:rFonts w:hint="eastAsia" w:ascii="宋体" w:hAnsi="宋体" w:eastAsia="宋体" w:cs="宋体"/>
          <w:bCs/>
          <w:sz w:val="24"/>
          <w:szCs w:val="24"/>
          <w:highlight w:val="none"/>
        </w:rPr>
        <w:t>日</w:t>
      </w:r>
      <w:r>
        <w:rPr>
          <w:rFonts w:hint="eastAsia" w:ascii="宋体" w:hAnsi="宋体" w:cs="宋体"/>
          <w:bCs/>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 xml:space="preserve">分（北京时间） </w:t>
      </w:r>
    </w:p>
    <w:p w14:paraId="6DCB7BE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六安市公共资源交易电子服务系统（http://ggzy.luan.gov.cn）、安徽衡宇工程咨询有限公司网（http://www.ahhygczx.com）。</w:t>
      </w:r>
    </w:p>
    <w:p w14:paraId="315F4C0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3、获取方式：</w:t>
      </w:r>
      <w:r>
        <w:rPr>
          <w:rFonts w:hint="eastAsia" w:ascii="宋体" w:hAnsi="宋体" w:eastAsia="宋体" w:cs="宋体"/>
          <w:sz w:val="24"/>
          <w:szCs w:val="24"/>
          <w:highlight w:val="none"/>
          <w:lang w:val="en-US" w:eastAsia="zh-CN"/>
        </w:rPr>
        <w:t>请收到采购人邀请函的供应商自行到安徽衡宇工程咨询有限公司</w:t>
      </w:r>
      <w:r>
        <w:rPr>
          <w:rFonts w:hint="eastAsia" w:ascii="宋体" w:hAnsi="宋体" w:eastAsia="宋体" w:cs="宋体"/>
          <w:sz w:val="24"/>
          <w:szCs w:val="24"/>
          <w:lang w:val="en-US" w:eastAsia="zh-CN"/>
        </w:rPr>
        <w:t>网站（http://www.ahhygczx.com/)下载本项目谈判文件（答疑澄清等相关文件资料），未收到邀请函的供应商，响应无效。</w:t>
      </w:r>
    </w:p>
    <w:p w14:paraId="5EB90F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4、售</w:t>
      </w:r>
      <w:r>
        <w:rPr>
          <w:rFonts w:hint="eastAsia" w:ascii="宋体" w:hAnsi="宋体" w:eastAsia="宋体" w:cs="宋体"/>
          <w:sz w:val="24"/>
          <w:szCs w:val="24"/>
          <w:highlight w:val="none"/>
        </w:rPr>
        <w:t>价：零元</w:t>
      </w:r>
    </w:p>
    <w:p w14:paraId="61534AC1">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2" w:name="_Toc28359015"/>
      <w:bookmarkStart w:id="23" w:name="_Toc28359092"/>
      <w:bookmarkStart w:id="24" w:name="_Toc35393801"/>
      <w:bookmarkStart w:id="25" w:name="_Toc35393632"/>
      <w:bookmarkStart w:id="26" w:name="_Toc1753"/>
      <w:bookmarkStart w:id="27" w:name="_Toc13207"/>
      <w:r>
        <w:rPr>
          <w:rFonts w:hint="eastAsia" w:ascii="宋体" w:hAnsi="宋体" w:eastAsia="宋体" w:cs="宋体"/>
          <w:b/>
          <w:bCs w:val="0"/>
          <w:sz w:val="24"/>
          <w:szCs w:val="24"/>
          <w:highlight w:val="none"/>
        </w:rPr>
        <w:t>四、响应文件</w:t>
      </w:r>
      <w:bookmarkEnd w:id="22"/>
      <w:bookmarkEnd w:id="23"/>
      <w:bookmarkEnd w:id="24"/>
      <w:bookmarkEnd w:id="25"/>
      <w:r>
        <w:rPr>
          <w:rFonts w:hint="eastAsia" w:ascii="宋体" w:hAnsi="宋体" w:eastAsia="宋体" w:cs="宋体"/>
          <w:b/>
          <w:bCs w:val="0"/>
          <w:sz w:val="24"/>
          <w:szCs w:val="24"/>
          <w:highlight w:val="none"/>
        </w:rPr>
        <w:t>提交</w:t>
      </w:r>
      <w:bookmarkEnd w:id="26"/>
      <w:bookmarkEnd w:id="27"/>
    </w:p>
    <w:p w14:paraId="74538F7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1、截止时间：</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 xml:space="preserve"> 09 </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 xml:space="preserve"> 14 </w:t>
      </w:r>
      <w:r>
        <w:rPr>
          <w:rFonts w:hint="eastAsia" w:ascii="宋体" w:hAnsi="宋体" w:eastAsia="宋体" w:cs="宋体"/>
          <w:bCs/>
          <w:sz w:val="24"/>
          <w:szCs w:val="24"/>
          <w:highlight w:val="none"/>
        </w:rPr>
        <w:t>日</w:t>
      </w:r>
      <w:r>
        <w:rPr>
          <w:rFonts w:hint="eastAsia" w:ascii="宋体" w:hAnsi="宋体" w:cs="宋体"/>
          <w:bCs/>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（北京时间）</w:t>
      </w:r>
    </w:p>
    <w:p w14:paraId="1EE9541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2、提交方式：</w:t>
      </w:r>
      <w:r>
        <w:rPr>
          <w:rFonts w:hint="eastAsia" w:ascii="宋体" w:hAnsi="宋体" w:eastAsia="宋体" w:cs="宋体"/>
          <w:sz w:val="24"/>
          <w:szCs w:val="24"/>
          <w:highlight w:val="none"/>
          <w:lang w:val="en-US" w:eastAsia="zh-CN"/>
        </w:rPr>
        <w:t>现场递交</w:t>
      </w:r>
    </w:p>
    <w:p w14:paraId="5978FED4">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3、递交地点：安徽衡宇工程咨询有限公司二楼开标厅</w:t>
      </w:r>
      <w:r>
        <w:rPr>
          <w:rFonts w:hint="eastAsia" w:ascii="宋体" w:hAnsi="宋体" w:eastAsia="宋体" w:cs="宋体"/>
          <w:sz w:val="24"/>
          <w:szCs w:val="24"/>
          <w:highlight w:val="none"/>
          <w:lang w:eastAsia="zh-CN"/>
        </w:rPr>
        <w:t>（霍山县衡山镇中兴南路16号（老建设局大院</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楼））</w:t>
      </w:r>
    </w:p>
    <w:p w14:paraId="787B36A0">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8" w:name="_Toc2653"/>
      <w:bookmarkStart w:id="29" w:name="_Toc28359016"/>
      <w:bookmarkStart w:id="30" w:name="_Toc28359093"/>
      <w:bookmarkStart w:id="31" w:name="_Toc35393802"/>
      <w:bookmarkStart w:id="32" w:name="_Toc35393633"/>
      <w:bookmarkStart w:id="33" w:name="_Toc31128"/>
      <w:r>
        <w:rPr>
          <w:rFonts w:hint="eastAsia" w:ascii="宋体" w:hAnsi="宋体" w:eastAsia="宋体" w:cs="宋体"/>
          <w:b/>
          <w:bCs w:val="0"/>
          <w:sz w:val="24"/>
          <w:szCs w:val="24"/>
          <w:highlight w:val="none"/>
        </w:rPr>
        <w:t>五、响应文件开启</w:t>
      </w:r>
      <w:bookmarkEnd w:id="28"/>
      <w:bookmarkEnd w:id="29"/>
      <w:bookmarkEnd w:id="30"/>
      <w:bookmarkEnd w:id="31"/>
      <w:bookmarkEnd w:id="32"/>
      <w:bookmarkEnd w:id="33"/>
    </w:p>
    <w:p w14:paraId="35D61A8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 xml:space="preserve"> 09 </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 xml:space="preserve"> 07 </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 xml:space="preserve"> 14 </w:t>
      </w:r>
      <w:r>
        <w:rPr>
          <w:rFonts w:hint="eastAsia" w:ascii="宋体" w:hAnsi="宋体" w:eastAsia="宋体" w:cs="宋体"/>
          <w:bCs/>
          <w:sz w:val="24"/>
          <w:szCs w:val="24"/>
          <w:highlight w:val="none"/>
        </w:rPr>
        <w:t>日</w:t>
      </w:r>
      <w:r>
        <w:rPr>
          <w:rFonts w:hint="eastAsia" w:ascii="宋体" w:hAnsi="宋体" w:cs="宋体"/>
          <w:bCs/>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分（北京时间）</w:t>
      </w:r>
    </w:p>
    <w:p w14:paraId="2C7DA599">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安徽衡宇工程咨询有限公司二楼开标厅</w:t>
      </w:r>
      <w:r>
        <w:rPr>
          <w:rFonts w:hint="eastAsia" w:ascii="宋体" w:hAnsi="宋体" w:eastAsia="宋体" w:cs="宋体"/>
          <w:sz w:val="24"/>
          <w:szCs w:val="24"/>
          <w:highlight w:val="none"/>
          <w:lang w:eastAsia="zh-CN"/>
        </w:rPr>
        <w:t>（霍山县衡山镇中兴南路16号</w:t>
      </w:r>
      <w:r>
        <w:rPr>
          <w:rFonts w:hint="eastAsia" w:ascii="宋体" w:hAnsi="宋体" w:eastAsia="宋体" w:cs="宋体"/>
          <w:sz w:val="24"/>
          <w:szCs w:val="24"/>
          <w:lang w:eastAsia="zh-CN"/>
        </w:rPr>
        <w:t>（老建设局大院</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楼））</w:t>
      </w:r>
    </w:p>
    <w:p w14:paraId="39B3EB57">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34" w:name="_Toc25132"/>
      <w:bookmarkStart w:id="35" w:name="_Toc28359094"/>
      <w:bookmarkStart w:id="36" w:name="_Toc15099"/>
      <w:bookmarkStart w:id="37" w:name="_Toc28359017"/>
      <w:bookmarkStart w:id="38" w:name="_Toc35393634"/>
      <w:bookmarkStart w:id="39" w:name="_Toc35393803"/>
      <w:r>
        <w:rPr>
          <w:rFonts w:hint="eastAsia" w:ascii="宋体" w:hAnsi="宋体" w:eastAsia="宋体" w:cs="宋体"/>
          <w:b/>
          <w:bCs w:val="0"/>
          <w:sz w:val="24"/>
          <w:szCs w:val="24"/>
        </w:rPr>
        <w:t>六、公告期限</w:t>
      </w:r>
      <w:bookmarkEnd w:id="34"/>
      <w:bookmarkEnd w:id="35"/>
      <w:bookmarkEnd w:id="36"/>
      <w:bookmarkEnd w:id="37"/>
      <w:bookmarkEnd w:id="38"/>
      <w:bookmarkEnd w:id="39"/>
    </w:p>
    <w:p w14:paraId="3DA722C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21EAD721">
      <w:pPr>
        <w:pageBreakBefore w:val="0"/>
        <w:kinsoku/>
        <w:wordWrap/>
        <w:overflowPunct/>
        <w:topLinePunct w:val="0"/>
        <w:autoSpaceDE/>
        <w:autoSpaceDN/>
        <w:bidi w:val="0"/>
        <w:adjustRightInd/>
        <w:snapToGrid/>
        <w:spacing w:line="500" w:lineRule="exact"/>
        <w:ind w:left="0" w:lef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w:t>
      </w:r>
      <w:bookmarkStart w:id="40" w:name="_Toc35393804"/>
      <w:bookmarkStart w:id="41" w:name="_Toc35393635"/>
      <w:r>
        <w:rPr>
          <w:rFonts w:hint="eastAsia" w:ascii="宋体" w:hAnsi="宋体" w:eastAsia="宋体" w:cs="宋体"/>
          <w:b/>
          <w:bCs/>
          <w:sz w:val="24"/>
          <w:szCs w:val="24"/>
        </w:rPr>
        <w:t>其他事宜</w:t>
      </w:r>
      <w:bookmarkEnd w:id="40"/>
      <w:bookmarkEnd w:id="41"/>
      <w:bookmarkStart w:id="42" w:name="_Toc35393636"/>
      <w:bookmarkStart w:id="43" w:name="_Toc28359095"/>
      <w:bookmarkStart w:id="44" w:name="_Toc35393805"/>
      <w:bookmarkStart w:id="45" w:name="_Toc28359018"/>
    </w:p>
    <w:p w14:paraId="5D082CA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1、供应商应当按照本项目采购文件规定的时间和地点参与谈判，供应商仅确定一名人员参加：</w:t>
      </w:r>
      <w:r>
        <w:rPr>
          <w:rFonts w:hint="eastAsia" w:ascii="宋体" w:hAnsi="宋体" w:eastAsia="宋体" w:cs="宋体"/>
          <w:b/>
          <w:bCs/>
          <w:sz w:val="24"/>
          <w:szCs w:val="24"/>
          <w:u w:val="single"/>
          <w:lang w:val="en-US" w:eastAsia="zh-CN"/>
        </w:rPr>
        <w:t>法定代表人持本人二代居民身份证原件和法定代表人身份证明（或授权委托代理人持本人二代居民身份证原件和法人授权委托书原件）</w:t>
      </w:r>
      <w:r>
        <w:rPr>
          <w:rFonts w:hint="eastAsia" w:ascii="宋体" w:hAnsi="宋体" w:cs="宋体"/>
          <w:b/>
          <w:bCs/>
          <w:sz w:val="24"/>
          <w:szCs w:val="24"/>
          <w:u w:val="none"/>
          <w:lang w:val="en-US" w:eastAsia="zh-CN"/>
        </w:rPr>
        <w:t>，</w:t>
      </w:r>
      <w:r>
        <w:rPr>
          <w:rFonts w:hint="eastAsia" w:ascii="宋体" w:hAnsi="宋体" w:eastAsia="宋体" w:cs="宋体"/>
          <w:b/>
          <w:bCs/>
          <w:sz w:val="24"/>
          <w:szCs w:val="24"/>
          <w:lang w:val="en-US" w:eastAsia="zh-CN"/>
        </w:rPr>
        <w:t>凡不能出示上述有效证件或到场人员与证件载明的人员不一致或未出席谈判会议者，响应文件不予接受，谈判资格无效</w:t>
      </w:r>
      <w:r>
        <w:rPr>
          <w:rFonts w:hint="eastAsia" w:ascii="宋体" w:hAnsi="宋体" w:eastAsia="宋体" w:cs="宋体"/>
          <w:sz w:val="24"/>
          <w:szCs w:val="24"/>
          <w:lang w:val="en-US" w:eastAsia="zh-CN"/>
        </w:rPr>
        <w:t>。</w:t>
      </w:r>
    </w:p>
    <w:p w14:paraId="740BF2F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2、答疑：供应商如果对本项目内容有相关疑问，可以以邮件形式提出，对采购文件进行的澄清、更正或更改，将在六安市公共资源交易电子服务系统（http://ggzy.luan.gov.cn）网站“交易信息”、“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（http://www.ahhygczx.com）及时发布，该公告内容为采购文件的组成部分，对供应商具有同样约束力效力。供应商应主动上网查询，供应商须自行承担因未及时关注相关信息而引发的相关责任。</w:t>
      </w:r>
    </w:p>
    <w:p w14:paraId="1BEA225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3、本项目相关公告在六安市公共资源交易电子服务系统（http://ggzy.luan.gov.cn）网站“交易信息”、“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（http://www.ahhygczx.com）发布，请各位供应商注意查看有关竞争性谈判公告、答疑澄清等相关文件资料，如不及时查看造成后果由供应商自负。</w:t>
      </w:r>
    </w:p>
    <w:p w14:paraId="609A9677">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4、严禁恶意低价或恶意高价竞标，对恶意低价或恶意高价竞标的，采购人有权进行调查处理，经查证属实的，其响应资格无效，同时给予限制投标资格等处理。 </w:t>
      </w:r>
    </w:p>
    <w:p w14:paraId="6D44419A">
      <w:pPr>
        <w:pageBreakBefore w:val="0"/>
        <w:widowControl/>
        <w:shd w:val="clear" w:color="auto" w:fill="FFFFFF"/>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响应保证金：本项目无需提供。</w:t>
      </w:r>
    </w:p>
    <w:p w14:paraId="37CE7D61">
      <w:pPr>
        <w:pStyle w:val="3"/>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val="0"/>
          <w:bCs/>
          <w:sz w:val="24"/>
          <w:szCs w:val="24"/>
        </w:rPr>
      </w:pPr>
      <w:bookmarkStart w:id="46" w:name="_Toc726"/>
      <w:bookmarkStart w:id="47" w:name="_Toc21256"/>
      <w:r>
        <w:rPr>
          <w:rFonts w:hint="eastAsia" w:ascii="宋体" w:hAnsi="宋体" w:eastAsia="宋体" w:cs="宋体"/>
          <w:b w:val="0"/>
          <w:bCs/>
          <w:sz w:val="24"/>
          <w:szCs w:val="24"/>
        </w:rPr>
        <w:t>八、凡对本次采购提出询问，请按以下方式联系。</w:t>
      </w:r>
      <w:bookmarkEnd w:id="42"/>
      <w:bookmarkEnd w:id="43"/>
      <w:bookmarkEnd w:id="44"/>
      <w:bookmarkEnd w:id="45"/>
      <w:bookmarkEnd w:id="46"/>
      <w:bookmarkEnd w:id="47"/>
    </w:p>
    <w:p w14:paraId="763E4583">
      <w:pPr>
        <w:pageBreakBefore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bCs/>
          <w:sz w:val="24"/>
          <w:szCs w:val="24"/>
        </w:rPr>
      </w:pPr>
      <w:bookmarkStart w:id="48" w:name="_Toc28359096"/>
      <w:bookmarkStart w:id="49" w:name="_Toc35393806"/>
      <w:bookmarkStart w:id="50" w:name="_Toc15509"/>
      <w:bookmarkStart w:id="51" w:name="_Toc28359019"/>
      <w:bookmarkStart w:id="52" w:name="_Toc35393637"/>
      <w:bookmarkStart w:id="53" w:name="_Toc12167"/>
      <w:r>
        <w:rPr>
          <w:rFonts w:hint="eastAsia" w:ascii="宋体" w:hAnsi="宋体" w:eastAsia="宋体" w:cs="宋体"/>
          <w:bCs/>
          <w:sz w:val="24"/>
          <w:szCs w:val="24"/>
        </w:rPr>
        <w:t>1、采购人信息</w:t>
      </w:r>
      <w:bookmarkEnd w:id="48"/>
      <w:bookmarkEnd w:id="49"/>
      <w:bookmarkEnd w:id="50"/>
      <w:bookmarkEnd w:id="51"/>
      <w:bookmarkEnd w:id="52"/>
      <w:bookmarkEnd w:id="53"/>
    </w:p>
    <w:p w14:paraId="77A6A40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    称：</w:t>
      </w:r>
      <w:r>
        <w:rPr>
          <w:rFonts w:hint="eastAsia" w:ascii="宋体" w:hAnsi="宋体" w:cs="宋体"/>
          <w:bCs/>
          <w:sz w:val="24"/>
          <w:szCs w:val="24"/>
          <w:highlight w:val="none"/>
          <w:lang w:val="en-US" w:eastAsia="zh-CN"/>
        </w:rPr>
        <w:t>霍山县住房和城乡建设局</w:t>
      </w:r>
    </w:p>
    <w:p w14:paraId="5919E82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w:t>
      </w:r>
      <w:r>
        <w:rPr>
          <w:rFonts w:hint="eastAsia" w:cs="宋体"/>
          <w:color w:val="000000" w:themeColor="text1"/>
          <w:sz w:val="24"/>
          <w:szCs w:val="24"/>
          <w:highlight w:val="none"/>
          <w:lang w:val="en-US" w:eastAsia="zh-CN"/>
          <w14:textFill>
            <w14:solidFill>
              <w14:schemeClr w14:val="tx1"/>
            </w14:solidFill>
          </w14:textFill>
        </w:rPr>
        <w:t>霍山县住建大厦</w:t>
      </w:r>
    </w:p>
    <w:p w14:paraId="35DD613B">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bookmarkStart w:id="54" w:name="_Toc28359020"/>
      <w:bookmarkStart w:id="55" w:name="_Toc35393807"/>
      <w:bookmarkStart w:id="56" w:name="_Toc28359097"/>
      <w:bookmarkStart w:id="57" w:name="_Toc35393638"/>
      <w:r>
        <w:rPr>
          <w:rFonts w:hint="eastAsia" w:ascii="宋体" w:hAnsi="宋体" w:cs="宋体"/>
          <w:bCs/>
          <w:sz w:val="24"/>
          <w:szCs w:val="24"/>
          <w:highlight w:val="none"/>
          <w:lang w:eastAsia="zh-CN"/>
        </w:rPr>
        <w:t>刘先生</w:t>
      </w:r>
      <w:r>
        <w:rPr>
          <w:rFonts w:hint="eastAsia" w:ascii="宋体" w:hAnsi="宋体" w:cs="宋体"/>
          <w:bCs/>
          <w:sz w:val="24"/>
          <w:szCs w:val="24"/>
          <w:highlight w:val="none"/>
          <w:lang w:val="en-US" w:eastAsia="zh-CN"/>
        </w:rPr>
        <w:t xml:space="preserve"> 0564-</w:t>
      </w:r>
      <w:r>
        <w:rPr>
          <w:rFonts w:hint="eastAsia" w:ascii="宋体" w:hAnsi="宋体" w:eastAsia="宋体" w:cs="宋体"/>
          <w:bCs/>
          <w:sz w:val="24"/>
          <w:szCs w:val="24"/>
          <w:highlight w:val="none"/>
        </w:rPr>
        <w:t>5029732</w:t>
      </w:r>
    </w:p>
    <w:p w14:paraId="74DEB93B">
      <w:pPr>
        <w:pageBreakBefore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采购代理机构信息</w:t>
      </w:r>
      <w:bookmarkEnd w:id="54"/>
      <w:bookmarkEnd w:id="55"/>
      <w:bookmarkEnd w:id="56"/>
      <w:bookmarkEnd w:id="57"/>
      <w:bookmarkStart w:id="58" w:name="_Toc35393639"/>
      <w:bookmarkStart w:id="59" w:name="_Toc28359021"/>
      <w:bookmarkStart w:id="60" w:name="_Toc35393808"/>
      <w:bookmarkStart w:id="61" w:name="_Toc28359098"/>
    </w:p>
    <w:p w14:paraId="557D341E">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lang w:eastAsia="zh-CN"/>
        </w:rPr>
        <w:t>安徽衡宇工程咨询有限公司</w:t>
      </w:r>
      <w:r>
        <w:rPr>
          <w:rFonts w:hint="eastAsia" w:ascii="宋体" w:hAnsi="宋体" w:eastAsia="宋体" w:cs="宋体"/>
          <w:bCs/>
          <w:sz w:val="24"/>
          <w:szCs w:val="24"/>
        </w:rPr>
        <w:t xml:space="preserve"> </w:t>
      </w:r>
    </w:p>
    <w:p w14:paraId="0486829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bCs/>
          <w:sz w:val="24"/>
          <w:szCs w:val="24"/>
          <w:lang w:eastAsia="zh-CN"/>
        </w:rPr>
        <w:t>霍山县衡山镇中兴南路</w:t>
      </w:r>
      <w:r>
        <w:rPr>
          <w:rFonts w:hint="eastAsia" w:ascii="宋体" w:hAnsi="宋体" w:eastAsia="宋体" w:cs="宋体"/>
          <w:bCs/>
          <w:sz w:val="24"/>
          <w:szCs w:val="24"/>
          <w:lang w:val="en-US" w:eastAsia="zh-CN"/>
        </w:rPr>
        <w:t>16号（老建设局大院三楼）</w:t>
      </w:r>
      <w:r>
        <w:rPr>
          <w:rFonts w:hint="eastAsia" w:ascii="宋体" w:hAnsi="宋体" w:eastAsia="宋体" w:cs="宋体"/>
          <w:bCs/>
          <w:sz w:val="24"/>
          <w:szCs w:val="24"/>
        </w:rPr>
        <w:t xml:space="preserve"> </w:t>
      </w:r>
    </w:p>
    <w:p w14:paraId="5BDEC103">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联系方式：</w:t>
      </w:r>
      <w:r>
        <w:rPr>
          <w:rFonts w:hint="eastAsia" w:ascii="宋体" w:hAnsi="宋体" w:cs="宋体"/>
          <w:bCs/>
          <w:sz w:val="24"/>
          <w:szCs w:val="24"/>
          <w:lang w:eastAsia="zh-CN"/>
        </w:rPr>
        <w:t>朱工</w:t>
      </w:r>
      <w:r>
        <w:rPr>
          <w:rFonts w:hint="eastAsia" w:ascii="宋体" w:hAnsi="宋体" w:cs="宋体"/>
          <w:bCs/>
          <w:sz w:val="24"/>
          <w:szCs w:val="24"/>
          <w:lang w:val="en-US" w:eastAsia="zh-CN"/>
        </w:rPr>
        <w:t xml:space="preserve"> </w:t>
      </w:r>
      <w:r>
        <w:rPr>
          <w:rFonts w:hint="eastAsia" w:ascii="宋体" w:hAnsi="宋体" w:eastAsia="宋体" w:cs="宋体"/>
          <w:bCs/>
          <w:sz w:val="24"/>
          <w:szCs w:val="24"/>
        </w:rPr>
        <w:t>0564-5029965</w:t>
      </w:r>
    </w:p>
    <w:p w14:paraId="25E4BF7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3、项目联系方式</w:t>
      </w:r>
      <w:bookmarkEnd w:id="58"/>
      <w:bookmarkEnd w:id="59"/>
      <w:bookmarkEnd w:id="60"/>
      <w:bookmarkEnd w:id="61"/>
    </w:p>
    <w:p w14:paraId="14929836">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eastAsia="宋体" w:cs="宋体"/>
          <w:bCs/>
          <w:sz w:val="24"/>
          <w:szCs w:val="24"/>
          <w:lang w:eastAsia="zh-CN"/>
        </w:rPr>
        <w:t>朱工</w:t>
      </w:r>
    </w:p>
    <w:p w14:paraId="0FAD6F61">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电　   话：0564-5029965</w:t>
      </w:r>
    </w:p>
    <w:p w14:paraId="06BE5CBE">
      <w:pPr>
        <w:pStyle w:val="33"/>
        <w:pageBreakBefore w:val="0"/>
        <w:kinsoku/>
        <w:wordWrap/>
        <w:overflowPunct/>
        <w:topLinePunct w:val="0"/>
        <w:autoSpaceDE/>
        <w:autoSpaceDN/>
        <w:bidi w:val="0"/>
        <w:adjustRightInd/>
        <w:snapToGrid/>
        <w:spacing w:after="0" w:line="500" w:lineRule="exact"/>
        <w:ind w:left="0" w:leftChars="0" w:firstLine="0"/>
        <w:jc w:val="both"/>
        <w:textAlignment w:val="auto"/>
        <w:rPr>
          <w:rFonts w:hint="eastAsia" w:ascii="宋体" w:hAnsi="宋体" w:eastAsia="宋体" w:cs="宋体"/>
          <w:bCs/>
          <w:sz w:val="24"/>
          <w:szCs w:val="24"/>
        </w:rPr>
      </w:pPr>
    </w:p>
    <w:p w14:paraId="76D7B2B7">
      <w:pPr>
        <w:pStyle w:val="33"/>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霍山县住房和城乡建设局</w:t>
      </w:r>
    </w:p>
    <w:p w14:paraId="7742EA19">
      <w:pPr>
        <w:pStyle w:val="33"/>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eastAsia="zh-CN"/>
        </w:rPr>
        <w:t>安</w:t>
      </w:r>
      <w:r>
        <w:rPr>
          <w:rFonts w:hint="eastAsia" w:ascii="宋体" w:hAnsi="宋体" w:eastAsia="宋体" w:cs="宋体"/>
          <w:bCs/>
          <w:sz w:val="24"/>
          <w:szCs w:val="24"/>
          <w:highlight w:val="none"/>
          <w:lang w:eastAsia="zh-CN"/>
        </w:rPr>
        <w:t>徽衡宇工程咨询有限公司</w:t>
      </w:r>
      <w:r>
        <w:rPr>
          <w:rFonts w:hint="eastAsia" w:ascii="宋体" w:hAnsi="宋体" w:eastAsia="宋体" w:cs="宋体"/>
          <w:bCs/>
          <w:sz w:val="24"/>
          <w:szCs w:val="24"/>
          <w:highlight w:val="none"/>
        </w:rPr>
        <w:t xml:space="preserve"> </w:t>
      </w:r>
    </w:p>
    <w:p w14:paraId="15F95492">
      <w:pPr>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年</w:t>
      </w:r>
      <w:r>
        <w:rPr>
          <w:rFonts w:hint="eastAsia" w:ascii="宋体" w:hAnsi="宋体" w:cs="宋体"/>
          <w:bCs/>
          <w:sz w:val="24"/>
          <w:szCs w:val="24"/>
          <w:highlight w:val="none"/>
          <w:lang w:val="en-US" w:eastAsia="zh-CN"/>
        </w:rPr>
        <w:t>07</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09</w:t>
      </w:r>
      <w:r>
        <w:rPr>
          <w:rFonts w:hint="eastAsia" w:ascii="宋体" w:hAnsi="宋体" w:eastAsia="宋体" w:cs="宋体"/>
          <w:bCs/>
          <w:sz w:val="24"/>
          <w:szCs w:val="24"/>
          <w:highlight w:val="none"/>
        </w:rPr>
        <w:t>日</w:t>
      </w:r>
    </w:p>
    <w:p w14:paraId="461ABEEF">
      <w:pPr>
        <w:rPr>
          <w:rFonts w:ascii="宋体" w:hAnsi="宋体" w:cs="宋体"/>
          <w:sz w:val="28"/>
          <w:szCs w:val="28"/>
          <w:highlight w:val="none"/>
        </w:rPr>
      </w:pPr>
      <w:r>
        <w:rPr>
          <w:rFonts w:hint="eastAsia" w:ascii="宋体" w:hAnsi="宋体" w:cs="宋体"/>
          <w:sz w:val="28"/>
          <w:szCs w:val="28"/>
          <w:highlight w:val="none"/>
        </w:rPr>
        <w:br w:type="page"/>
      </w:r>
    </w:p>
    <w:p w14:paraId="61B96D7F">
      <w:pPr>
        <w:pStyle w:val="3"/>
        <w:spacing w:before="120" w:beforeLines="50" w:after="120" w:afterLines="50" w:line="560" w:lineRule="exact"/>
        <w:jc w:val="center"/>
        <w:rPr>
          <w:rFonts w:ascii="宋体" w:hAnsi="宋体" w:eastAsia="宋体" w:cs="宋体"/>
          <w:sz w:val="28"/>
          <w:szCs w:val="28"/>
        </w:rPr>
      </w:pPr>
      <w:bookmarkStart w:id="62" w:name="_Toc16403"/>
      <w:r>
        <w:rPr>
          <w:rFonts w:hint="eastAsia" w:ascii="宋体" w:hAnsi="宋体" w:eastAsia="宋体" w:cs="宋体"/>
          <w:sz w:val="28"/>
          <w:szCs w:val="28"/>
        </w:rPr>
        <w:t>一、供应商须知</w:t>
      </w:r>
      <w:bookmarkEnd w:id="2"/>
      <w:bookmarkEnd w:id="3"/>
      <w:bookmarkEnd w:id="62"/>
    </w:p>
    <w:p w14:paraId="5C3DA27F">
      <w:pPr>
        <w:pStyle w:val="3"/>
        <w:pageBreakBefore w:val="0"/>
        <w:kinsoku/>
        <w:wordWrap/>
        <w:overflowPunct/>
        <w:topLinePunct w:val="0"/>
        <w:autoSpaceDE/>
        <w:autoSpaceDN/>
        <w:bidi w:val="0"/>
        <w:spacing w:before="0" w:after="0" w:line="500" w:lineRule="exact"/>
        <w:jc w:val="center"/>
        <w:rPr>
          <w:rFonts w:hint="eastAsia" w:ascii="宋体" w:hAnsi="宋体" w:eastAsia="宋体" w:cs="宋体"/>
          <w:sz w:val="24"/>
          <w:szCs w:val="24"/>
        </w:rPr>
      </w:pPr>
      <w:bookmarkStart w:id="63" w:name="_Toc13653"/>
      <w:r>
        <w:rPr>
          <w:rFonts w:hint="eastAsia" w:ascii="宋体" w:hAnsi="宋体" w:eastAsia="宋体" w:cs="宋体"/>
          <w:sz w:val="24"/>
          <w:szCs w:val="24"/>
        </w:rPr>
        <w:t>（一）须知前附表</w:t>
      </w:r>
      <w:bookmarkEnd w:id="63"/>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680"/>
        <w:gridCol w:w="7130"/>
      </w:tblGrid>
      <w:tr w14:paraId="754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2FC95EC">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bookmarkStart w:id="64" w:name="_Toc363199267"/>
            <w:bookmarkStart w:id="65" w:name="_Toc438107743"/>
            <w:bookmarkStart w:id="66" w:name="_Toc216158627"/>
            <w:r>
              <w:rPr>
                <w:rFonts w:hint="eastAsia" w:ascii="宋体" w:hAnsi="宋体" w:eastAsia="宋体" w:cs="宋体"/>
                <w:b/>
                <w:sz w:val="24"/>
                <w:szCs w:val="24"/>
              </w:rPr>
              <w:t>序号</w:t>
            </w:r>
          </w:p>
        </w:tc>
        <w:tc>
          <w:tcPr>
            <w:tcW w:w="1680" w:type="dxa"/>
            <w:vAlign w:val="center"/>
          </w:tcPr>
          <w:p w14:paraId="18D7E7DA">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130" w:type="dxa"/>
            <w:vAlign w:val="center"/>
          </w:tcPr>
          <w:p w14:paraId="698A3105">
            <w:pPr>
              <w:pStyle w:val="90"/>
              <w:pageBreakBefore w:val="0"/>
              <w:widowControl w:val="0"/>
              <w:kinsoku/>
              <w:wordWrap/>
              <w:overflowPunct/>
              <w:topLinePunct w:val="0"/>
              <w:autoSpaceDE/>
              <w:autoSpaceDN/>
              <w:bidi w:val="0"/>
              <w:spacing w:before="0" w:beforeAutospacing="0" w:after="0" w:afterAutospacing="0" w:line="50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14:paraId="305C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A9EC9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w:t>
            </w:r>
          </w:p>
        </w:tc>
        <w:tc>
          <w:tcPr>
            <w:tcW w:w="1680" w:type="dxa"/>
            <w:vAlign w:val="center"/>
          </w:tcPr>
          <w:p w14:paraId="6A6253D9">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130" w:type="dxa"/>
            <w:vAlign w:val="center"/>
          </w:tcPr>
          <w:p w14:paraId="4DE141E3">
            <w:pPr>
              <w:pageBreakBefore w:val="0"/>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cs="宋体"/>
                <w:sz w:val="24"/>
                <w:szCs w:val="24"/>
                <w:lang w:val="en-US" w:eastAsia="zh-CN"/>
              </w:rPr>
              <w:t>霍山县住房和城乡建设局</w:t>
            </w:r>
          </w:p>
        </w:tc>
      </w:tr>
      <w:tr w14:paraId="3294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3EC8D1D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2</w:t>
            </w:r>
          </w:p>
        </w:tc>
        <w:tc>
          <w:tcPr>
            <w:tcW w:w="1680" w:type="dxa"/>
            <w:vAlign w:val="center"/>
          </w:tcPr>
          <w:p w14:paraId="4942FF9F">
            <w:pPr>
              <w:pageBreakBefore w:val="0"/>
              <w:kinsoku/>
              <w:wordWrap/>
              <w:overflowPunct/>
              <w:topLinePunct w:val="0"/>
              <w:autoSpaceDE/>
              <w:autoSpaceDN/>
              <w:bidi w:val="0"/>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130" w:type="dxa"/>
            <w:vAlign w:val="center"/>
          </w:tcPr>
          <w:p w14:paraId="4B5CAB52">
            <w:pPr>
              <w:pageBreakBefore w:val="0"/>
              <w:kinsoku/>
              <w:wordWrap/>
              <w:overflowPunct/>
              <w:topLinePunct w:val="0"/>
              <w:autoSpaceDE/>
              <w:autoSpaceDN/>
              <w:bidi w:val="0"/>
              <w:spacing w:line="500" w:lineRule="exact"/>
              <w:jc w:val="left"/>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bCs/>
                <w:sz w:val="24"/>
                <w:szCs w:val="24"/>
                <w:lang w:eastAsia="zh-CN"/>
              </w:rPr>
              <w:t>安徽衡宇工程咨询有限公司</w:t>
            </w:r>
            <w:r>
              <w:rPr>
                <w:rFonts w:hint="eastAsia" w:ascii="宋体" w:hAnsi="宋体" w:eastAsia="宋体" w:cs="宋体"/>
                <w:sz w:val="24"/>
                <w:szCs w:val="24"/>
              </w:rPr>
              <w:t xml:space="preserve"> </w:t>
            </w:r>
          </w:p>
          <w:p w14:paraId="5BAEF393">
            <w:pPr>
              <w:pageBreakBefore w:val="0"/>
              <w:kinsoku/>
              <w:wordWrap/>
              <w:overflowPunct/>
              <w:topLinePunct w:val="0"/>
              <w:autoSpaceDE/>
              <w:autoSpaceDN/>
              <w:bidi w:val="0"/>
              <w:spacing w:line="500" w:lineRule="exact"/>
              <w:jc w:val="left"/>
              <w:rPr>
                <w:rFonts w:hint="eastAsia" w:ascii="宋体" w:hAnsi="宋体" w:eastAsia="宋体" w:cs="宋体"/>
                <w:b/>
                <w:bCs/>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霍山县衡山镇中兴南路</w:t>
            </w:r>
            <w:r>
              <w:rPr>
                <w:rFonts w:hint="eastAsia" w:ascii="宋体" w:hAnsi="宋体" w:eastAsia="宋体" w:cs="宋体"/>
                <w:sz w:val="24"/>
                <w:szCs w:val="24"/>
                <w:lang w:val="en-US" w:eastAsia="zh-CN"/>
              </w:rPr>
              <w:t>16号（老建设局大院三楼）</w:t>
            </w:r>
            <w:r>
              <w:rPr>
                <w:rFonts w:hint="eastAsia" w:ascii="宋体" w:hAnsi="宋体" w:eastAsia="宋体" w:cs="宋体"/>
                <w:b/>
                <w:bCs/>
                <w:sz w:val="24"/>
                <w:szCs w:val="24"/>
              </w:rPr>
              <w:t xml:space="preserve"> </w:t>
            </w:r>
          </w:p>
        </w:tc>
      </w:tr>
      <w:tr w14:paraId="7D8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B66EF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3</w:t>
            </w:r>
          </w:p>
        </w:tc>
        <w:tc>
          <w:tcPr>
            <w:tcW w:w="1680" w:type="dxa"/>
            <w:vAlign w:val="center"/>
          </w:tcPr>
          <w:p w14:paraId="47245A6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7130" w:type="dxa"/>
            <w:vAlign w:val="center"/>
          </w:tcPr>
          <w:p w14:paraId="41D7007E">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响应文件提交截止日后30天</w:t>
            </w:r>
          </w:p>
        </w:tc>
      </w:tr>
      <w:tr w14:paraId="01F4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5C6DF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4</w:t>
            </w:r>
          </w:p>
        </w:tc>
        <w:tc>
          <w:tcPr>
            <w:tcW w:w="1680" w:type="dxa"/>
            <w:vAlign w:val="center"/>
          </w:tcPr>
          <w:p w14:paraId="62453DEE">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130" w:type="dxa"/>
            <w:vAlign w:val="center"/>
          </w:tcPr>
          <w:p w14:paraId="3A346660">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服务类</w:t>
            </w:r>
          </w:p>
        </w:tc>
      </w:tr>
      <w:tr w14:paraId="20B1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241E12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5</w:t>
            </w:r>
          </w:p>
        </w:tc>
        <w:tc>
          <w:tcPr>
            <w:tcW w:w="1680" w:type="dxa"/>
            <w:vAlign w:val="center"/>
          </w:tcPr>
          <w:p w14:paraId="59351A53">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30" w:type="dxa"/>
            <w:vAlign w:val="center"/>
          </w:tcPr>
          <w:p w14:paraId="54E842C6">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cs="宋体"/>
                <w:b w:val="0"/>
                <w:bCs w:val="0"/>
                <w:sz w:val="24"/>
                <w:szCs w:val="24"/>
                <w:lang w:val="en-US" w:eastAsia="zh-CN"/>
              </w:rPr>
              <w:t>霍山县2025年城市体检项目</w:t>
            </w:r>
          </w:p>
        </w:tc>
      </w:tr>
      <w:tr w14:paraId="6066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2F9F787">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6</w:t>
            </w:r>
          </w:p>
        </w:tc>
        <w:tc>
          <w:tcPr>
            <w:tcW w:w="1680" w:type="dxa"/>
            <w:vAlign w:val="center"/>
          </w:tcPr>
          <w:p w14:paraId="528366E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130" w:type="dxa"/>
            <w:vAlign w:val="center"/>
          </w:tcPr>
          <w:p w14:paraId="4D2C9707">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lang w:eastAsia="zh-CN"/>
              </w:rPr>
            </w:pPr>
            <w:r>
              <w:rPr>
                <w:rFonts w:hint="eastAsia" w:cs="宋体"/>
                <w:b w:val="0"/>
                <w:bCs w:val="0"/>
                <w:sz w:val="24"/>
                <w:szCs w:val="24"/>
                <w:lang w:eastAsia="zh-CN"/>
              </w:rPr>
              <w:t>HYZX-2025-0701</w:t>
            </w:r>
          </w:p>
        </w:tc>
      </w:tr>
      <w:tr w14:paraId="5EA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1" w:hRule="atLeast"/>
          <w:jc w:val="center"/>
        </w:trPr>
        <w:tc>
          <w:tcPr>
            <w:tcW w:w="804" w:type="dxa"/>
            <w:vAlign w:val="center"/>
          </w:tcPr>
          <w:p w14:paraId="6174F80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7</w:t>
            </w:r>
          </w:p>
        </w:tc>
        <w:tc>
          <w:tcPr>
            <w:tcW w:w="1680" w:type="dxa"/>
            <w:vAlign w:val="center"/>
          </w:tcPr>
          <w:p w14:paraId="426D1647">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130" w:type="dxa"/>
            <w:vAlign w:val="center"/>
          </w:tcPr>
          <w:p w14:paraId="69981563">
            <w:pPr>
              <w:spacing w:before="234" w:line="400" w:lineRule="auto"/>
              <w:jc w:val="both"/>
              <w:rPr>
                <w:rFonts w:hint="eastAsia" w:ascii="宋体" w:hAnsi="宋体" w:eastAsia="宋体" w:cs="宋体"/>
                <w:b w:val="0"/>
                <w:bCs w:val="0"/>
                <w:sz w:val="24"/>
                <w:szCs w:val="24"/>
                <w:highlight w:val="none"/>
              </w:rPr>
            </w:pPr>
            <w:r>
              <w:rPr>
                <w:rFonts w:hint="eastAsia" w:ascii="宋体" w:hAnsi="宋体" w:eastAsia="宋体" w:cs="宋体"/>
                <w:color w:val="auto"/>
                <w:kern w:val="0"/>
                <w:sz w:val="24"/>
                <w:highlight w:val="none"/>
                <w:lang w:eastAsia="zh-CN"/>
              </w:rPr>
              <w:t>按期提交成果文件并经</w:t>
            </w:r>
            <w:r>
              <w:rPr>
                <w:rFonts w:hint="eastAsia" w:ascii="宋体" w:hAnsi="宋体" w:cs="宋体"/>
                <w:color w:val="auto"/>
                <w:kern w:val="0"/>
                <w:sz w:val="24"/>
                <w:highlight w:val="none"/>
                <w:lang w:eastAsia="zh-CN"/>
              </w:rPr>
              <w:t>评审合格</w:t>
            </w:r>
            <w:r>
              <w:rPr>
                <w:rFonts w:hint="eastAsia" w:ascii="宋体" w:hAnsi="宋体" w:eastAsia="宋体" w:cs="宋体"/>
                <w:color w:val="auto"/>
                <w:kern w:val="0"/>
                <w:sz w:val="24"/>
                <w:highlight w:val="none"/>
                <w:lang w:eastAsia="zh-CN"/>
              </w:rPr>
              <w:t>通过</w:t>
            </w:r>
            <w:r>
              <w:rPr>
                <w:rFonts w:hint="eastAsia" w:ascii="宋体" w:hAnsi="宋体" w:cs="宋体"/>
                <w:color w:val="auto"/>
                <w:kern w:val="0"/>
                <w:sz w:val="24"/>
                <w:highlight w:val="none"/>
                <w:lang w:eastAsia="zh-CN"/>
              </w:rPr>
              <w:t>后</w:t>
            </w:r>
            <w:r>
              <w:rPr>
                <w:rFonts w:hint="eastAsia" w:ascii="宋体" w:hAnsi="宋体" w:eastAsia="宋体" w:cs="宋体"/>
                <w:color w:val="auto"/>
                <w:kern w:val="0"/>
                <w:sz w:val="24"/>
                <w:highlight w:val="none"/>
                <w:lang w:eastAsia="zh-CN"/>
              </w:rPr>
              <w:t>一次性支付合同价款（具体以签订合同为准）。</w:t>
            </w:r>
          </w:p>
        </w:tc>
      </w:tr>
      <w:tr w14:paraId="191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C9637D6">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8</w:t>
            </w:r>
          </w:p>
        </w:tc>
        <w:tc>
          <w:tcPr>
            <w:tcW w:w="1680" w:type="dxa"/>
            <w:vAlign w:val="center"/>
          </w:tcPr>
          <w:p w14:paraId="06308402">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7130" w:type="dxa"/>
            <w:vAlign w:val="center"/>
          </w:tcPr>
          <w:p w14:paraId="225C7B0E">
            <w:pPr>
              <w:pStyle w:val="90"/>
              <w:pageBreakBefore w:val="0"/>
              <w:widowControl w:val="0"/>
              <w:kinsoku/>
              <w:wordWrap/>
              <w:overflowPunct/>
              <w:topLinePunct w:val="0"/>
              <w:autoSpaceDE/>
              <w:autoSpaceDN/>
              <w:bidi w:val="0"/>
              <w:spacing w:before="0" w:beforeAutospacing="0" w:after="0" w:afterAutospacing="0" w:line="500" w:lineRule="exact"/>
              <w:jc w:val="both"/>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60日历天</w:t>
            </w:r>
          </w:p>
        </w:tc>
      </w:tr>
      <w:tr w14:paraId="205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EB9D6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9</w:t>
            </w:r>
          </w:p>
        </w:tc>
        <w:tc>
          <w:tcPr>
            <w:tcW w:w="1680" w:type="dxa"/>
            <w:vAlign w:val="center"/>
          </w:tcPr>
          <w:p w14:paraId="1C12AC7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r>
              <w:rPr>
                <w:rFonts w:hint="eastAsia" w:ascii="宋体" w:hAnsi="宋体" w:eastAsia="宋体" w:cs="宋体"/>
                <w:bCs/>
                <w:kern w:val="2"/>
                <w:sz w:val="24"/>
                <w:szCs w:val="24"/>
              </w:rPr>
              <w:t>中标服务费</w:t>
            </w:r>
          </w:p>
        </w:tc>
        <w:tc>
          <w:tcPr>
            <w:tcW w:w="7130" w:type="dxa"/>
            <w:vAlign w:val="center"/>
          </w:tcPr>
          <w:p w14:paraId="15970FB4">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pacing w:val="-5"/>
                <w:sz w:val="24"/>
                <w:szCs w:val="24"/>
                <w:lang w:val="en-US" w:eastAsia="zh-CN"/>
              </w:rPr>
            </w:pPr>
            <w:r>
              <w:rPr>
                <w:rFonts w:hint="eastAsia" w:ascii="宋体" w:hAnsi="宋体" w:cs="宋体"/>
                <w:color w:val="auto"/>
                <w:szCs w:val="24"/>
                <w:highlight w:val="none"/>
              </w:rPr>
              <w:t>在领取成交通知书时，成交供应商须向采购代理机构交纳</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代理服务费、专家评审费</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按</w:t>
            </w:r>
            <w:r>
              <w:rPr>
                <w:rFonts w:hint="eastAsia" w:ascii="宋体" w:hAnsi="宋体" w:eastAsia="宋体" w:cs="宋体"/>
                <w:spacing w:val="-5"/>
                <w:sz w:val="24"/>
                <w:szCs w:val="24"/>
                <w:lang w:val="en-US" w:eastAsia="zh-CN"/>
              </w:rPr>
              <w:t>按下列标准的100%收取：代理服务费的收取采用差额定率累进计费方式，具体收费标准为下表：</w:t>
            </w:r>
          </w:p>
          <w:tbl>
            <w:tblPr>
              <w:tblStyle w:val="36"/>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73"/>
              <w:gridCol w:w="1773"/>
              <w:gridCol w:w="1773"/>
            </w:tblGrid>
            <w:tr w14:paraId="60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194906A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ascii="宋体" w:hAnsi="宋体" w:eastAsia="宋体" w:cs="宋体"/>
                      <w:spacing w:val="-4"/>
                      <w:sz w:val="24"/>
                      <w:szCs w:val="24"/>
                    </w:rPr>
                    <w:t>中标（成交）金额</w:t>
                  </w:r>
                  <w:r>
                    <w:rPr>
                      <w:rFonts w:ascii="宋体" w:hAnsi="宋体" w:eastAsia="宋体" w:cs="宋体"/>
                      <w:sz w:val="24"/>
                      <w:szCs w:val="24"/>
                    </w:rPr>
                    <w:t xml:space="preserve"> </w:t>
                  </w:r>
                  <w:r>
                    <w:rPr>
                      <w:rFonts w:ascii="宋体" w:hAnsi="宋体" w:eastAsia="宋体" w:cs="宋体"/>
                      <w:spacing w:val="-6"/>
                      <w:sz w:val="24"/>
                      <w:szCs w:val="24"/>
                    </w:rPr>
                    <w:t>（万元）</w:t>
                  </w:r>
                </w:p>
              </w:tc>
              <w:tc>
                <w:tcPr>
                  <w:tcW w:w="1773" w:type="dxa"/>
                  <w:shd w:val="clear" w:color="auto" w:fill="auto"/>
                  <w:vAlign w:val="center"/>
                </w:tcPr>
                <w:p w14:paraId="6BDE3E9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货物类项目</w:t>
                  </w:r>
                </w:p>
              </w:tc>
              <w:tc>
                <w:tcPr>
                  <w:tcW w:w="1773" w:type="dxa"/>
                  <w:shd w:val="clear" w:color="auto" w:fill="auto"/>
                  <w:vAlign w:val="center"/>
                </w:tcPr>
                <w:p w14:paraId="221142E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服务类项目</w:t>
                  </w:r>
                </w:p>
              </w:tc>
              <w:tc>
                <w:tcPr>
                  <w:tcW w:w="1773" w:type="dxa"/>
                  <w:shd w:val="clear" w:color="auto" w:fill="auto"/>
                  <w:vAlign w:val="center"/>
                </w:tcPr>
                <w:p w14:paraId="755E79B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工程类项目</w:t>
                  </w:r>
                </w:p>
              </w:tc>
            </w:tr>
            <w:tr w14:paraId="11B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5B2535F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100以下</w:t>
                  </w:r>
                </w:p>
              </w:tc>
              <w:tc>
                <w:tcPr>
                  <w:tcW w:w="1773" w:type="dxa"/>
                  <w:vAlign w:val="center"/>
                </w:tcPr>
                <w:p w14:paraId="5A4A64D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2CD86FF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5AB7962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w:t>
                  </w:r>
                </w:p>
              </w:tc>
            </w:tr>
            <w:tr w14:paraId="055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3C4A4D3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100-500</w:t>
                  </w:r>
                </w:p>
              </w:tc>
              <w:tc>
                <w:tcPr>
                  <w:tcW w:w="1773" w:type="dxa"/>
                  <w:vAlign w:val="center"/>
                </w:tcPr>
                <w:p w14:paraId="64EDF0EB">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1.1%</w:t>
                  </w:r>
                </w:p>
              </w:tc>
              <w:tc>
                <w:tcPr>
                  <w:tcW w:w="1773" w:type="dxa"/>
                  <w:vAlign w:val="center"/>
                </w:tcPr>
                <w:p w14:paraId="6A82D12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361D8E6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0.7%</w:t>
                  </w:r>
                </w:p>
              </w:tc>
            </w:tr>
            <w:tr w14:paraId="5FB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7FA60D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500-1000</w:t>
                  </w:r>
                </w:p>
              </w:tc>
              <w:tc>
                <w:tcPr>
                  <w:tcW w:w="1773" w:type="dxa"/>
                  <w:vAlign w:val="center"/>
                </w:tcPr>
                <w:p w14:paraId="6DFA325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7D217C1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w:t>
                  </w:r>
                  <w:r>
                    <w:rPr>
                      <w:rFonts w:hint="eastAsia" w:ascii="宋体" w:hAnsi="宋体" w:cs="宋体"/>
                      <w:spacing w:val="-5"/>
                      <w:sz w:val="24"/>
                      <w:szCs w:val="24"/>
                      <w:vertAlign w:val="baseline"/>
                      <w:lang w:val="en-US" w:eastAsia="zh-CN"/>
                    </w:rPr>
                    <w:t>4</w:t>
                  </w:r>
                  <w:r>
                    <w:rPr>
                      <w:rFonts w:hint="eastAsia" w:ascii="宋体" w:hAnsi="宋体" w:eastAsia="宋体" w:cs="宋体"/>
                      <w:spacing w:val="-5"/>
                      <w:sz w:val="24"/>
                      <w:szCs w:val="24"/>
                      <w:vertAlign w:val="baseline"/>
                      <w:lang w:val="en-US" w:eastAsia="zh-CN"/>
                    </w:rPr>
                    <w:t>5%</w:t>
                  </w:r>
                </w:p>
              </w:tc>
              <w:tc>
                <w:tcPr>
                  <w:tcW w:w="1773" w:type="dxa"/>
                  <w:vAlign w:val="center"/>
                </w:tcPr>
                <w:p w14:paraId="0CF5544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0.55%</w:t>
                  </w:r>
                </w:p>
              </w:tc>
            </w:tr>
            <w:tr w14:paraId="287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5ED6AB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1000-5000</w:t>
                  </w:r>
                </w:p>
              </w:tc>
              <w:tc>
                <w:tcPr>
                  <w:tcW w:w="1773" w:type="dxa"/>
                  <w:vAlign w:val="center"/>
                </w:tcPr>
                <w:p w14:paraId="0C825A6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w:t>
                  </w:r>
                </w:p>
              </w:tc>
              <w:tc>
                <w:tcPr>
                  <w:tcW w:w="1773" w:type="dxa"/>
                  <w:vAlign w:val="center"/>
                </w:tcPr>
                <w:p w14:paraId="41D7B48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2313CE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0.35%</w:t>
                  </w:r>
                </w:p>
              </w:tc>
            </w:tr>
            <w:tr w14:paraId="181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351F3E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5000-10000</w:t>
                  </w:r>
                </w:p>
              </w:tc>
              <w:tc>
                <w:tcPr>
                  <w:tcW w:w="1773" w:type="dxa"/>
                  <w:vAlign w:val="center"/>
                </w:tcPr>
                <w:p w14:paraId="2A54CD54">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46672A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0.1%</w:t>
                  </w:r>
                </w:p>
              </w:tc>
              <w:tc>
                <w:tcPr>
                  <w:tcW w:w="1773" w:type="dxa"/>
                  <w:vAlign w:val="center"/>
                </w:tcPr>
                <w:p w14:paraId="06AF547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w:t>
                  </w:r>
                </w:p>
              </w:tc>
            </w:tr>
            <w:tr w14:paraId="59B5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720BE5C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10000-100000</w:t>
                  </w:r>
                </w:p>
              </w:tc>
              <w:tc>
                <w:tcPr>
                  <w:tcW w:w="1773" w:type="dxa"/>
                  <w:vAlign w:val="center"/>
                </w:tcPr>
                <w:p w14:paraId="2EE27929">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094A778E">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64171FFB">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r>
            <w:tr w14:paraId="501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4BE2AA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100000以上</w:t>
                  </w:r>
                </w:p>
              </w:tc>
              <w:tc>
                <w:tcPr>
                  <w:tcW w:w="1773" w:type="dxa"/>
                  <w:vAlign w:val="center"/>
                </w:tcPr>
                <w:p w14:paraId="026422B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384EA32A">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0D450C96">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r>
          </w:tbl>
          <w:p w14:paraId="60CBC4FE">
            <w:pPr>
              <w:pageBreakBefore w:val="0"/>
              <w:kinsoku/>
              <w:wordWrap/>
              <w:overflowPunct/>
              <w:topLinePunct w:val="0"/>
              <w:autoSpaceDE/>
              <w:autoSpaceDN/>
              <w:bidi w:val="0"/>
              <w:spacing w:line="500" w:lineRule="exac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注：代理服务费按差额定率累进法计算（</w:t>
            </w:r>
            <w:r>
              <w:rPr>
                <w:rFonts w:hint="eastAsia" w:ascii="宋体" w:hAnsi="宋体" w:eastAsia="宋体" w:cs="宋体"/>
                <w:bCs/>
                <w:sz w:val="24"/>
                <w:szCs w:val="24"/>
                <w:lang w:val="en-US" w:eastAsia="zh-CN"/>
              </w:rPr>
              <w:t>代理费不足2000元的按2000 元计取</w:t>
            </w:r>
            <w:r>
              <w:rPr>
                <w:rFonts w:hint="eastAsia" w:ascii="宋体" w:hAnsi="宋体" w:eastAsia="宋体" w:cs="宋体"/>
                <w:bCs/>
                <w:sz w:val="24"/>
                <w:szCs w:val="24"/>
                <w:lang w:val="zh-CN" w:eastAsia="zh-CN"/>
              </w:rPr>
              <w:t>）。专家评审费（具体以实际支付金额为准）由成交供应商在领取成交通知书时另行支付。</w:t>
            </w:r>
          </w:p>
          <w:p w14:paraId="6AC3CC82">
            <w:pPr>
              <w:pageBreakBefore w:val="0"/>
              <w:kinsoku/>
              <w:wordWrap/>
              <w:overflowPunct/>
              <w:topLinePunct w:val="0"/>
              <w:autoSpaceDE/>
              <w:autoSpaceDN/>
              <w:bidi w:val="0"/>
              <w:spacing w:line="5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供应商在报价时应充分考虑上述费用，并包含在投标报价的单价、合价与总价中，不单独进行报价。</w:t>
            </w:r>
          </w:p>
        </w:tc>
      </w:tr>
      <w:tr w14:paraId="30B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2F3E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10</w:t>
            </w:r>
          </w:p>
        </w:tc>
        <w:tc>
          <w:tcPr>
            <w:tcW w:w="1680" w:type="dxa"/>
            <w:vAlign w:val="center"/>
          </w:tcPr>
          <w:p w14:paraId="162ACC50">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履约保证金</w:t>
            </w:r>
          </w:p>
        </w:tc>
        <w:tc>
          <w:tcPr>
            <w:tcW w:w="7130" w:type="dxa"/>
            <w:vAlign w:val="center"/>
          </w:tcPr>
          <w:p w14:paraId="38872793">
            <w:pPr>
              <w:pageBreakBefore w:val="0"/>
              <w:kinsoku/>
              <w:wordWrap/>
              <w:overflowPunct/>
              <w:topLinePunct w:val="0"/>
              <w:autoSpaceDE/>
              <w:autoSpaceDN/>
              <w:bidi w:val="0"/>
              <w:spacing w:line="5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1、成交供应商在签订合同时应向采购人提交合同总价</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%的履约保证金（最高缴纳比例不得超过合同金额的2.5%）。</w:t>
            </w:r>
          </w:p>
          <w:p w14:paraId="6D78E101">
            <w:pPr>
              <w:pageBreakBefore w:val="0"/>
              <w:kinsoku/>
              <w:wordWrap/>
              <w:overflowPunct/>
              <w:topLinePunct w:val="0"/>
              <w:autoSpaceDE/>
              <w:autoSpaceDN/>
              <w:bidi w:val="0"/>
              <w:spacing w:line="5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2、成交供应商可以通过转账、网银支付、汇票、支票、保证保险、担保保函、银行履约保函等方式提交履约保证金。</w:t>
            </w:r>
          </w:p>
          <w:p w14:paraId="050F63DF">
            <w:pPr>
              <w:pStyle w:val="33"/>
              <w:pageBreakBefore w:val="0"/>
              <w:kinsoku/>
              <w:wordWrap/>
              <w:overflowPunct/>
              <w:topLinePunct w:val="0"/>
              <w:autoSpaceDE/>
              <w:autoSpaceDN/>
              <w:bidi w:val="0"/>
              <w:spacing w:line="500" w:lineRule="exact"/>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3、项目验收结束后应及时退还履约保证金。</w:t>
            </w:r>
          </w:p>
        </w:tc>
      </w:tr>
      <w:tr w14:paraId="6757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403D23B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11</w:t>
            </w:r>
          </w:p>
        </w:tc>
        <w:tc>
          <w:tcPr>
            <w:tcW w:w="1680" w:type="dxa"/>
            <w:vAlign w:val="center"/>
          </w:tcPr>
          <w:p w14:paraId="5E66EB2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勘察及对接</w:t>
            </w:r>
          </w:p>
        </w:tc>
        <w:tc>
          <w:tcPr>
            <w:tcW w:w="7130" w:type="dxa"/>
            <w:vAlign w:val="center"/>
          </w:tcPr>
          <w:p w14:paraId="5D04740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请各供应商自行勘踏。</w:t>
            </w:r>
          </w:p>
        </w:tc>
      </w:tr>
      <w:tr w14:paraId="3364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5B907823">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12</w:t>
            </w:r>
          </w:p>
        </w:tc>
        <w:tc>
          <w:tcPr>
            <w:tcW w:w="1680" w:type="dxa"/>
            <w:vAlign w:val="center"/>
          </w:tcPr>
          <w:p w14:paraId="75F03BC9">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提问与回复</w:t>
            </w:r>
          </w:p>
        </w:tc>
        <w:tc>
          <w:tcPr>
            <w:tcW w:w="7130" w:type="dxa"/>
            <w:vAlign w:val="center"/>
          </w:tcPr>
          <w:p w14:paraId="65A1102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cs="宋体"/>
                <w:bCs/>
                <w:kern w:val="2"/>
                <w:szCs w:val="24"/>
              </w:rPr>
              <w:t>供应商若对采购文件有关内容存在理解障碍，或认为采购文件表述有模糊不清之处，可通过</w:t>
            </w:r>
            <w:r>
              <w:rPr>
                <w:rFonts w:hint="eastAsia" w:ascii="宋体" w:hAnsi="宋体" w:cs="宋体"/>
                <w:bCs/>
                <w:kern w:val="2"/>
                <w:szCs w:val="24"/>
                <w:lang w:val="en-US"/>
              </w:rPr>
              <w:t>电子邮箱（</w:t>
            </w:r>
            <w:r>
              <w:rPr>
                <w:rFonts w:hint="eastAsia" w:ascii="宋体" w:hAnsi="宋体" w:cs="宋体"/>
                <w:szCs w:val="24"/>
              </w:rPr>
              <w:t>递交至</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提出，采购人（采购代理机构）收到供应商提问后将及时通过</w:t>
            </w:r>
            <w:r>
              <w:rPr>
                <w:rFonts w:hint="eastAsia" w:ascii="宋体" w:hAnsi="宋体" w:cs="宋体"/>
                <w:bCs/>
                <w:kern w:val="2"/>
                <w:szCs w:val="24"/>
                <w:lang w:val="en-US"/>
              </w:rPr>
              <w:t>邮箱</w:t>
            </w:r>
            <w:r>
              <w:rPr>
                <w:rFonts w:hint="eastAsia" w:ascii="宋体" w:hAnsi="宋体" w:cs="宋体"/>
                <w:bCs/>
                <w:kern w:val="2"/>
                <w:szCs w:val="24"/>
              </w:rPr>
              <w:t>回复。供应商提问（</w:t>
            </w:r>
            <w:r>
              <w:rPr>
                <w:rFonts w:hint="eastAsia" w:ascii="宋体" w:hAnsi="宋体" w:cs="宋体"/>
                <w:bCs/>
                <w:kern w:val="2"/>
                <w:szCs w:val="24"/>
                <w:lang w:val="en-US"/>
              </w:rPr>
              <w:t>非质疑的一般性问题</w:t>
            </w:r>
            <w:r>
              <w:rPr>
                <w:rFonts w:hint="eastAsia" w:ascii="宋体" w:hAnsi="宋体" w:cs="宋体"/>
                <w:bCs/>
                <w:kern w:val="2"/>
                <w:szCs w:val="24"/>
              </w:rPr>
              <w:t>）时应当隐藏自身信息，直接提出针对项目的相关疑问即可。提交成功后请供应商及时通过</w:t>
            </w:r>
            <w:r>
              <w:rPr>
                <w:rFonts w:hint="eastAsia" w:ascii="宋体" w:hAnsi="宋体" w:cs="宋体"/>
                <w:bCs/>
                <w:kern w:val="2"/>
                <w:szCs w:val="24"/>
                <w:lang w:val="en-US"/>
              </w:rPr>
              <w:t>发出质疑的邮箱</w:t>
            </w:r>
            <w:r>
              <w:rPr>
                <w:rFonts w:hint="eastAsia" w:ascii="宋体" w:hAnsi="宋体" w:cs="宋体"/>
                <w:bCs/>
                <w:kern w:val="2"/>
                <w:szCs w:val="24"/>
              </w:rPr>
              <w:t>查看回复内容。</w:t>
            </w:r>
          </w:p>
        </w:tc>
      </w:tr>
      <w:tr w14:paraId="6D1B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6565541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13</w:t>
            </w:r>
          </w:p>
        </w:tc>
        <w:tc>
          <w:tcPr>
            <w:tcW w:w="1680" w:type="dxa"/>
            <w:vAlign w:val="center"/>
          </w:tcPr>
          <w:p w14:paraId="1B008DA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质疑与答疑</w:t>
            </w:r>
          </w:p>
        </w:tc>
        <w:tc>
          <w:tcPr>
            <w:tcW w:w="7130" w:type="dxa"/>
            <w:vAlign w:val="center"/>
          </w:tcPr>
          <w:p w14:paraId="2E3157B5">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1、质疑提出</w:t>
            </w:r>
            <w:r>
              <w:rPr>
                <w:rFonts w:hint="eastAsia" w:ascii="宋体" w:hAnsi="宋体" w:eastAsia="宋体" w:cs="宋体"/>
                <w:bCs/>
                <w:kern w:val="2"/>
                <w:sz w:val="24"/>
                <w:szCs w:val="24"/>
                <w:lang w:val="en-US"/>
              </w:rPr>
              <w:t>具体步骤</w:t>
            </w:r>
            <w:r>
              <w:rPr>
                <w:rFonts w:hint="eastAsia" w:ascii="宋体" w:hAnsi="宋体" w:eastAsia="宋体" w:cs="宋体"/>
                <w:bCs/>
                <w:kern w:val="2"/>
                <w:sz w:val="24"/>
                <w:szCs w:val="24"/>
              </w:rPr>
              <w:t>：供应商若对采购文件有关内容存在质疑，可通过</w:t>
            </w:r>
            <w:r>
              <w:rPr>
                <w:rFonts w:hint="eastAsia" w:ascii="宋体" w:hAnsi="宋体" w:eastAsia="宋体" w:cs="宋体"/>
                <w:bCs/>
                <w:kern w:val="2"/>
                <w:sz w:val="24"/>
                <w:szCs w:val="24"/>
                <w:lang w:val="en-US"/>
              </w:rPr>
              <w:t>电子邮箱（</w:t>
            </w:r>
            <w:r>
              <w:rPr>
                <w:rFonts w:hint="eastAsia" w:ascii="宋体" w:hAnsi="宋体" w:eastAsia="宋体" w:cs="宋体"/>
                <w:bCs/>
                <w:kern w:val="2"/>
                <w:sz w:val="24"/>
                <w:szCs w:val="24"/>
              </w:rPr>
              <w:t>递交至邮箱</w:t>
            </w:r>
            <w:r>
              <w:rPr>
                <w:rFonts w:hint="eastAsia" w:ascii="宋体" w:hAnsi="宋体" w:eastAsia="宋体" w:cs="宋体"/>
                <w:bCs/>
                <w:kern w:val="2"/>
                <w:sz w:val="24"/>
                <w:szCs w:val="24"/>
                <w:lang w:val="en-US"/>
              </w:rPr>
              <w:t>943084965</w:t>
            </w:r>
            <w:r>
              <w:rPr>
                <w:rFonts w:hint="eastAsia" w:ascii="宋体" w:hAnsi="宋体" w:eastAsia="宋体" w:cs="宋体"/>
                <w:bCs/>
                <w:kern w:val="2"/>
                <w:sz w:val="24"/>
                <w:szCs w:val="24"/>
              </w:rPr>
              <w:t>@qq.com</w:t>
            </w:r>
            <w:r>
              <w:rPr>
                <w:rFonts w:hint="eastAsia" w:ascii="宋体" w:hAnsi="宋体" w:eastAsia="宋体" w:cs="宋体"/>
                <w:bCs/>
                <w:kern w:val="2"/>
                <w:sz w:val="24"/>
                <w:szCs w:val="24"/>
                <w:lang w:val="en-US"/>
              </w:rPr>
              <w:t>）</w:t>
            </w:r>
            <w:r>
              <w:rPr>
                <w:rFonts w:hint="eastAsia" w:ascii="宋体" w:hAnsi="宋体" w:eastAsia="宋体" w:cs="宋体"/>
                <w:bCs/>
                <w:kern w:val="2"/>
                <w:sz w:val="24"/>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eastAsia="宋体" w:cs="宋体"/>
                <w:bCs/>
                <w:kern w:val="2"/>
                <w:sz w:val="24"/>
                <w:szCs w:val="24"/>
                <w:lang w:val="en-US"/>
              </w:rPr>
              <w:t>公章</w:t>
            </w:r>
            <w:r>
              <w:rPr>
                <w:rFonts w:hint="eastAsia" w:ascii="宋体" w:hAnsi="宋体" w:eastAsia="宋体" w:cs="宋体"/>
                <w:bCs/>
                <w:kern w:val="2"/>
                <w:sz w:val="24"/>
                <w:szCs w:val="24"/>
              </w:rPr>
              <w:t>签章后</w:t>
            </w:r>
            <w:r>
              <w:rPr>
                <w:rFonts w:hint="eastAsia" w:ascii="宋体" w:hAnsi="宋体" w:eastAsia="宋体" w:cs="宋体"/>
                <w:bCs/>
                <w:kern w:val="2"/>
                <w:sz w:val="24"/>
                <w:szCs w:val="24"/>
                <w:lang w:val="en-US"/>
              </w:rPr>
              <w:t>扫描</w:t>
            </w:r>
            <w:r>
              <w:rPr>
                <w:rFonts w:hint="eastAsia" w:ascii="宋体" w:hAnsi="宋体" w:eastAsia="宋体" w:cs="宋体"/>
                <w:bCs/>
                <w:kern w:val="2"/>
                <w:sz w:val="24"/>
                <w:szCs w:val="24"/>
              </w:rPr>
              <w:t>提交。</w:t>
            </w:r>
          </w:p>
          <w:p w14:paraId="6794CB7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2、质疑答</w:t>
            </w:r>
            <w:r>
              <w:rPr>
                <w:rFonts w:hint="eastAsia" w:ascii="宋体" w:hAnsi="宋体" w:eastAsia="宋体" w:cs="宋体"/>
                <w:bCs/>
                <w:kern w:val="2"/>
                <w:sz w:val="24"/>
                <w:szCs w:val="24"/>
                <w:lang w:val="en-US"/>
              </w:rPr>
              <w:t>复</w:t>
            </w:r>
            <w:r>
              <w:rPr>
                <w:rFonts w:hint="eastAsia" w:ascii="宋体" w:hAnsi="宋体" w:eastAsia="宋体" w:cs="宋体"/>
                <w:bCs/>
                <w:kern w:val="2"/>
                <w:sz w:val="24"/>
                <w:szCs w:val="24"/>
              </w:rPr>
              <w:t>获取具体步骤：采购人（采购代理机构）将通过</w:t>
            </w:r>
            <w:r>
              <w:rPr>
                <w:rFonts w:hint="eastAsia" w:ascii="宋体" w:hAnsi="宋体" w:eastAsia="宋体" w:cs="宋体"/>
                <w:bCs/>
                <w:kern w:val="2"/>
                <w:sz w:val="24"/>
                <w:szCs w:val="24"/>
                <w:lang w:val="en-US"/>
              </w:rPr>
              <w:t>邮箱</w:t>
            </w:r>
            <w:r>
              <w:rPr>
                <w:rFonts w:hint="eastAsia" w:ascii="宋体" w:hAnsi="宋体" w:eastAsia="宋体" w:cs="宋体"/>
                <w:bCs/>
                <w:kern w:val="2"/>
                <w:sz w:val="24"/>
                <w:szCs w:val="24"/>
              </w:rPr>
              <w:t>于收到质疑文件后七个工作日内答复，请质疑人及时</w:t>
            </w:r>
            <w:r>
              <w:rPr>
                <w:rFonts w:hint="eastAsia" w:ascii="宋体" w:hAnsi="宋体" w:eastAsia="宋体" w:cs="宋体"/>
                <w:bCs/>
                <w:kern w:val="2"/>
                <w:sz w:val="24"/>
                <w:szCs w:val="24"/>
                <w:lang w:val="en-US"/>
              </w:rPr>
              <w:t>通过发出质疑的邮箱</w:t>
            </w:r>
            <w:r>
              <w:rPr>
                <w:rFonts w:hint="eastAsia" w:ascii="宋体" w:hAnsi="宋体" w:eastAsia="宋体" w:cs="宋体"/>
                <w:bCs/>
                <w:kern w:val="2"/>
                <w:sz w:val="24"/>
                <w:szCs w:val="24"/>
              </w:rPr>
              <w:t>查收答疑文件。</w:t>
            </w:r>
          </w:p>
          <w:p w14:paraId="10157A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请各潜在供应商在响应截止时间前，务必登录安徽衡宇工程咨询有限公司网（http://www.ahhygczx.com），查看是否发布有关该项目更正公告或澄清。更正公告或或澄清为采购文件的有效组成部分，一经发布即为视同已通知所有潜在供应商，若因未及时关注而造成的一切后果，由供应商自行承担。</w:t>
            </w:r>
          </w:p>
        </w:tc>
      </w:tr>
      <w:tr w14:paraId="2F41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0D5522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14</w:t>
            </w:r>
          </w:p>
        </w:tc>
        <w:tc>
          <w:tcPr>
            <w:tcW w:w="1680" w:type="dxa"/>
            <w:vAlign w:val="center"/>
          </w:tcPr>
          <w:p w14:paraId="3C95993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响应文件份数及要求</w:t>
            </w:r>
          </w:p>
        </w:tc>
        <w:tc>
          <w:tcPr>
            <w:tcW w:w="7130" w:type="dxa"/>
            <w:vAlign w:val="center"/>
          </w:tcPr>
          <w:p w14:paraId="10FA0D15">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14:paraId="576478C6">
            <w:pPr>
              <w:pStyle w:val="88"/>
              <w:pBdr>
                <w:bottom w:val="none" w:color="auto" w:sz="0" w:space="0"/>
              </w:pBdr>
              <w:tabs>
                <w:tab w:val="clear" w:pos="4153"/>
                <w:tab w:val="clear" w:pos="8306"/>
              </w:tabs>
              <w:adjustRightInd/>
              <w:spacing w:line="500" w:lineRule="exact"/>
              <w:jc w:val="left"/>
              <w:textAlignment w:val="auto"/>
              <w:rPr>
                <w:rFonts w:ascii="宋体" w:hAnsi="宋体"/>
                <w:szCs w:val="24"/>
                <w:lang w:val="en-US"/>
              </w:rPr>
            </w:pPr>
            <w:r>
              <w:rPr>
                <w:rFonts w:hint="eastAsia" w:ascii="宋体" w:hAnsi="宋体"/>
                <w:szCs w:val="24"/>
                <w:lang w:val="en-US"/>
              </w:rPr>
              <w:t>要求：</w:t>
            </w:r>
          </w:p>
          <w:p w14:paraId="20721CC2">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4EF60509">
            <w:pPr>
              <w:pStyle w:val="88"/>
              <w:numPr>
                <w:ilvl w:val="0"/>
                <w:numId w:val="2"/>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741F4B4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szCs w:val="24"/>
              </w:rPr>
              <w:t>响应文件正本与副本可以包装在一起密封提交，也可以分开包装密封提交。</w:t>
            </w:r>
          </w:p>
        </w:tc>
      </w:tr>
      <w:tr w14:paraId="6F72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60894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15</w:t>
            </w:r>
          </w:p>
        </w:tc>
        <w:tc>
          <w:tcPr>
            <w:tcW w:w="1680" w:type="dxa"/>
            <w:vAlign w:val="center"/>
          </w:tcPr>
          <w:p w14:paraId="6DF1446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递交响应文件注意事项</w:t>
            </w:r>
          </w:p>
        </w:tc>
        <w:tc>
          <w:tcPr>
            <w:tcW w:w="7130" w:type="dxa"/>
            <w:vAlign w:val="center"/>
          </w:tcPr>
          <w:p w14:paraId="41EA6B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响应文件必须在响应截止时间前</w:t>
            </w:r>
            <w:r>
              <w:rPr>
                <w:rFonts w:hint="eastAsia" w:ascii="宋体" w:hAnsi="宋体" w:eastAsia="宋体" w:cs="宋体"/>
                <w:kern w:val="2"/>
                <w:sz w:val="24"/>
                <w:szCs w:val="24"/>
                <w:lang w:eastAsia="zh-CN"/>
              </w:rPr>
              <w:t>现场</w:t>
            </w:r>
            <w:r>
              <w:rPr>
                <w:rFonts w:hint="eastAsia" w:ascii="宋体" w:hAnsi="宋体" w:eastAsia="宋体" w:cs="宋体"/>
                <w:kern w:val="2"/>
                <w:sz w:val="24"/>
                <w:szCs w:val="24"/>
              </w:rPr>
              <w:t>递交</w:t>
            </w:r>
          </w:p>
        </w:tc>
      </w:tr>
      <w:tr w14:paraId="7C5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4799F2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16</w:t>
            </w:r>
          </w:p>
        </w:tc>
        <w:tc>
          <w:tcPr>
            <w:tcW w:w="1680" w:type="dxa"/>
            <w:vAlign w:val="center"/>
          </w:tcPr>
          <w:p w14:paraId="5E3B6F17">
            <w:pPr>
              <w:pStyle w:val="88"/>
              <w:pBdr>
                <w:bottom w:val="none" w:color="auto" w:sz="0" w:space="0"/>
              </w:pBdr>
              <w:tabs>
                <w:tab w:val="clear" w:pos="4153"/>
                <w:tab w:val="clear" w:pos="8306"/>
              </w:tabs>
              <w:adjustRightInd/>
              <w:spacing w:line="500" w:lineRule="exact"/>
              <w:textAlignment w:val="auto"/>
              <w:rPr>
                <w:rFonts w:hint="eastAsia" w:ascii="宋体" w:hAnsi="宋体" w:eastAsia="宋体" w:cs="宋体"/>
                <w:bCs/>
                <w:kern w:val="2"/>
                <w:sz w:val="24"/>
                <w:szCs w:val="24"/>
              </w:rPr>
            </w:pPr>
            <w:r>
              <w:rPr>
                <w:rFonts w:hint="eastAsia" w:ascii="宋体" w:hAnsi="宋体"/>
                <w:szCs w:val="24"/>
              </w:rPr>
              <w:t>封套上应载明的信息</w:t>
            </w:r>
          </w:p>
        </w:tc>
        <w:tc>
          <w:tcPr>
            <w:tcW w:w="7130" w:type="dxa"/>
            <w:vAlign w:val="center"/>
          </w:tcPr>
          <w:p w14:paraId="69687AE0">
            <w:pPr>
              <w:spacing w:line="50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301F4BDF">
            <w:pPr>
              <w:pStyle w:val="99"/>
              <w:spacing w:line="50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20189F73">
            <w:pPr>
              <w:spacing w:line="50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5395D6F6">
            <w:pPr>
              <w:pStyle w:val="99"/>
              <w:spacing w:line="50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10329CDC">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kern w:val="2"/>
                <w:szCs w:val="24"/>
              </w:rPr>
              <w:t>供应商地址：</w:t>
            </w:r>
          </w:p>
        </w:tc>
      </w:tr>
      <w:tr w14:paraId="0E3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028B47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rPr>
              <w:t>1</w:t>
            </w:r>
            <w:r>
              <w:rPr>
                <w:rFonts w:hint="eastAsia" w:ascii="宋体" w:hAnsi="宋体" w:eastAsia="宋体" w:cs="宋体"/>
                <w:b/>
                <w:kern w:val="2"/>
                <w:sz w:val="24"/>
                <w:szCs w:val="24"/>
                <w:lang w:val="en-US" w:eastAsia="zh-CN"/>
              </w:rPr>
              <w:t>7</w:t>
            </w:r>
          </w:p>
        </w:tc>
        <w:tc>
          <w:tcPr>
            <w:tcW w:w="1680" w:type="dxa"/>
            <w:vAlign w:val="center"/>
          </w:tcPr>
          <w:p w14:paraId="276682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w:t>
            </w:r>
          </w:p>
        </w:tc>
        <w:tc>
          <w:tcPr>
            <w:tcW w:w="7130" w:type="dxa"/>
            <w:vAlign w:val="center"/>
          </w:tcPr>
          <w:p w14:paraId="331B4C8D">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A5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E2D858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18</w:t>
            </w:r>
          </w:p>
        </w:tc>
        <w:tc>
          <w:tcPr>
            <w:tcW w:w="1680" w:type="dxa"/>
            <w:vAlign w:val="center"/>
          </w:tcPr>
          <w:p w14:paraId="58480693">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ascii="宋体" w:hAnsi="宋体"/>
                <w:bCs/>
                <w:kern w:val="2"/>
                <w:szCs w:val="24"/>
                <w:lang w:val="en-US"/>
              </w:rPr>
              <w:t>谈判文件解释权</w:t>
            </w:r>
          </w:p>
        </w:tc>
        <w:tc>
          <w:tcPr>
            <w:tcW w:w="7130" w:type="dxa"/>
            <w:vAlign w:val="center"/>
          </w:tcPr>
          <w:p w14:paraId="3D3FD134">
            <w:pPr>
              <w:pStyle w:val="88"/>
              <w:pBdr>
                <w:bottom w:val="none" w:color="auto" w:sz="0" w:space="0"/>
              </w:pBdr>
              <w:tabs>
                <w:tab w:val="clear" w:pos="4153"/>
                <w:tab w:val="clear" w:pos="8306"/>
              </w:tabs>
              <w:adjustRightInd/>
              <w:spacing w:line="500" w:lineRule="exact"/>
              <w:jc w:val="both"/>
              <w:textAlignment w:val="auto"/>
              <w:rPr>
                <w:rFonts w:hint="eastAsia" w:ascii="宋体" w:hAnsi="宋体" w:eastAsia="宋体" w:cs="宋体"/>
                <w:bCs/>
                <w:kern w:val="2"/>
                <w:sz w:val="24"/>
                <w:szCs w:val="24"/>
              </w:rPr>
            </w:pPr>
            <w:r>
              <w:rPr>
                <w:rFonts w:ascii="宋体" w:hAnsi="宋体" w:cs="宋体"/>
                <w:szCs w:val="24"/>
              </w:rPr>
              <w:t>本谈判文件的解释权归采购人。</w:t>
            </w:r>
          </w:p>
        </w:tc>
      </w:tr>
      <w:bookmarkEnd w:id="64"/>
      <w:bookmarkEnd w:id="65"/>
      <w:bookmarkEnd w:id="66"/>
    </w:tbl>
    <w:p w14:paraId="5354636D">
      <w:pPr>
        <w:pStyle w:val="3"/>
        <w:pageBreakBefore w:val="0"/>
        <w:kinsoku/>
        <w:wordWrap/>
        <w:overflowPunct/>
        <w:topLinePunct w:val="0"/>
        <w:autoSpaceDE/>
        <w:autoSpaceDN/>
        <w:bidi w:val="0"/>
        <w:snapToGrid/>
        <w:spacing w:before="0" w:after="0" w:line="500" w:lineRule="exact"/>
        <w:ind w:firstLine="241" w:firstLineChars="100"/>
        <w:jc w:val="center"/>
        <w:rPr>
          <w:rFonts w:hint="eastAsia" w:ascii="宋体" w:hAnsi="宋体" w:eastAsia="宋体" w:cs="宋体"/>
          <w:sz w:val="24"/>
          <w:szCs w:val="24"/>
        </w:rPr>
      </w:pPr>
      <w:bookmarkStart w:id="67" w:name="_Toc7878"/>
      <w:bookmarkStart w:id="68" w:name="_Toc24713"/>
      <w:bookmarkStart w:id="69" w:name="_Toc216158630"/>
      <w:r>
        <w:rPr>
          <w:rFonts w:hint="eastAsia" w:ascii="宋体" w:hAnsi="宋体" w:eastAsia="宋体" w:cs="宋体"/>
          <w:sz w:val="24"/>
          <w:szCs w:val="24"/>
        </w:rPr>
        <w:t>（二）供应商资格</w:t>
      </w:r>
      <w:bookmarkEnd w:id="67"/>
      <w:bookmarkEnd w:id="68"/>
    </w:p>
    <w:p w14:paraId="1C7E917D">
      <w:pPr>
        <w:pStyle w:val="33"/>
        <w:pageBreakBefore w:val="0"/>
        <w:kinsoku/>
        <w:wordWrap/>
        <w:overflowPunct/>
        <w:topLinePunct w:val="0"/>
        <w:autoSpaceDE/>
        <w:autoSpaceDN/>
        <w:bidi w:val="0"/>
        <w:snapToGrid/>
        <w:spacing w:after="0" w:line="500" w:lineRule="exact"/>
        <w:ind w:firstLine="480" w:firstLineChars="200"/>
        <w:jc w:val="left"/>
        <w:rPr>
          <w:rFonts w:hint="eastAsia" w:ascii="宋体" w:hAnsi="宋体" w:eastAsia="宋体" w:cs="宋体"/>
          <w:sz w:val="24"/>
          <w:szCs w:val="24"/>
        </w:rPr>
      </w:pPr>
      <w:bookmarkStart w:id="70" w:name="_Toc216158625"/>
      <w:bookmarkStart w:id="71" w:name="_Toc438648662"/>
      <w:bookmarkStart w:id="72" w:name="_Toc363199266"/>
      <w:r>
        <w:rPr>
          <w:rFonts w:hint="eastAsia" w:ascii="宋体" w:hAnsi="宋体" w:eastAsia="宋体" w:cs="宋体"/>
          <w:sz w:val="24"/>
          <w:szCs w:val="24"/>
        </w:rPr>
        <w:t>见本项目采购公告</w:t>
      </w:r>
    </w:p>
    <w:p w14:paraId="4EA5100D">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3" w:name="_Toc24432"/>
      <w:bookmarkStart w:id="74" w:name="_Toc27352"/>
      <w:r>
        <w:rPr>
          <w:rFonts w:hint="eastAsia" w:ascii="宋体" w:hAnsi="宋体" w:eastAsia="宋体" w:cs="宋体"/>
          <w:sz w:val="24"/>
          <w:szCs w:val="24"/>
        </w:rPr>
        <w:t>（三）供应商必须提交的响应文件内容</w:t>
      </w:r>
      <w:bookmarkEnd w:id="70"/>
      <w:bookmarkEnd w:id="71"/>
      <w:bookmarkEnd w:id="72"/>
      <w:bookmarkEnd w:id="73"/>
      <w:bookmarkEnd w:id="74"/>
    </w:p>
    <w:p w14:paraId="75E7BFF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1、报价单；</w:t>
      </w:r>
    </w:p>
    <w:p w14:paraId="76B2A3E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2、供应商基本信息；</w:t>
      </w:r>
    </w:p>
    <w:p w14:paraId="75CEE79C">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3、谈判授权书；</w:t>
      </w:r>
    </w:p>
    <w:p w14:paraId="4F114DF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4、谈判响应函；</w:t>
      </w:r>
    </w:p>
    <w:p w14:paraId="1CAA4D4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5、无重大违法记录声明函、无不良信用记录承诺函；</w:t>
      </w:r>
    </w:p>
    <w:p w14:paraId="6FA17618">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6、响应情况表；</w:t>
      </w:r>
    </w:p>
    <w:p w14:paraId="5F142E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Style w:val="48"/>
          <w:rFonts w:hint="eastAsia" w:ascii="宋体" w:hAnsi="宋体" w:eastAsia="宋体" w:cs="宋体"/>
          <w:b w:val="0"/>
          <w:bCs/>
          <w:sz w:val="24"/>
          <w:szCs w:val="24"/>
        </w:rPr>
        <w:t>中小企业声明函、</w:t>
      </w:r>
      <w:r>
        <w:rPr>
          <w:rFonts w:hint="eastAsia" w:ascii="宋体" w:hAnsi="宋体" w:eastAsia="宋体" w:cs="宋体"/>
          <w:bCs/>
          <w:sz w:val="24"/>
          <w:szCs w:val="24"/>
        </w:rPr>
        <w:t>残疾人福利性单位声明函；</w:t>
      </w:r>
    </w:p>
    <w:p w14:paraId="452B1F20">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、谈判文件要求和供应商认为需要提供的其它说明和资料。 </w:t>
      </w:r>
    </w:p>
    <w:p w14:paraId="217855AA">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5" w:name="_Toc15586"/>
      <w:bookmarkStart w:id="76" w:name="_Toc21125"/>
      <w:bookmarkStart w:id="77" w:name="（四）响应文件的提交"/>
      <w:bookmarkStart w:id="78" w:name="（三）供应商必须提交的响应文件内容"/>
      <w:r>
        <w:rPr>
          <w:rFonts w:hint="eastAsia" w:ascii="宋体" w:hAnsi="宋体" w:eastAsia="宋体" w:cs="宋体"/>
          <w:sz w:val="24"/>
          <w:szCs w:val="24"/>
        </w:rPr>
        <w:t>（四）响应文件的提交</w:t>
      </w:r>
      <w:bookmarkEnd w:id="75"/>
      <w:bookmarkEnd w:id="76"/>
    </w:p>
    <w:bookmarkEnd w:id="77"/>
    <w:bookmarkEnd w:id="78"/>
    <w:p w14:paraId="0BE21A41">
      <w:pPr>
        <w:spacing w:line="500" w:lineRule="exact"/>
        <w:ind w:firstLine="480" w:firstLineChars="200"/>
        <w:rPr>
          <w:rFonts w:ascii="宋体" w:hAnsi="宋体" w:cs="宋体"/>
          <w:sz w:val="24"/>
          <w:szCs w:val="24"/>
        </w:rPr>
      </w:pPr>
      <w:bookmarkStart w:id="79" w:name="_Toc9203"/>
      <w:bookmarkStart w:id="80" w:name="_Toc15127"/>
      <w:bookmarkStart w:id="81" w:name="（五）谈判程序"/>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响应文件密封</w:t>
      </w:r>
    </w:p>
    <w:p w14:paraId="6A4D70B9">
      <w:pPr>
        <w:spacing w:line="500" w:lineRule="exact"/>
        <w:ind w:firstLine="480" w:firstLineChars="200"/>
        <w:rPr>
          <w:rFonts w:ascii="宋体" w:hAnsi="宋体" w:cs="宋体"/>
          <w:sz w:val="24"/>
          <w:szCs w:val="24"/>
        </w:rPr>
      </w:pPr>
      <w:r>
        <w:rPr>
          <w:rFonts w:hint="eastAsia" w:ascii="宋体" w:hAnsi="宋体" w:cs="宋体"/>
          <w:sz w:val="24"/>
          <w:szCs w:val="24"/>
        </w:rPr>
        <w:t>1.1响应文件应密封包装，并在封套的封口处加盖供应商单位章或由供应商的法定代表人（单位负责人）或其授权的代理人签字。</w:t>
      </w:r>
    </w:p>
    <w:p w14:paraId="1C65FD5C">
      <w:pPr>
        <w:spacing w:line="500" w:lineRule="exact"/>
        <w:ind w:firstLine="480" w:firstLineChars="200"/>
        <w:rPr>
          <w:rFonts w:ascii="宋体" w:hAnsi="宋体" w:cs="宋体"/>
          <w:sz w:val="24"/>
          <w:szCs w:val="24"/>
        </w:rPr>
      </w:pPr>
      <w:r>
        <w:rPr>
          <w:rFonts w:hint="eastAsia" w:ascii="宋体" w:hAnsi="宋体" w:cs="宋体"/>
          <w:sz w:val="24"/>
          <w:szCs w:val="24"/>
        </w:rPr>
        <w:t>1.2 响应文件封套上应写明的内容见供应商须知前附表。</w:t>
      </w:r>
    </w:p>
    <w:p w14:paraId="5AC3C78B">
      <w:pPr>
        <w:spacing w:line="500" w:lineRule="exact"/>
        <w:ind w:firstLine="480" w:firstLineChars="200"/>
        <w:rPr>
          <w:rFonts w:ascii="宋体" w:hAnsi="宋体" w:cs="宋体"/>
          <w:sz w:val="24"/>
          <w:szCs w:val="24"/>
        </w:rPr>
      </w:pPr>
      <w:r>
        <w:rPr>
          <w:rFonts w:hint="eastAsia" w:ascii="宋体" w:hAnsi="宋体" w:cs="宋体"/>
          <w:sz w:val="24"/>
          <w:szCs w:val="24"/>
        </w:rPr>
        <w:t>1.3 如果未按规定封装或加写标记，采购代理机构将不承担响应文件错放或提前开封的责任，并可能导致响应无效。</w:t>
      </w:r>
    </w:p>
    <w:p w14:paraId="662256E5">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 xml:space="preserve">响应文件的提交 </w:t>
      </w:r>
    </w:p>
    <w:p w14:paraId="514428B0">
      <w:pPr>
        <w:spacing w:line="500" w:lineRule="exact"/>
        <w:ind w:firstLine="480" w:firstLineChars="200"/>
        <w:rPr>
          <w:rFonts w:ascii="宋体" w:hAnsi="宋体" w:cs="宋体"/>
          <w:sz w:val="24"/>
          <w:szCs w:val="24"/>
        </w:rPr>
      </w:pPr>
      <w:r>
        <w:rPr>
          <w:rFonts w:hint="eastAsia" w:ascii="宋体" w:hAnsi="宋体" w:cs="宋体"/>
          <w:sz w:val="24"/>
          <w:szCs w:val="24"/>
        </w:rPr>
        <w:t>2.1 供应商应在供应商须知前附表规定的响应文件递交截止时间前递交响应文件。</w:t>
      </w:r>
    </w:p>
    <w:p w14:paraId="126C4CB7">
      <w:pPr>
        <w:spacing w:line="500" w:lineRule="exact"/>
        <w:ind w:firstLine="480" w:firstLineChars="200"/>
        <w:rPr>
          <w:rFonts w:ascii="宋体" w:hAnsi="宋体" w:cs="宋体"/>
          <w:sz w:val="24"/>
          <w:szCs w:val="24"/>
        </w:rPr>
      </w:pPr>
      <w:r>
        <w:rPr>
          <w:rFonts w:hint="eastAsia" w:ascii="宋体" w:hAnsi="宋体" w:cs="宋体"/>
          <w:sz w:val="24"/>
          <w:szCs w:val="24"/>
        </w:rPr>
        <w:t>2.2 供应商递交响应文件的地点：见供应商须知前附表。</w:t>
      </w:r>
    </w:p>
    <w:p w14:paraId="08863920">
      <w:pPr>
        <w:spacing w:line="500" w:lineRule="exact"/>
        <w:ind w:firstLine="480" w:firstLineChars="200"/>
        <w:rPr>
          <w:rFonts w:ascii="宋体" w:hAnsi="宋体" w:cs="宋体"/>
          <w:sz w:val="24"/>
          <w:szCs w:val="24"/>
        </w:rPr>
      </w:pPr>
      <w:r>
        <w:rPr>
          <w:rFonts w:hint="eastAsia" w:ascii="宋体" w:hAnsi="宋体" w:cs="宋体"/>
          <w:sz w:val="24"/>
          <w:szCs w:val="24"/>
        </w:rPr>
        <w:t>2.3 除供应商须知前附表另有规定外，供应商所递交的响应文件不予退还。</w:t>
      </w:r>
    </w:p>
    <w:p w14:paraId="34E8E167">
      <w:pPr>
        <w:spacing w:line="500" w:lineRule="exact"/>
        <w:ind w:firstLine="480" w:firstLineChars="200"/>
        <w:rPr>
          <w:rFonts w:ascii="宋体" w:hAnsi="宋体" w:cs="宋体"/>
          <w:sz w:val="24"/>
          <w:szCs w:val="24"/>
        </w:rPr>
      </w:pPr>
      <w:r>
        <w:rPr>
          <w:rFonts w:hint="eastAsia" w:ascii="宋体" w:hAnsi="宋体" w:cs="宋体"/>
          <w:sz w:val="24"/>
          <w:szCs w:val="24"/>
        </w:rPr>
        <w:t>2.4逾期送达的或者未送达指定地点的响应文件，采购人将予以拒收。</w:t>
      </w:r>
    </w:p>
    <w:p w14:paraId="0A54D725">
      <w:pPr>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响应文件的修改和撤回</w:t>
      </w:r>
    </w:p>
    <w:p w14:paraId="4B4EC178">
      <w:pPr>
        <w:spacing w:line="500" w:lineRule="exact"/>
        <w:ind w:firstLine="480" w:firstLineChars="200"/>
        <w:rPr>
          <w:rFonts w:ascii="宋体" w:hAnsi="宋体" w:cs="宋体"/>
          <w:sz w:val="24"/>
          <w:szCs w:val="24"/>
        </w:rPr>
      </w:pPr>
      <w:r>
        <w:rPr>
          <w:rFonts w:hint="eastAsia" w:ascii="宋体" w:hAnsi="宋体" w:cs="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7A01D4D">
      <w:pPr>
        <w:spacing w:line="500" w:lineRule="exact"/>
        <w:ind w:firstLine="480" w:firstLineChars="200"/>
        <w:rPr>
          <w:rFonts w:ascii="宋体" w:hAnsi="宋体" w:cs="宋体"/>
          <w:sz w:val="24"/>
          <w:szCs w:val="24"/>
        </w:rPr>
      </w:pPr>
      <w:r>
        <w:rPr>
          <w:rFonts w:hint="eastAsia" w:ascii="宋体" w:hAnsi="宋体" w:cs="宋体"/>
          <w:sz w:val="24"/>
          <w:szCs w:val="24"/>
        </w:rPr>
        <w:t>3.2供应商的修改书或撤回通知书，应按规定进行编制、密封、标记和提交，且标明“修改”或“撤回”字样。</w:t>
      </w:r>
    </w:p>
    <w:p w14:paraId="06D27650">
      <w:pPr>
        <w:pStyle w:val="3"/>
        <w:spacing w:before="0" w:after="0" w:line="500" w:lineRule="exact"/>
        <w:ind w:firstLine="480" w:firstLineChars="200"/>
        <w:rPr>
          <w:rFonts w:ascii="宋体" w:hAnsi="宋体" w:eastAsia="宋体" w:cs="宋体"/>
          <w:b w:val="0"/>
          <w:bCs/>
          <w:sz w:val="24"/>
          <w:szCs w:val="24"/>
        </w:rPr>
      </w:pPr>
      <w:r>
        <w:rPr>
          <w:rFonts w:hint="eastAsia" w:ascii="宋体" w:hAnsi="宋体" w:eastAsia="宋体" w:cs="宋体"/>
          <w:b w:val="0"/>
          <w:kern w:val="2"/>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4571316E">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（五）谈判程序</w:t>
      </w:r>
      <w:bookmarkEnd w:id="79"/>
      <w:bookmarkEnd w:id="80"/>
    </w:p>
    <w:bookmarkEnd w:id="81"/>
    <w:p w14:paraId="3562CF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1、谈判人员是按规定组成的三人或三人以上的谈判小组。</w:t>
      </w:r>
      <w:r>
        <w:rPr>
          <w:rFonts w:hint="eastAsia" w:ascii="宋体" w:hAnsi="宋体" w:eastAsia="宋体" w:cs="宋体"/>
          <w:sz w:val="24"/>
          <w:szCs w:val="24"/>
          <w:lang w:val="en-US" w:eastAsia="zh-CN"/>
        </w:rPr>
        <w:t>采购人（代理机构）确定本项目谈判小组</w:t>
      </w:r>
      <w:r>
        <w:rPr>
          <w:rFonts w:hint="eastAsia" w:ascii="宋体" w:hAnsi="宋体" w:eastAsia="宋体" w:cs="宋体"/>
          <w:sz w:val="24"/>
          <w:szCs w:val="24"/>
          <w:u w:val="single"/>
          <w:lang w:val="en-US" w:eastAsia="zh-CN"/>
        </w:rPr>
        <w:t xml:space="preserve">  3  </w:t>
      </w:r>
      <w:r>
        <w:rPr>
          <w:rFonts w:hint="eastAsia" w:ascii="宋体" w:hAnsi="宋体" w:eastAsia="宋体" w:cs="宋体"/>
          <w:sz w:val="24"/>
          <w:szCs w:val="24"/>
          <w:lang w:val="en-US" w:eastAsia="zh-CN"/>
        </w:rPr>
        <w:t>人。</w:t>
      </w:r>
    </w:p>
    <w:p w14:paraId="4A7F5595">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2、在掌握了供应商的基本情况后，谈判小组将与供应商分别进行谈判。</w:t>
      </w:r>
    </w:p>
    <w:p w14:paraId="5AEDBCCA">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3、谈判是分别单独进行的。供应商不得与其他参与谈判的供应商相互串通；谈判小组也不得将与某一供应商的谈判情况向其他供应商及其关系人透露。</w:t>
      </w:r>
    </w:p>
    <w:p w14:paraId="11F34FDD">
      <w:pPr>
        <w:pageBreakBefore w:val="0"/>
        <w:tabs>
          <w:tab w:val="left" w:pos="900"/>
        </w:tabs>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4、谈判采用一轮谈判、两轮报价的方式进行。但最终采取多少轮谈判，由谈判小组视情况而定。</w:t>
      </w:r>
    </w:p>
    <w:p w14:paraId="5441C957">
      <w:pPr>
        <w:tabs>
          <w:tab w:val="left" w:pos="900"/>
        </w:tabs>
        <w:spacing w:line="500" w:lineRule="exact"/>
        <w:ind w:firstLine="480" w:firstLineChars="200"/>
        <w:rPr>
          <w:rFonts w:ascii="宋体" w:hAnsi="宋体" w:cs="宋体"/>
          <w:sz w:val="24"/>
          <w:szCs w:val="24"/>
        </w:rPr>
      </w:pPr>
      <w:bookmarkStart w:id="82" w:name="_Toc9855"/>
      <w:bookmarkStart w:id="83" w:name="_Toc6912"/>
      <w:bookmarkStart w:id="84" w:name="_Toc1437"/>
      <w:r>
        <w:rPr>
          <w:rFonts w:hint="eastAsia" w:ascii="宋体" w:hAnsi="宋体" w:eastAsia="宋体" w:cs="宋体"/>
          <w:b w:val="0"/>
          <w:bCs/>
          <w:sz w:val="24"/>
          <w:szCs w:val="24"/>
        </w:rPr>
        <w:t>5、</w:t>
      </w:r>
      <w:bookmarkEnd w:id="82"/>
      <w:bookmarkEnd w:id="83"/>
      <w:bookmarkEnd w:id="84"/>
      <w:bookmarkStart w:id="85" w:name="_Toc110"/>
      <w:bookmarkStart w:id="86" w:name="_Toc15851"/>
      <w:bookmarkStart w:id="87" w:name="_Toc9547"/>
      <w:r>
        <w:rPr>
          <w:rFonts w:hint="eastAsia" w:ascii="宋体" w:hAnsi="宋体" w:cs="宋体"/>
          <w:sz w:val="24"/>
          <w:szCs w:val="24"/>
        </w:rPr>
        <w:t>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p>
    <w:p w14:paraId="6868C6EE">
      <w:pPr>
        <w:tabs>
          <w:tab w:val="left" w:pos="900"/>
        </w:tabs>
        <w:spacing w:line="50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6、</w:t>
      </w:r>
      <w:bookmarkEnd w:id="85"/>
      <w:bookmarkEnd w:id="86"/>
      <w:bookmarkEnd w:id="87"/>
      <w:r>
        <w:rPr>
          <w:rFonts w:hint="eastAsia" w:ascii="宋体" w:hAnsi="宋体" w:cs="宋体"/>
          <w:sz w:val="24"/>
          <w:szCs w:val="24"/>
        </w:rPr>
        <w:t>供应商必须在规定的时间内将自己在谈判中作出的澄清、变动以及最终的报价，经法定代表人或被授权代表签字后，提交给谈判小组。</w:t>
      </w:r>
    </w:p>
    <w:p w14:paraId="5B444760">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88" w:name="_Toc16969"/>
      <w:bookmarkStart w:id="89" w:name="_Toc22225"/>
      <w:bookmarkStart w:id="90" w:name="（六）评审及异常情况处理"/>
      <w:r>
        <w:rPr>
          <w:rFonts w:hint="eastAsia" w:ascii="宋体" w:hAnsi="宋体" w:eastAsia="宋体" w:cs="宋体"/>
          <w:sz w:val="24"/>
          <w:szCs w:val="24"/>
        </w:rPr>
        <w:t>（六）评审及异常情况处理</w:t>
      </w:r>
      <w:bookmarkEnd w:id="88"/>
      <w:bookmarkEnd w:id="89"/>
    </w:p>
    <w:bookmarkEnd w:id="90"/>
    <w:p w14:paraId="04F13887">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B36A801">
      <w:pPr>
        <w:spacing w:line="500" w:lineRule="exact"/>
        <w:ind w:firstLine="480" w:firstLineChars="200"/>
        <w:rPr>
          <w:rFonts w:ascii="宋体" w:hAnsi="宋体" w:cs="宋体"/>
          <w:sz w:val="24"/>
          <w:szCs w:val="24"/>
        </w:rPr>
      </w:pPr>
      <w:bookmarkStart w:id="91" w:name="_Toc31134"/>
      <w:bookmarkStart w:id="92" w:name="_Toc18914"/>
      <w:bookmarkStart w:id="93" w:name="（七）报价响应及答疑"/>
      <w:r>
        <w:rPr>
          <w:rFonts w:hint="eastAsia" w:ascii="宋体" w:hAnsi="宋体" w:cs="宋体"/>
          <w:sz w:val="24"/>
          <w:szCs w:val="24"/>
        </w:rPr>
        <w:t>2、出现以下情况，现场转变采购方式：</w:t>
      </w:r>
    </w:p>
    <w:p w14:paraId="2E6B0954">
      <w:pPr>
        <w:spacing w:line="500" w:lineRule="exact"/>
        <w:ind w:firstLine="480" w:firstLineChars="200"/>
        <w:rPr>
          <w:rFonts w:ascii="宋体" w:hAnsi="宋体" w:cs="宋体"/>
          <w:sz w:val="24"/>
          <w:szCs w:val="24"/>
        </w:rPr>
      </w:pPr>
      <w:r>
        <w:rPr>
          <w:rFonts w:hint="eastAsia" w:ascii="宋体" w:hAnsi="宋体" w:cs="宋体"/>
          <w:sz w:val="24"/>
          <w:szCs w:val="24"/>
        </w:rPr>
        <w:t>（1）①若递交响应性文件的供应商不足三家的，②若符合专业条件的供应商或者对采购文件作实质性响应的供应商只有2家的：经采购人同意后，竞争性谈判活动可以继续进行或依法重新谈判。</w:t>
      </w:r>
    </w:p>
    <w:p w14:paraId="3895982C">
      <w:pPr>
        <w:spacing w:line="500" w:lineRule="exact"/>
        <w:ind w:firstLine="480" w:firstLineChars="200"/>
        <w:rPr>
          <w:rFonts w:ascii="宋体" w:hAnsi="宋体" w:cs="宋体"/>
          <w:sz w:val="24"/>
          <w:szCs w:val="24"/>
        </w:rPr>
      </w:pPr>
      <w:r>
        <w:rPr>
          <w:rFonts w:hint="eastAsia" w:ascii="宋体" w:hAnsi="宋体" w:cs="宋体"/>
          <w:sz w:val="24"/>
          <w:szCs w:val="24"/>
        </w:rPr>
        <w:t>（2）①若递交响应性文件的供应商不足两家的，②若符合专业条件的供应商或者对采购文件作实质性响应的供应商只有1家的：经采购人同意后，现场转为单一来源采购或依法重新谈判。</w:t>
      </w:r>
    </w:p>
    <w:p w14:paraId="57FC96DA">
      <w:pPr>
        <w:spacing w:line="500" w:lineRule="exact"/>
        <w:ind w:firstLine="480" w:firstLineChars="200"/>
        <w:rPr>
          <w:rFonts w:ascii="宋体" w:hAnsi="宋体" w:cs="宋体"/>
          <w:sz w:val="24"/>
          <w:szCs w:val="24"/>
        </w:rPr>
      </w:pPr>
      <w:r>
        <w:rPr>
          <w:rFonts w:hint="eastAsia" w:ascii="宋体" w:hAnsi="宋体" w:cs="宋体"/>
          <w:sz w:val="24"/>
          <w:szCs w:val="24"/>
        </w:rPr>
        <w:t>3、谈判时出现以下情况之一的，将予以废标：</w:t>
      </w:r>
    </w:p>
    <w:p w14:paraId="0D2704BD">
      <w:pPr>
        <w:spacing w:line="500" w:lineRule="exact"/>
        <w:ind w:firstLine="480" w:firstLineChars="200"/>
        <w:rPr>
          <w:rFonts w:ascii="宋体" w:hAnsi="宋体" w:cs="宋体"/>
          <w:sz w:val="24"/>
          <w:szCs w:val="24"/>
        </w:rPr>
      </w:pPr>
      <w:r>
        <w:rPr>
          <w:rFonts w:hint="eastAsia" w:ascii="宋体" w:hAnsi="宋体" w:cs="宋体"/>
          <w:sz w:val="24"/>
          <w:szCs w:val="24"/>
        </w:rPr>
        <w:t>（1）供应商的报价均超过了采购预算，经过多轮谈判仍不能降到预算内、且采购人不能支付的；</w:t>
      </w:r>
    </w:p>
    <w:p w14:paraId="5967065E">
      <w:pPr>
        <w:spacing w:line="500" w:lineRule="exact"/>
        <w:ind w:firstLine="480" w:firstLineChars="200"/>
        <w:rPr>
          <w:rFonts w:ascii="宋体" w:hAnsi="宋体" w:cs="宋体"/>
          <w:sz w:val="24"/>
          <w:szCs w:val="24"/>
        </w:rPr>
      </w:pPr>
      <w:r>
        <w:rPr>
          <w:rFonts w:hint="eastAsia" w:ascii="宋体" w:hAnsi="宋体" w:cs="宋体"/>
          <w:sz w:val="24"/>
          <w:szCs w:val="24"/>
        </w:rPr>
        <w:t>（2）经过谈判，供应商所提供的货物服务仍无法满足谈判文件实质性要求、影响工作的；</w:t>
      </w:r>
    </w:p>
    <w:p w14:paraId="5C71A87E">
      <w:pPr>
        <w:spacing w:line="50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14:paraId="3769DD07">
      <w:pPr>
        <w:spacing w:line="50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14:paraId="0AA97F26">
      <w:pPr>
        <w:spacing w:line="500" w:lineRule="exact"/>
        <w:ind w:firstLine="480" w:firstLineChars="200"/>
        <w:jc w:val="left"/>
        <w:rPr>
          <w:rFonts w:ascii="宋体" w:hAnsi="宋体" w:cs="宋体"/>
          <w:sz w:val="24"/>
          <w:szCs w:val="24"/>
        </w:rPr>
      </w:pPr>
      <w:r>
        <w:rPr>
          <w:rFonts w:hint="eastAsia" w:ascii="宋体" w:hAnsi="宋体" w:cs="宋体"/>
          <w:sz w:val="24"/>
          <w:szCs w:val="24"/>
        </w:rPr>
        <w:t>4、重新组织谈判的，采购单位将通过本项目公告发布网站进行公告。</w:t>
      </w:r>
    </w:p>
    <w:p w14:paraId="27303918">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（七）报价响应及答疑</w:t>
      </w:r>
      <w:bookmarkEnd w:id="91"/>
      <w:bookmarkEnd w:id="92"/>
    </w:p>
    <w:bookmarkEnd w:id="93"/>
    <w:p w14:paraId="0377265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1、响应报价应含有所投</w:t>
      </w:r>
      <w:r>
        <w:rPr>
          <w:rFonts w:hint="eastAsia" w:ascii="宋体" w:hAnsi="宋体" w:eastAsia="宋体" w:cs="宋体"/>
          <w:sz w:val="24"/>
          <w:szCs w:val="24"/>
          <w:lang w:eastAsia="zh-CN"/>
        </w:rPr>
        <w:t>服务各</w:t>
      </w:r>
      <w:r>
        <w:rPr>
          <w:rFonts w:hint="eastAsia" w:ascii="宋体" w:hAnsi="宋体" w:eastAsia="宋体" w:cs="宋体"/>
          <w:sz w:val="24"/>
          <w:szCs w:val="24"/>
        </w:rPr>
        <w:t>环节所发生的</w:t>
      </w:r>
      <w:r>
        <w:rPr>
          <w:rFonts w:hint="eastAsia" w:ascii="宋体" w:hAnsi="宋体" w:eastAsia="宋体" w:cs="宋体"/>
          <w:sz w:val="24"/>
          <w:szCs w:val="24"/>
          <w:lang w:eastAsia="zh-CN"/>
        </w:rPr>
        <w:t>一切</w:t>
      </w:r>
      <w:r>
        <w:rPr>
          <w:rFonts w:hint="eastAsia" w:ascii="宋体" w:hAnsi="宋体" w:eastAsia="宋体" w:cs="宋体"/>
          <w:sz w:val="24"/>
          <w:szCs w:val="24"/>
        </w:rPr>
        <w:t>费用。响应报价为供应商在响应文件中提出的各项支付金额的总和。</w:t>
      </w:r>
    </w:p>
    <w:p w14:paraId="4B1B8F0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2、如需，</w:t>
      </w:r>
      <w:r>
        <w:rPr>
          <w:rFonts w:hint="eastAsia" w:ascii="宋体" w:hAnsi="宋体" w:eastAsia="宋体" w:cs="宋体"/>
          <w:sz w:val="24"/>
          <w:szCs w:val="24"/>
        </w:rPr>
        <w:t>供应商应自行对</w:t>
      </w:r>
      <w:r>
        <w:rPr>
          <w:rFonts w:hint="eastAsia" w:ascii="宋体" w:hAnsi="宋体" w:eastAsia="宋体" w:cs="宋体"/>
          <w:sz w:val="24"/>
          <w:szCs w:val="24"/>
          <w:lang w:eastAsia="zh-CN"/>
        </w:rPr>
        <w:t>服务</w:t>
      </w:r>
      <w:r>
        <w:rPr>
          <w:rFonts w:hint="eastAsia" w:ascii="宋体" w:hAnsi="宋体" w:eastAsia="宋体" w:cs="宋体"/>
          <w:sz w:val="24"/>
          <w:szCs w:val="24"/>
        </w:rPr>
        <w:t>现场和周围环境进行勘察，以获取编制响应文件和签署合同所需的资料。勘察现场所发生的费用由供应商自己承担。采购人向供应商提供的有关</w:t>
      </w:r>
      <w:r>
        <w:rPr>
          <w:rFonts w:hint="eastAsia" w:ascii="宋体" w:hAnsi="宋体" w:eastAsia="宋体" w:cs="宋体"/>
          <w:sz w:val="24"/>
          <w:szCs w:val="24"/>
          <w:lang w:eastAsia="zh-CN"/>
        </w:rPr>
        <w:t>服务</w:t>
      </w:r>
      <w:r>
        <w:rPr>
          <w:rFonts w:hint="eastAsia" w:ascii="宋体" w:hAnsi="宋体" w:eastAsia="宋体" w:cs="宋体"/>
          <w:sz w:val="24"/>
          <w:szCs w:val="24"/>
        </w:rPr>
        <w:t>现场的资料和数据，是采购人现有的能使供应商利用的资料。采购人对供应商由此而做出的推论、理解和结论概不负责。供应商因自身原因未到</w:t>
      </w:r>
      <w:r>
        <w:rPr>
          <w:rFonts w:hint="eastAsia" w:ascii="宋体" w:hAnsi="宋体" w:eastAsia="宋体" w:cs="宋体"/>
          <w:sz w:val="24"/>
          <w:szCs w:val="24"/>
          <w:lang w:eastAsia="zh-CN"/>
        </w:rPr>
        <w:t>服务</w:t>
      </w:r>
      <w:r>
        <w:rPr>
          <w:rFonts w:hint="eastAsia" w:ascii="宋体" w:hAnsi="宋体" w:eastAsia="宋体" w:cs="宋体"/>
          <w:sz w:val="24"/>
          <w:szCs w:val="24"/>
        </w:rPr>
        <w:t>现场实地踏勘的，成交后签订合同时和履约过程中，不得以不完全了解现场情况为由，提出任何形式的增加合同外造价或索赔的要求。</w:t>
      </w:r>
    </w:p>
    <w:p w14:paraId="63EF7BDB">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、供应商如果对谈判文件的其他任何内容有相关疑问，可以</w:t>
      </w:r>
      <w:r>
        <w:rPr>
          <w:rFonts w:hint="eastAsia" w:ascii="宋体" w:hAnsi="宋体" w:eastAsia="宋体" w:cs="宋体"/>
          <w:sz w:val="24"/>
          <w:szCs w:val="24"/>
          <w:lang w:eastAsia="zh-CN"/>
        </w:rPr>
        <w:t>邮件</w:t>
      </w:r>
      <w:r>
        <w:rPr>
          <w:rFonts w:hint="eastAsia" w:ascii="宋体" w:hAnsi="宋体" w:eastAsia="宋体" w:cs="宋体"/>
          <w:sz w:val="24"/>
          <w:szCs w:val="24"/>
        </w:rPr>
        <w:t>形式提出</w:t>
      </w:r>
      <w:r>
        <w:rPr>
          <w:rFonts w:hint="eastAsia" w:ascii="宋体" w:hAnsi="宋体" w:eastAsia="宋体" w:cs="宋体"/>
          <w:sz w:val="24"/>
          <w:szCs w:val="24"/>
          <w:lang w:eastAsia="zh-CN"/>
        </w:rPr>
        <w:t>，</w:t>
      </w:r>
      <w:r>
        <w:rPr>
          <w:rFonts w:hint="eastAsia" w:ascii="宋体" w:hAnsi="宋体" w:eastAsia="宋体" w:cs="宋体"/>
          <w:sz w:val="24"/>
          <w:szCs w:val="24"/>
        </w:rPr>
        <w:t>疑问的提出与答疑获取具体步骤</w:t>
      </w:r>
      <w:r>
        <w:rPr>
          <w:rFonts w:hint="eastAsia" w:ascii="宋体" w:hAnsi="宋体" w:eastAsia="宋体" w:cs="宋体"/>
          <w:sz w:val="24"/>
          <w:szCs w:val="24"/>
          <w:lang w:eastAsia="zh-CN"/>
        </w:rPr>
        <w:t>详见</w:t>
      </w:r>
      <w:r>
        <w:rPr>
          <w:rFonts w:hint="eastAsia" w:ascii="宋体" w:hAnsi="宋体" w:eastAsia="宋体" w:cs="宋体"/>
          <w:sz w:val="24"/>
          <w:szCs w:val="24"/>
        </w:rPr>
        <w:t>须知前附表。</w:t>
      </w:r>
    </w:p>
    <w:p w14:paraId="26B8F5A2">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请供应商及时通过公告</w:t>
      </w:r>
      <w:r>
        <w:rPr>
          <w:rFonts w:hint="eastAsia" w:ascii="宋体" w:hAnsi="宋体" w:eastAsia="宋体" w:cs="宋体"/>
          <w:sz w:val="24"/>
          <w:szCs w:val="24"/>
          <w:lang w:eastAsia="zh-CN"/>
        </w:rPr>
        <w:t>发布网站</w:t>
      </w:r>
      <w:r>
        <w:rPr>
          <w:rFonts w:hint="eastAsia" w:ascii="宋体" w:hAnsi="宋体" w:eastAsia="宋体" w:cs="宋体"/>
          <w:sz w:val="24"/>
          <w:szCs w:val="24"/>
        </w:rPr>
        <w:t>查看答疑文件。</w:t>
      </w:r>
    </w:p>
    <w:p w14:paraId="6F112F4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、供应商应确保其所提供的响应资料的真实性、有效性及合法性，否则，由此引起的任何责任由其自行承担。</w:t>
      </w:r>
    </w:p>
    <w:p w14:paraId="6ADC95FE">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4" w:name="_Toc8394"/>
      <w:bookmarkStart w:id="95" w:name="_Toc28647"/>
      <w:r>
        <w:rPr>
          <w:rFonts w:hint="eastAsia" w:ascii="宋体" w:hAnsi="宋体" w:eastAsia="宋体" w:cs="宋体"/>
          <w:sz w:val="24"/>
          <w:szCs w:val="24"/>
        </w:rPr>
        <w:t>（八）合同的签订</w:t>
      </w:r>
      <w:bookmarkEnd w:id="94"/>
      <w:bookmarkEnd w:id="95"/>
    </w:p>
    <w:p w14:paraId="03049F2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957E28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、成交供应商因不可抗力或者自身原因不能在规定的时间内与采购人签订采购合同，采购人可以与排在成交供应商后第一位的候选供应商签订采购合同，以此类推或重新组织采购。</w:t>
      </w:r>
    </w:p>
    <w:p w14:paraId="60C3ADC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、因政策变化等原因不能签订合同，造成企业合法利益受损的情形，采购人可以与供应商充分协商，给予合理补偿。</w:t>
      </w:r>
    </w:p>
    <w:p w14:paraId="542F401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、在签订合同时，供应商书面明确表示无需预付款或者主动要求降低预付款比例的，采购人可不适用前述（即付款方式）规定。</w:t>
      </w:r>
    </w:p>
    <w:p w14:paraId="535CA2D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、采购文件和合同中没有约定预付款的，经供应商申请，采购人可以支付预付款。</w:t>
      </w:r>
    </w:p>
    <w:p w14:paraId="75ED048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、采购人可根据项目特点、供应商诚信等因素，要求供应商提交银行、保险公司、担保公司等金融机构出具的预付款保函或其他担保措施。</w:t>
      </w:r>
    </w:p>
    <w:p w14:paraId="12FBD3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、政府采购预付款应在合同、担保措施生效以及具备实施条件后 5 个工作日内支付。</w:t>
      </w:r>
    </w:p>
    <w:p w14:paraId="1C19ABA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、延迟支付中小企业款项的，供应商可要求采购人按照合同约定支付逾期利息，合同没有约定的，按照同期人民银行 LPR支付逾期利息。</w:t>
      </w:r>
    </w:p>
    <w:p w14:paraId="3DE0E64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、成交供应商无正当理由不与采购人订立合同的处罚依据：</w:t>
      </w:r>
    </w:p>
    <w:p w14:paraId="4B9882E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（1）《中华人民共和国政府采购法实施条例》</w:t>
      </w:r>
    </w:p>
    <w:p w14:paraId="289B0CA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第七十二条 供应商有下列情形之一的，依照政府采购法第七十七条第一款的规定追究法律责任：……</w:t>
      </w:r>
    </w:p>
    <w:p w14:paraId="3149167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（二）中标或者成交后无正当理由拒不与采购人签订政府采购合同；……</w:t>
      </w:r>
    </w:p>
    <w:p w14:paraId="52B89C1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（2）《中华人民共和国政府采购法》</w:t>
      </w:r>
    </w:p>
    <w:p w14:paraId="1E17180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283A87">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（3）《政府采购非招标采购方式管理办法》（财政部令第74号）</w:t>
      </w:r>
    </w:p>
    <w:p w14:paraId="517880F9">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第五十四条 成交供应商有下列情形之一的，责令限期整改，情节严重的，列入不良行为记录名单，在1至3年内禁止参加政府采购活动，并予以通报：……</w:t>
      </w:r>
    </w:p>
    <w:p w14:paraId="67F62BEF">
      <w:pPr>
        <w:pStyle w:val="33"/>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（二）成交后无正当理由不与采购人签订合同的；……</w:t>
      </w:r>
    </w:p>
    <w:p w14:paraId="447B1752">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6" w:name="_Toc30371"/>
      <w:bookmarkStart w:id="97" w:name="_Toc15212"/>
      <w:r>
        <w:rPr>
          <w:rFonts w:hint="eastAsia" w:ascii="宋体" w:hAnsi="宋体" w:eastAsia="宋体" w:cs="宋体"/>
          <w:sz w:val="24"/>
          <w:szCs w:val="24"/>
        </w:rPr>
        <w:t>（九）澄清及变更</w:t>
      </w:r>
      <w:bookmarkEnd w:id="96"/>
      <w:bookmarkEnd w:id="97"/>
    </w:p>
    <w:p w14:paraId="3D28B98A">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谈判文件如有澄清及变更，将以网上公告形式发布，请供应商及时关注。</w:t>
      </w:r>
    </w:p>
    <w:p w14:paraId="0613BB38">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8" w:name="_Toc14936"/>
      <w:bookmarkStart w:id="99" w:name="_Toc11886"/>
      <w:r>
        <w:rPr>
          <w:rFonts w:hint="eastAsia" w:ascii="宋体" w:hAnsi="宋体" w:eastAsia="宋体" w:cs="宋体"/>
          <w:sz w:val="24"/>
          <w:szCs w:val="24"/>
        </w:rPr>
        <w:t>（十）验收</w:t>
      </w:r>
      <w:bookmarkEnd w:id="98"/>
      <w:r>
        <w:rPr>
          <w:rFonts w:hint="eastAsia" w:ascii="宋体" w:hAnsi="宋体" w:eastAsia="宋体" w:cs="宋体"/>
          <w:sz w:val="24"/>
          <w:szCs w:val="24"/>
        </w:rPr>
        <w:t>与支付</w:t>
      </w:r>
      <w:bookmarkEnd w:id="99"/>
    </w:p>
    <w:p w14:paraId="5E9616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1、采购人应当在项目完成且收到供应商验收申请后 5 个工作日内组织开展履约验收。</w:t>
      </w:r>
    </w:p>
    <w:p w14:paraId="402EFF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00965A4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3、涉及安全、消防、环保等其他需要由质检或行业主管部门进行验收的项目，必须邀请相关部门或相关专家参与验收。</w:t>
      </w:r>
    </w:p>
    <w:p w14:paraId="4DCB2F3A">
      <w:pPr>
        <w:pStyle w:val="33"/>
        <w:pageBreakBefore w:val="0"/>
        <w:kinsoku/>
        <w:wordWrap/>
        <w:overflowPunct/>
        <w:topLinePunct w:val="0"/>
        <w:autoSpaceDE/>
        <w:autoSpaceDN/>
        <w:bidi w:val="0"/>
        <w:snapToGrid/>
        <w:spacing w:line="500" w:lineRule="exact"/>
        <w:rPr>
          <w:rFonts w:hint="eastAsia" w:ascii="宋体" w:hAnsi="宋体" w:eastAsia="宋体" w:cs="宋体"/>
          <w:sz w:val="24"/>
          <w:szCs w:val="24"/>
        </w:rPr>
      </w:pPr>
      <w:r>
        <w:rPr>
          <w:rFonts w:hint="eastAsia" w:ascii="宋体" w:hAnsi="宋体" w:eastAsia="宋体" w:cs="宋体"/>
          <w:sz w:val="24"/>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17013C12">
      <w:pPr>
        <w:pStyle w:val="3"/>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100" w:name="_Toc24748"/>
      <w:bookmarkStart w:id="101" w:name="_Toc29355"/>
      <w:r>
        <w:rPr>
          <w:rFonts w:hint="eastAsia" w:ascii="宋体" w:hAnsi="宋体" w:eastAsia="宋体" w:cs="宋体"/>
          <w:sz w:val="24"/>
          <w:szCs w:val="24"/>
        </w:rPr>
        <w:t>（十一）质疑</w:t>
      </w:r>
      <w:bookmarkEnd w:id="100"/>
      <w:bookmarkEnd w:id="101"/>
    </w:p>
    <w:p w14:paraId="2EAD032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3796C0D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2、质疑应在规定时限内提出： </w:t>
      </w:r>
    </w:p>
    <w:p w14:paraId="57BD99A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对政府采购中标结果的质疑，应在中标结果公布之日起七个工作日内提出。</w:t>
      </w:r>
    </w:p>
    <w:p w14:paraId="733E7D16">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color w:val="auto"/>
          <w:sz w:val="24"/>
          <w:szCs w:val="24"/>
        </w:rPr>
        <w:t>质疑材料应当包括以下内容：</w:t>
      </w:r>
    </w:p>
    <w:p w14:paraId="080B3D79">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3.1质疑人的名称、地址、有效联系方式；</w:t>
      </w:r>
    </w:p>
    <w:p w14:paraId="66B476FF">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3.2项目名称、项目编号、包别号（如有）；</w:t>
      </w:r>
    </w:p>
    <w:p w14:paraId="47C315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3.3被质疑人名称；</w:t>
      </w:r>
    </w:p>
    <w:p w14:paraId="0B5991F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3.4具体的质疑事项、基本事实及必要的证明材料；</w:t>
      </w:r>
    </w:p>
    <w:p w14:paraId="5DD8EF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3.5明确的请求及主张；</w:t>
      </w:r>
    </w:p>
    <w:p w14:paraId="74B3BB1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3.6提起质疑的日期。</w:t>
      </w:r>
    </w:p>
    <w:p w14:paraId="48D2103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质疑人为法人或者其他组织的，应当由法定代表人或其委托代理人（需有委托授权书）签字并加盖公章。</w:t>
      </w:r>
    </w:p>
    <w:p w14:paraId="20E75B1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质疑人需要修改、补充质疑材料的，应当在质疑期内提交修改或补充材料。</w:t>
      </w:r>
    </w:p>
    <w:p w14:paraId="3BAFEB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4、有下列情形之一的，不予受理：</w:t>
      </w:r>
    </w:p>
    <w:p w14:paraId="04AA09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4.1提起质疑的主体不是参与该政府采购项目活动的供应商；</w:t>
      </w:r>
    </w:p>
    <w:p w14:paraId="6E527A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4.2提起质疑的时间超过规定时限的；</w:t>
      </w:r>
    </w:p>
    <w:p w14:paraId="2B64E3E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4.3质疑材料不完整的；</w:t>
      </w:r>
    </w:p>
    <w:p w14:paraId="42DAA7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4.4质疑事项含有主观猜测等内容且未提供有效线索、难以查证的；</w:t>
      </w:r>
    </w:p>
    <w:p w14:paraId="0D023E6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4.5对其他投标供应商的投标文件详细内容质疑，无法提供合法来源渠道的；</w:t>
      </w:r>
    </w:p>
    <w:p w14:paraId="5B592D9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4.6质疑事项已进入投诉处理、行政复议或行政诉讼程序的。</w:t>
      </w:r>
    </w:p>
    <w:p w14:paraId="2BD0554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5、经审查符合质疑条件的，自收到质疑之日起即为受理。采购人及采购代理机构将在质疑受理后7个工作日内作出答复或相关处理决定，并以书面形式通知质疑人，答复的内容不得涉及商业秘密。</w:t>
      </w:r>
    </w:p>
    <w:p w14:paraId="5D8EF2A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6、质疑人在答复期满前撤回质疑的，应由法定代表人或授权代表人签字确认，即终止质疑处理程序。质疑人不得以同一理由再次提出质疑。</w:t>
      </w:r>
    </w:p>
    <w:p w14:paraId="7F2717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质疑人对质疑答复不满意或采购人及采购代理机构未在规定时间内做出答复的，可以在规定期限内向六安市公共资源交易监督管理局提起投诉。</w:t>
      </w:r>
    </w:p>
    <w:p w14:paraId="0F1FE2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质疑人应在答复期满后十五个工作日内提起投诉。</w:t>
      </w:r>
    </w:p>
    <w:p w14:paraId="62B793C6">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7、</w:t>
      </w:r>
      <w:r>
        <w:rPr>
          <w:rFonts w:hint="eastAsia" w:ascii="宋体" w:hAnsi="宋体" w:eastAsia="宋体" w:cs="宋体"/>
          <w:bCs/>
          <w:kern w:val="2"/>
          <w:sz w:val="24"/>
          <w:szCs w:val="24"/>
          <w:lang w:val="en-US" w:eastAsia="zh-CN" w:bidi="ar-SA"/>
        </w:rPr>
        <w:t>投诉人在全国范围12个月内三次以上投诉查无实据的，由财政部门列入不良行为记录名单。</w:t>
      </w:r>
    </w:p>
    <w:p w14:paraId="03935464">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投诉人有下列行为之一的，属于虚假、恶意投诉，由财政部门列入不良行为记录名单，禁止其1至3年内参加政府采购活动：</w:t>
      </w:r>
    </w:p>
    <w:p w14:paraId="245D51C5">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（一）捏造事实；</w:t>
      </w:r>
    </w:p>
    <w:p w14:paraId="24084D6B">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（二）提供虚假材料；</w:t>
      </w:r>
    </w:p>
    <w:p w14:paraId="39ECD4B9">
      <w:pPr>
        <w:pStyle w:val="3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（三）以非法手段取得证明材料。证据来源的合法性存在明显疑问，投诉人无法证明其取得方式合法的，视为以非法手段取得证明材料。</w:t>
      </w:r>
    </w:p>
    <w:p w14:paraId="16BAA034">
      <w:pPr>
        <w:pStyle w:val="3"/>
        <w:numPr>
          <w:ilvl w:val="0"/>
          <w:numId w:val="0"/>
        </w:numPr>
        <w:spacing w:before="0" w:after="0" w:line="560" w:lineRule="exact"/>
        <w:jc w:val="center"/>
        <w:rPr>
          <w:rFonts w:hint="eastAsia" w:ascii="宋体" w:hAnsi="宋体" w:eastAsia="宋体" w:cs="宋体"/>
          <w:sz w:val="28"/>
          <w:szCs w:val="28"/>
        </w:rPr>
      </w:pPr>
      <w:bookmarkStart w:id="102" w:name="_Toc13399"/>
      <w:r>
        <w:rPr>
          <w:rFonts w:hint="eastAsia" w:ascii="宋体" w:hAnsi="宋体" w:eastAsia="宋体" w:cs="宋体"/>
          <w:sz w:val="28"/>
          <w:szCs w:val="28"/>
        </w:rPr>
        <w:t>二、采购合同</w:t>
      </w:r>
      <w:bookmarkEnd w:id="102"/>
    </w:p>
    <w:bookmarkEnd w:id="69"/>
    <w:p w14:paraId="67F10607">
      <w:pPr>
        <w:pStyle w:val="33"/>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Cs/>
          <w:kern w:val="2"/>
          <w:sz w:val="24"/>
          <w:szCs w:val="24"/>
          <w:lang w:val="en-US" w:eastAsia="zh-CN" w:bidi="ar-SA"/>
        </w:rPr>
      </w:pPr>
      <w:bookmarkStart w:id="103" w:name="_Toc363199273"/>
      <w:r>
        <w:rPr>
          <w:rFonts w:hint="eastAsia" w:ascii="宋体" w:hAnsi="宋体" w:eastAsia="宋体" w:cs="宋体"/>
          <w:bCs/>
          <w:kern w:val="2"/>
          <w:sz w:val="24"/>
          <w:szCs w:val="24"/>
          <w:lang w:val="en-US" w:eastAsia="zh-CN" w:bidi="ar-SA"/>
        </w:rPr>
        <w:t>（双方自行拟定，但不得违背谈判文件实质性内容）</w:t>
      </w:r>
    </w:p>
    <w:p w14:paraId="5A593258">
      <w:pPr>
        <w:pStyle w:val="3"/>
        <w:numPr>
          <w:ilvl w:val="0"/>
          <w:numId w:val="0"/>
        </w:numPr>
        <w:spacing w:before="0" w:after="0" w:line="560" w:lineRule="exact"/>
        <w:jc w:val="center"/>
        <w:rPr>
          <w:color w:val="auto"/>
          <w:highlight w:val="none"/>
        </w:rPr>
      </w:pPr>
      <w:bookmarkStart w:id="104" w:name="_Toc20887"/>
      <w:r>
        <w:rPr>
          <w:rFonts w:hint="eastAsia" w:ascii="宋体" w:hAnsi="宋体" w:eastAsia="宋体" w:cs="宋体"/>
          <w:b/>
          <w:color w:val="auto"/>
          <w:kern w:val="0"/>
          <w:sz w:val="28"/>
          <w:szCs w:val="28"/>
          <w:highlight w:val="none"/>
          <w:lang w:val="en-US" w:eastAsia="zh-CN" w:bidi="ar-SA"/>
        </w:rPr>
        <w:t>三、</w:t>
      </w:r>
      <w:r>
        <w:rPr>
          <w:rFonts w:hint="eastAsia" w:ascii="宋体" w:hAnsi="宋体" w:eastAsia="宋体" w:cs="宋体"/>
          <w:color w:val="auto"/>
          <w:sz w:val="28"/>
          <w:szCs w:val="28"/>
          <w:highlight w:val="none"/>
        </w:rPr>
        <w:t>采购需求</w:t>
      </w:r>
      <w:bookmarkEnd w:id="104"/>
    </w:p>
    <w:p w14:paraId="4A81AA68">
      <w:pPr>
        <w:keepNext w:val="0"/>
        <w:keepLines w:val="0"/>
        <w:pageBreakBefore w:val="0"/>
        <w:widowControl w:val="0"/>
        <w:kinsoku/>
        <w:wordWrap/>
        <w:overflowPunct/>
        <w:topLinePunct w:val="0"/>
        <w:autoSpaceDE/>
        <w:autoSpaceDN/>
        <w:bidi w:val="0"/>
        <w:adjustRightInd/>
        <w:snapToGrid/>
        <w:spacing w:before="190" w:line="500" w:lineRule="exact"/>
        <w:ind w:left="6"/>
        <w:textAlignment w:val="auto"/>
        <w:outlineLvl w:val="0"/>
        <w:rPr>
          <w:rFonts w:hint="eastAsia" w:ascii="宋体" w:hAnsi="宋体" w:eastAsia="宋体" w:cs="宋体"/>
          <w:b/>
          <w:bCs/>
          <w:color w:val="auto"/>
          <w:spacing w:val="-5"/>
          <w:sz w:val="28"/>
          <w:szCs w:val="28"/>
          <w:highlight w:val="none"/>
          <w:lang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color w:val="auto"/>
          <w:sz w:val="24"/>
          <w:szCs w:val="24"/>
          <w:highlight w:val="none"/>
          <w:lang w:val="en-US" w:eastAsia="zh-CN"/>
        </w:rPr>
        <w:t>霍山县2025年城市体检项目</w:t>
      </w:r>
    </w:p>
    <w:p w14:paraId="794F97C7">
      <w:pPr>
        <w:keepNext w:val="0"/>
        <w:keepLines w:val="0"/>
        <w:pageBreakBefore w:val="0"/>
        <w:widowControl w:val="0"/>
        <w:kinsoku/>
        <w:wordWrap/>
        <w:overflowPunct/>
        <w:topLinePunct w:val="0"/>
        <w:autoSpaceDE/>
        <w:autoSpaceDN/>
        <w:bidi w:val="0"/>
        <w:adjustRightInd/>
        <w:snapToGrid/>
        <w:spacing w:before="190" w:line="500" w:lineRule="exact"/>
        <w:ind w:left="6"/>
        <w:textAlignment w:val="auto"/>
        <w:outlineLvl w:val="0"/>
        <w:rPr>
          <w:rFonts w:ascii="宋体" w:hAnsi="宋体" w:eastAsia="宋体" w:cs="宋体"/>
          <w:b/>
          <w:bCs/>
          <w:color w:val="auto"/>
          <w:spacing w:val="-5"/>
          <w:sz w:val="28"/>
          <w:szCs w:val="28"/>
          <w:highlight w:val="none"/>
        </w:rPr>
      </w:pPr>
      <w:r>
        <w:rPr>
          <w:rFonts w:hint="eastAsia" w:ascii="宋体" w:hAnsi="宋体" w:eastAsia="宋体" w:cs="宋体"/>
          <w:b/>
          <w:bCs/>
          <w:color w:val="auto"/>
          <w:sz w:val="24"/>
          <w:szCs w:val="24"/>
          <w:highlight w:val="none"/>
          <w:lang w:val="en-US" w:eastAsia="zh-CN"/>
        </w:rPr>
        <w:t>二、采购预算：</w:t>
      </w:r>
      <w:r>
        <w:rPr>
          <w:rFonts w:hint="eastAsia" w:ascii="宋体" w:hAnsi="宋体" w:cs="宋体"/>
          <w:color w:val="auto"/>
          <w:sz w:val="24"/>
          <w:szCs w:val="24"/>
          <w:highlight w:val="none"/>
          <w:lang w:val="en-US" w:eastAsia="zh-CN"/>
        </w:rPr>
        <w:t>28.3</w:t>
      </w:r>
      <w:r>
        <w:rPr>
          <w:rFonts w:hint="eastAsia" w:ascii="宋体" w:hAnsi="宋体" w:eastAsia="宋体" w:cs="宋体"/>
          <w:color w:val="auto"/>
          <w:sz w:val="24"/>
          <w:szCs w:val="24"/>
          <w:highlight w:val="none"/>
          <w:lang w:val="en-US" w:eastAsia="zh-CN"/>
        </w:rPr>
        <w:t>万元</w:t>
      </w:r>
    </w:p>
    <w:p w14:paraId="480DDC62">
      <w:pPr>
        <w:keepNext w:val="0"/>
        <w:keepLines w:val="0"/>
        <w:pageBreakBefore w:val="0"/>
        <w:widowControl w:val="0"/>
        <w:kinsoku/>
        <w:wordWrap/>
        <w:overflowPunct/>
        <w:topLinePunct w:val="0"/>
        <w:autoSpaceDE/>
        <w:autoSpaceDN/>
        <w:bidi w:val="0"/>
        <w:adjustRightInd/>
        <w:snapToGrid/>
        <w:spacing w:before="190" w:line="500" w:lineRule="exact"/>
        <w:ind w:left="6"/>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三、服务期限：</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 日历天</w:t>
      </w:r>
    </w:p>
    <w:p w14:paraId="3DF1C216">
      <w:pPr>
        <w:keepNext w:val="0"/>
        <w:keepLines w:val="0"/>
        <w:pageBreakBefore w:val="0"/>
        <w:widowControl w:val="0"/>
        <w:kinsoku/>
        <w:wordWrap/>
        <w:overflowPunct/>
        <w:topLinePunct w:val="0"/>
        <w:autoSpaceDE/>
        <w:autoSpaceDN/>
        <w:bidi w:val="0"/>
        <w:adjustRightInd/>
        <w:snapToGrid/>
        <w:spacing w:before="190" w:line="500" w:lineRule="exact"/>
        <w:ind w:left="6"/>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四、成果文件份数：</w:t>
      </w:r>
      <w:r>
        <w:rPr>
          <w:rFonts w:hint="eastAsia" w:ascii="宋体" w:hAnsi="宋体" w:eastAsia="宋体" w:cs="宋体"/>
          <w:color w:val="auto"/>
          <w:sz w:val="24"/>
          <w:szCs w:val="24"/>
          <w:highlight w:val="none"/>
          <w:lang w:val="en-US" w:eastAsia="zh-CN"/>
        </w:rPr>
        <w:t>根据采购人要求出具最终的成果文件</w:t>
      </w:r>
      <w:r>
        <w:rPr>
          <w:rFonts w:hint="eastAsia" w:ascii="宋体" w:hAnsi="宋体" w:cs="宋体"/>
          <w:color w:val="auto"/>
          <w:sz w:val="24"/>
          <w:szCs w:val="24"/>
          <w:highlight w:val="none"/>
          <w:lang w:val="en-US" w:eastAsia="zh-CN"/>
        </w:rPr>
        <w:t>。</w:t>
      </w:r>
    </w:p>
    <w:p w14:paraId="51133DF8">
      <w:pPr>
        <w:keepNext w:val="0"/>
        <w:keepLines w:val="0"/>
        <w:pageBreakBefore w:val="0"/>
        <w:widowControl w:val="0"/>
        <w:kinsoku/>
        <w:wordWrap/>
        <w:overflowPunct/>
        <w:topLinePunct w:val="0"/>
        <w:autoSpaceDE/>
        <w:autoSpaceDN/>
        <w:bidi w:val="0"/>
        <w:adjustRightInd/>
        <w:snapToGrid/>
        <w:spacing w:before="190" w:line="500" w:lineRule="exact"/>
        <w:ind w:left="6"/>
        <w:textAlignment w:val="auto"/>
        <w:outlineLvl w:val="0"/>
        <w:rPr>
          <w:rFonts w:ascii="宋体" w:hAnsi="宋体" w:eastAsia="宋体" w:cs="宋体"/>
          <w:b/>
          <w:bCs/>
          <w:color w:val="auto"/>
          <w:spacing w:val="-5"/>
          <w:sz w:val="28"/>
          <w:szCs w:val="28"/>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、服务质量要求：</w:t>
      </w:r>
      <w:r>
        <w:rPr>
          <w:rFonts w:hint="eastAsia" w:ascii="宋体" w:hAnsi="宋体" w:eastAsia="宋体" w:cs="宋体"/>
          <w:color w:val="auto"/>
          <w:sz w:val="24"/>
          <w:szCs w:val="24"/>
          <w:highlight w:val="none"/>
          <w:lang w:val="en-US" w:eastAsia="zh-CN"/>
        </w:rPr>
        <w:t>符合《2025 年安徽省城市体检技术导则》等相关要求，按时完成成果上报。</w:t>
      </w:r>
    </w:p>
    <w:p w14:paraId="49B74F4C">
      <w:pPr>
        <w:spacing w:before="190" w:line="220" w:lineRule="auto"/>
        <w:ind w:left="5"/>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项目背景</w:t>
      </w:r>
    </w:p>
    <w:p w14:paraId="536C6BD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根据住建部、省住建厅关于开展2025年城市体检工作要求，围绕确定的指标体系，开展城市指标数据的收集、梳理、分析、汇总</w:t>
      </w:r>
      <w:r>
        <w:rPr>
          <w:rFonts w:hint="eastAsia" w:ascii="宋体" w:hAnsi="宋体" w:cs="宋体"/>
          <w:b w:val="0"/>
          <w:bCs w:val="0"/>
          <w:color w:val="auto"/>
          <w:sz w:val="24"/>
          <w:szCs w:val="24"/>
          <w:highlight w:val="none"/>
          <w:u w:val="none"/>
          <w:lang w:val="en-US" w:eastAsia="zh-CN"/>
        </w:rPr>
        <w:t>。</w:t>
      </w:r>
    </w:p>
    <w:p w14:paraId="351CA02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通过互联网数据、行业统计数据、社会满意度调查等数据的耦合，精准把握城市发展状态，形成城市体检报告，为城市建设发展把脉。</w:t>
      </w:r>
    </w:p>
    <w:p w14:paraId="34F7F7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以推动建设宜居、韧性、智慧城市为目标，结合国家、安徽省政策要求，从五大维度着手，以十三个类别，按照住房、小区（社区）、街区、城区（城市）四个方面，结合</w:t>
      </w:r>
      <w:r>
        <w:rPr>
          <w:rFonts w:hint="eastAsia" w:ascii="宋体" w:hAnsi="宋体" w:cs="宋体"/>
          <w:b w:val="0"/>
          <w:bCs w:val="0"/>
          <w:color w:val="auto"/>
          <w:sz w:val="24"/>
          <w:szCs w:val="24"/>
          <w:highlight w:val="none"/>
          <w:u w:val="none"/>
          <w:lang w:val="en-US" w:eastAsia="zh-CN"/>
        </w:rPr>
        <w:t>霍山县</w:t>
      </w:r>
      <w:r>
        <w:rPr>
          <w:rFonts w:hint="eastAsia" w:ascii="宋体" w:hAnsi="宋体" w:eastAsia="宋体" w:cs="宋体"/>
          <w:b w:val="0"/>
          <w:bCs w:val="0"/>
          <w:color w:val="auto"/>
          <w:sz w:val="24"/>
          <w:szCs w:val="24"/>
          <w:highlight w:val="none"/>
          <w:u w:val="none"/>
          <w:lang w:val="en-US" w:eastAsia="zh-CN"/>
        </w:rPr>
        <w:t>实际制定城市体检指标体系。</w:t>
      </w:r>
    </w:p>
    <w:p w14:paraId="44DF31F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通过数据采集和社会满意度调查</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进行科学分析诊断，针对诊断出的问题，提出对策建议。</w:t>
      </w:r>
    </w:p>
    <w:p w14:paraId="5FFCAF5F">
      <w:pPr>
        <w:keepNext w:val="0"/>
        <w:keepLines w:val="0"/>
        <w:pageBreakBefore w:val="0"/>
        <w:numPr>
          <w:ilvl w:val="0"/>
          <w:numId w:val="3"/>
        </w:numPr>
        <w:kinsoku/>
        <w:wordWrap/>
        <w:overflowPunct/>
        <w:topLinePunct w:val="0"/>
        <w:autoSpaceDE/>
        <w:autoSpaceDN/>
        <w:bidi w:val="0"/>
        <w:adjustRightInd/>
        <w:snapToGrid/>
        <w:spacing w:line="500" w:lineRule="exact"/>
        <w:textAlignment w:val="auto"/>
        <w:rPr>
          <w:b/>
          <w:bCs/>
          <w:color w:val="auto"/>
          <w:spacing w:val="-4"/>
          <w:sz w:val="24"/>
          <w:szCs w:val="24"/>
          <w:highlight w:val="none"/>
        </w:rPr>
      </w:pPr>
      <w:r>
        <w:rPr>
          <w:b/>
          <w:bCs/>
          <w:color w:val="auto"/>
          <w:spacing w:val="-4"/>
          <w:sz w:val="24"/>
          <w:szCs w:val="24"/>
          <w:highlight w:val="none"/>
        </w:rPr>
        <w:t>服务需求及相关成果文件</w:t>
      </w:r>
    </w:p>
    <w:p w14:paraId="260200A8">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en-US"/>
        </w:rPr>
        <w:t>根据住建部《2025年城市体检基础指标体系》</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en-US"/>
        </w:rPr>
        <w:t>《2025年安徽省城市体检技术导则》，开展城市体检工作，最终</w:t>
      </w:r>
      <w:r>
        <w:rPr>
          <w:rFonts w:hint="eastAsia" w:ascii="宋体" w:hAnsi="宋体" w:cs="宋体"/>
          <w:b w:val="0"/>
          <w:bCs/>
          <w:color w:val="auto"/>
          <w:sz w:val="24"/>
          <w:szCs w:val="24"/>
          <w:highlight w:val="none"/>
          <w:lang w:val="en-US" w:eastAsia="zh-CN"/>
        </w:rPr>
        <w:t>形成</w:t>
      </w:r>
      <w:r>
        <w:rPr>
          <w:rFonts w:hint="eastAsia" w:ascii="宋体" w:hAnsi="宋体" w:eastAsia="宋体" w:cs="宋体"/>
          <w:b w:val="0"/>
          <w:bCs/>
          <w:color w:val="auto"/>
          <w:sz w:val="24"/>
          <w:szCs w:val="24"/>
          <w:highlight w:val="none"/>
          <w:lang w:val="en-US" w:eastAsia="en-US"/>
        </w:rPr>
        <w:t>城市体检综合报告</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en-US"/>
        </w:rPr>
        <w:t>最终成果形式为“113”</w:t>
      </w:r>
      <w:r>
        <w:rPr>
          <w:rFonts w:hint="eastAsia" w:ascii="宋体" w:hAnsi="宋体" w:cs="宋体"/>
          <w:b w:val="0"/>
          <w:bCs/>
          <w:color w:val="auto"/>
          <w:sz w:val="24"/>
          <w:szCs w:val="24"/>
          <w:highlight w:val="none"/>
          <w:lang w:val="en-US" w:eastAsia="zh-CN"/>
        </w:rPr>
        <w:t>：</w:t>
      </w:r>
    </w:p>
    <w:p w14:paraId="4E5442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lang w:val="en-US" w:eastAsia="en-US"/>
        </w:rPr>
      </w:pPr>
      <w:r>
        <w:rPr>
          <w:rFonts w:hint="eastAsia" w:ascii="宋体" w:hAnsi="宋体" w:eastAsia="宋体" w:cs="宋体"/>
          <w:b w:val="0"/>
          <w:bCs/>
          <w:color w:val="auto"/>
          <w:sz w:val="24"/>
          <w:szCs w:val="24"/>
          <w:highlight w:val="none"/>
          <w:lang w:val="en-US" w:eastAsia="en-US"/>
        </w:rPr>
        <w:t>“1”即1份城市体检报告（含社会满意度调查）；</w:t>
      </w:r>
    </w:p>
    <w:p w14:paraId="5BEF6AE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lang w:val="en-US" w:eastAsia="en-US"/>
        </w:rPr>
      </w:pPr>
      <w:r>
        <w:rPr>
          <w:rFonts w:hint="eastAsia" w:ascii="宋体" w:hAnsi="宋体" w:eastAsia="宋体" w:cs="宋体"/>
          <w:b w:val="0"/>
          <w:bCs/>
          <w:color w:val="auto"/>
          <w:sz w:val="24"/>
          <w:szCs w:val="24"/>
          <w:highlight w:val="none"/>
          <w:lang w:val="en-US" w:eastAsia="en-US"/>
        </w:rPr>
        <w:t>“1”即1套城市体检分析图，涵盖小区（社区）、街区、城区（城市）三个维度， 具体包含但不限于①建成区范围图；②小区（社区）维度小学服务半径覆盖分布图；③街区维度中学服务半径覆盖分布图、文化活动中心服务半径覆盖分布图、公园绿化活动场地服务半径覆盖分布图、需要更新改造的老旧商业街区分布图、需要更新改造 的老旧厂区分布图、需要更新改造的老旧街区分布图；④城区（城市）维度完整居住 社区分布图、城市绿道服务半径覆盖分布图、城市道路网密度图、城市消防站服务半 径覆盖分布图、城市运行管理服务平台覆盖分布图。</w:t>
      </w:r>
    </w:p>
    <w:p w14:paraId="2B424BE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auto"/>
          <w:sz w:val="24"/>
          <w:szCs w:val="24"/>
          <w:highlight w:val="none"/>
          <w:lang w:val="en-US" w:eastAsia="en-US"/>
        </w:rPr>
      </w:pPr>
      <w:r>
        <w:rPr>
          <w:rFonts w:hint="eastAsia" w:ascii="宋体" w:hAnsi="宋体" w:eastAsia="宋体" w:cs="宋体"/>
          <w:b w:val="0"/>
          <w:bCs/>
          <w:color w:val="auto"/>
          <w:sz w:val="24"/>
          <w:szCs w:val="24"/>
          <w:highlight w:val="none"/>
          <w:lang w:val="en-US" w:eastAsia="en-US"/>
        </w:rPr>
        <w:t>“3”即3份城市体检清单，分别为城市体检指标汇总表，应明确指标数值（含分 子分母）、指标来源以及对标评价；城市体检“病灶”诊断清单，应阐述主要问题</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en-US"/>
        </w:rPr>
        <w:t>明确空间属性，空间属性应较为详实，以更新单元范围、社区边界或道路为基础； 城市更新项目建议清单化，应明确更新项目名称、建设内容、空间范围以及责任单位。</w:t>
      </w:r>
    </w:p>
    <w:p w14:paraId="39C39FAE">
      <w:pPr>
        <w:spacing w:before="190" w:line="220" w:lineRule="auto"/>
        <w:ind w:left="5"/>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、其他要求</w:t>
      </w:r>
    </w:p>
    <w:p w14:paraId="055812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1、供应商应充分了解本</w:t>
      </w:r>
      <w:bookmarkStart w:id="147" w:name="_GoBack"/>
      <w:bookmarkEnd w:id="147"/>
      <w:r>
        <w:rPr>
          <w:rFonts w:hint="eastAsia" w:ascii="宋体" w:hAnsi="宋体" w:eastAsia="宋体" w:cs="宋体"/>
          <w:bCs/>
          <w:color w:val="auto"/>
          <w:sz w:val="24"/>
          <w:szCs w:val="24"/>
          <w:highlight w:val="none"/>
          <w:lang w:val="en-US" w:eastAsia="zh-CN"/>
        </w:rPr>
        <w:t>项目的服务范围及内容、熟悉本项目的工作流程、充分考虑项目履约期间的市场、政策等因素影响，将所有风险考虑在投标报价中，一旦成交，成交人不得以任何理由提出成交价调整。</w:t>
      </w:r>
    </w:p>
    <w:p w14:paraId="32688B2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2、本次报价采用总价包干，供应商成交后不得以任何理由调整价格。</w:t>
      </w:r>
    </w:p>
    <w:p w14:paraId="210243EC">
      <w:pPr>
        <w:spacing w:before="190" w:line="220" w:lineRule="auto"/>
        <w:ind w:left="5"/>
        <w:outlineLvl w:val="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、安全与保密</w:t>
      </w:r>
    </w:p>
    <w:p w14:paraId="5666DED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1、成交人策划规划成果涉及知识产权的，成交人应保证不侵犯任何第三方知识产权。成交人提交的工作成果的著作权人为采购人，若该工作成果侵犯第三方知识产权的，由成交人承担赔偿责任。</w:t>
      </w:r>
    </w:p>
    <w:p w14:paraId="4642E03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2、编制工作中涉及到的涉密和敏感图文资料、电子数据，编制单位应严格执行保密的相关规定，不得以任何方式向任何第三人披露、泄露或许可第三人使用。</w:t>
      </w:r>
    </w:p>
    <w:p w14:paraId="622B2E75">
      <w:pPr>
        <w:spacing w:before="40" w:line="455" w:lineRule="auto"/>
        <w:ind w:left="2" w:right="2" w:firstLine="563"/>
        <w:rPr>
          <w:rFonts w:ascii="宋体" w:hAnsi="宋体" w:eastAsia="宋体" w:cs="宋体"/>
          <w:color w:val="auto"/>
          <w:spacing w:val="-1"/>
          <w:sz w:val="28"/>
          <w:szCs w:val="28"/>
          <w:highlight w:val="none"/>
        </w:rPr>
        <w:sectPr>
          <w:headerReference r:id="rId6" w:type="default"/>
          <w:footerReference r:id="rId7" w:type="default"/>
          <w:pgSz w:w="11906" w:h="16839"/>
          <w:pgMar w:top="1431" w:right="1528" w:bottom="1156" w:left="1541" w:header="0" w:footer="994" w:gutter="0"/>
          <w:pgNumType w:fmt="decimal"/>
          <w:cols w:space="720" w:num="1"/>
        </w:sectPr>
      </w:pPr>
    </w:p>
    <w:p w14:paraId="3CB2C69F">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bookmarkStart w:id="105" w:name="_Toc27329"/>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105"/>
    </w:p>
    <w:p w14:paraId="5DCB92BC">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spacing w:val="-2"/>
          <w:sz w:val="24"/>
          <w:szCs w:val="24"/>
          <w:u w:val="none"/>
        </w:rPr>
      </w:pPr>
      <w:r>
        <w:rPr>
          <w:rFonts w:hint="eastAsia" w:ascii="宋体" w:hAnsi="宋体" w:eastAsia="宋体" w:cs="宋体"/>
          <w:b/>
          <w:bCs/>
          <w:spacing w:val="-2"/>
          <w:sz w:val="24"/>
          <w:szCs w:val="24"/>
          <w:u w:val="none"/>
        </w:rPr>
        <w:t>1</w:t>
      </w:r>
      <w:r>
        <w:rPr>
          <w:rFonts w:hint="eastAsia" w:ascii="宋体" w:hAnsi="宋体" w:eastAsia="宋体" w:cs="宋体"/>
          <w:b/>
          <w:bCs/>
          <w:spacing w:val="-2"/>
          <w:sz w:val="24"/>
          <w:szCs w:val="24"/>
          <w:u w:val="none"/>
          <w:lang w:eastAsia="zh-CN"/>
        </w:rPr>
        <w:t>、</w:t>
      </w:r>
      <w:r>
        <w:rPr>
          <w:rFonts w:hint="eastAsia" w:ascii="宋体" w:hAnsi="宋体" w:eastAsia="宋体" w:cs="宋体"/>
          <w:b/>
          <w:bCs/>
          <w:spacing w:val="-2"/>
          <w:sz w:val="24"/>
          <w:szCs w:val="24"/>
          <w:u w:val="none"/>
        </w:rPr>
        <w:t>资格审查</w:t>
      </w:r>
    </w:p>
    <w:p w14:paraId="734F6AD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对供应商的资格进行审查，审查响应文件是否响应了谈判文件的资格要求。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当发现供应商或其响应文件存在下列情况之一时，将判定供应商的资格不符合要求，资格审查不通过。</w:t>
      </w:r>
    </w:p>
    <w:tbl>
      <w:tblPr>
        <w:tblStyle w:val="97"/>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4F93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14:paraId="111CDB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rPr>
              <w:t>审查内容</w:t>
            </w:r>
          </w:p>
        </w:tc>
        <w:tc>
          <w:tcPr>
            <w:tcW w:w="6872" w:type="dxa"/>
            <w:noWrap w:val="0"/>
            <w:vAlign w:val="center"/>
          </w:tcPr>
          <w:p w14:paraId="242264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审查标准</w:t>
            </w:r>
          </w:p>
        </w:tc>
      </w:tr>
      <w:tr w14:paraId="2D00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14:paraId="426B355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w:t>
            </w:r>
          </w:p>
          <w:p w14:paraId="7D7EF64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审查</w:t>
            </w:r>
          </w:p>
        </w:tc>
        <w:tc>
          <w:tcPr>
            <w:tcW w:w="1378" w:type="dxa"/>
            <w:noWrap w:val="0"/>
            <w:vAlign w:val="center"/>
          </w:tcPr>
          <w:p w14:paraId="79AA3B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6872" w:type="dxa"/>
            <w:noWrap w:val="0"/>
            <w:vAlign w:val="center"/>
          </w:tcPr>
          <w:p w14:paraId="5D4E938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未提供</w:t>
            </w:r>
            <w:r>
              <w:rPr>
                <w:rFonts w:hint="eastAsia" w:ascii="宋体" w:hAnsi="宋体" w:cs="宋体"/>
                <w:sz w:val="24"/>
                <w:szCs w:val="24"/>
                <w:lang w:eastAsia="zh-CN"/>
              </w:rPr>
              <w:t>有效的</w:t>
            </w:r>
            <w:r>
              <w:rPr>
                <w:rFonts w:hint="eastAsia" w:ascii="宋体" w:hAnsi="宋体" w:eastAsia="宋体" w:cs="宋体"/>
                <w:sz w:val="24"/>
                <w:szCs w:val="24"/>
              </w:rPr>
              <w:t>营业执照</w:t>
            </w:r>
          </w:p>
        </w:tc>
      </w:tr>
      <w:tr w14:paraId="7084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14:paraId="68ACD2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70F4E4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资格条件</w:t>
            </w:r>
          </w:p>
        </w:tc>
        <w:tc>
          <w:tcPr>
            <w:tcW w:w="6872" w:type="dxa"/>
            <w:noWrap w:val="0"/>
            <w:vAlign w:val="center"/>
          </w:tcPr>
          <w:p w14:paraId="07C3D7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tc>
      </w:tr>
      <w:tr w14:paraId="3143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14:paraId="588F7E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4A36EF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信用要求</w:t>
            </w:r>
          </w:p>
        </w:tc>
        <w:tc>
          <w:tcPr>
            <w:tcW w:w="6872" w:type="dxa"/>
            <w:noWrap w:val="0"/>
            <w:vAlign w:val="center"/>
          </w:tcPr>
          <w:p w14:paraId="17235F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p w14:paraId="361472D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注 ：</w:t>
            </w:r>
          </w:p>
          <w:p w14:paraId="32FA4A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1.信用记录查询渠道：</w:t>
            </w:r>
          </w:p>
          <w:p w14:paraId="161675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(1)被人民法院列入失信被执行人名单的(以</w:t>
            </w:r>
          </w:p>
          <w:p w14:paraId="173D577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www.creditchina.gov.cn查询为准)</w:t>
            </w:r>
          </w:p>
          <w:p w14:paraId="1BC40A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(2)被税务机关列入重大税收违法失信主体名单的(以ww w.creditchina.gov.cn查询为准)</w:t>
            </w:r>
          </w:p>
          <w:p w14:paraId="795AEE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(3)被财政部门列入政府采购严重违法失信行为记录名单的 (以www.ccgp.gov.cn/查询为准)</w:t>
            </w:r>
          </w:p>
          <w:p w14:paraId="7DD91A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(4)被市场监督管理部门列入严重违法失信名单的(以 www.gsxt.gov.cn查询为准)</w:t>
            </w:r>
          </w:p>
          <w:p w14:paraId="4CEAB9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w:t>
            </w:r>
            <w:r>
              <w:rPr>
                <w:rFonts w:hint="eastAsia" w:ascii="宋体" w:hAnsi="宋体" w:cs="宋体"/>
                <w:sz w:val="24"/>
                <w:szCs w:val="24"/>
                <w:lang w:eastAsia="zh-CN"/>
              </w:rPr>
              <w:t>需</w:t>
            </w:r>
            <w:r>
              <w:rPr>
                <w:rFonts w:hint="eastAsia" w:ascii="宋体" w:hAnsi="宋体" w:eastAsia="宋体" w:cs="宋体"/>
                <w:sz w:val="24"/>
                <w:szCs w:val="24"/>
              </w:rPr>
              <w:t>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r>
              <w:rPr>
                <w:rFonts w:hint="eastAsia" w:ascii="宋体" w:hAnsi="宋体" w:cs="宋体"/>
                <w:sz w:val="24"/>
                <w:szCs w:val="24"/>
                <w:lang w:eastAsia="zh-CN"/>
              </w:rPr>
              <w:t>提供承诺函。</w:t>
            </w:r>
          </w:p>
        </w:tc>
      </w:tr>
      <w:tr w14:paraId="2909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14:paraId="0CA202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3726C0A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872" w:type="dxa"/>
            <w:noWrap w:val="0"/>
            <w:vAlign w:val="center"/>
          </w:tcPr>
          <w:p w14:paraId="301D4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供应商被行政监督部门作出禁止</w:t>
            </w:r>
            <w:r>
              <w:rPr>
                <w:rFonts w:hint="eastAsia" w:ascii="宋体" w:hAnsi="宋体" w:eastAsia="宋体" w:cs="宋体"/>
                <w:sz w:val="24"/>
                <w:szCs w:val="24"/>
                <w:lang w:val="en-US" w:eastAsia="zh-CN"/>
              </w:rPr>
              <w:t>响应</w:t>
            </w:r>
            <w:r>
              <w:rPr>
                <w:rFonts w:hint="eastAsia" w:ascii="宋体" w:hAnsi="宋体" w:eastAsia="宋体" w:cs="宋体"/>
                <w:sz w:val="24"/>
                <w:szCs w:val="24"/>
              </w:rPr>
              <w:t>处罚且在有效期内的，或其他违反法律法规和</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文件规定的应该按无效</w:t>
            </w:r>
            <w:r>
              <w:rPr>
                <w:rFonts w:hint="eastAsia" w:ascii="宋体" w:hAnsi="宋体" w:eastAsia="宋体" w:cs="宋体"/>
                <w:sz w:val="24"/>
                <w:szCs w:val="24"/>
                <w:lang w:val="en-US" w:eastAsia="zh-CN"/>
              </w:rPr>
              <w:t>响应</w:t>
            </w:r>
            <w:r>
              <w:rPr>
                <w:rFonts w:hint="eastAsia" w:ascii="宋体" w:hAnsi="宋体" w:eastAsia="宋体" w:cs="宋体"/>
                <w:sz w:val="24"/>
                <w:szCs w:val="24"/>
              </w:rPr>
              <w:t>处理的情形</w:t>
            </w:r>
            <w:r>
              <w:rPr>
                <w:rFonts w:hint="eastAsia" w:ascii="宋体" w:hAnsi="宋体" w:eastAsia="宋体" w:cs="宋体"/>
                <w:sz w:val="24"/>
                <w:szCs w:val="24"/>
                <w:lang w:eastAsia="zh-CN"/>
              </w:rPr>
              <w:t>。</w:t>
            </w:r>
          </w:p>
        </w:tc>
      </w:tr>
    </w:tbl>
    <w:p w14:paraId="6F7D40A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2F0B4E52">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685A5DE3">
      <w:pPr>
        <w:pStyle w:val="3"/>
        <w:spacing w:before="0" w:after="0" w:line="560" w:lineRule="exact"/>
        <w:jc w:val="center"/>
        <w:rPr>
          <w:rFonts w:hint="eastAsia" w:ascii="宋体" w:hAnsi="宋体" w:eastAsia="宋体" w:cs="宋体"/>
          <w:sz w:val="28"/>
          <w:szCs w:val="28"/>
          <w:lang w:eastAsia="zh-CN"/>
        </w:rPr>
      </w:pPr>
      <w:bookmarkStart w:id="106" w:name="_Toc17782"/>
    </w:p>
    <w:p w14:paraId="7C24A112">
      <w:pPr>
        <w:rPr>
          <w:rFonts w:hint="eastAsia" w:ascii="宋体" w:hAnsi="宋体" w:eastAsia="宋体" w:cs="宋体"/>
          <w:sz w:val="28"/>
          <w:szCs w:val="28"/>
          <w:lang w:eastAsia="zh-CN"/>
        </w:rPr>
      </w:pPr>
    </w:p>
    <w:p w14:paraId="4FD6533A">
      <w:pPr>
        <w:pStyle w:val="28"/>
        <w:rPr>
          <w:rFonts w:hint="eastAsia" w:ascii="宋体" w:hAnsi="宋体" w:eastAsia="宋体" w:cs="宋体"/>
          <w:sz w:val="28"/>
          <w:szCs w:val="28"/>
          <w:lang w:eastAsia="zh-CN"/>
        </w:rPr>
      </w:pPr>
    </w:p>
    <w:p w14:paraId="500AEEFF">
      <w:pPr>
        <w:pStyle w:val="28"/>
        <w:rPr>
          <w:rFonts w:hint="eastAsia" w:ascii="宋体" w:hAnsi="宋体" w:eastAsia="宋体" w:cs="宋体"/>
          <w:sz w:val="28"/>
          <w:szCs w:val="28"/>
          <w:lang w:eastAsia="zh-CN"/>
        </w:rPr>
      </w:pPr>
    </w:p>
    <w:p w14:paraId="5AA95EDD">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106"/>
    </w:p>
    <w:p w14:paraId="57C4CC94">
      <w:pPr>
        <w:spacing w:line="500" w:lineRule="exact"/>
        <w:jc w:val="center"/>
        <w:rPr>
          <w:rFonts w:ascii="宋体" w:hAnsi="宋体"/>
          <w:b/>
          <w:sz w:val="32"/>
        </w:rPr>
      </w:pPr>
    </w:p>
    <w:p w14:paraId="676A047C">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1E7650EF">
      <w:pPr>
        <w:spacing w:line="900" w:lineRule="exact"/>
        <w:rPr>
          <w:rFonts w:ascii="宋体" w:hAnsi="宋体"/>
          <w:b/>
          <w:sz w:val="72"/>
        </w:rPr>
      </w:pPr>
    </w:p>
    <w:p w14:paraId="5441A5AD">
      <w:pPr>
        <w:spacing w:line="900" w:lineRule="exact"/>
        <w:jc w:val="center"/>
        <w:rPr>
          <w:rFonts w:ascii="宋体" w:hAnsi="宋体"/>
          <w:b/>
          <w:sz w:val="72"/>
        </w:rPr>
      </w:pPr>
      <w:r>
        <w:rPr>
          <w:rFonts w:hint="eastAsia" w:ascii="宋体" w:hAnsi="宋体"/>
          <w:b/>
          <w:sz w:val="72"/>
        </w:rPr>
        <w:t>响</w:t>
      </w:r>
    </w:p>
    <w:p w14:paraId="0908E5D8">
      <w:pPr>
        <w:spacing w:line="900" w:lineRule="exact"/>
        <w:jc w:val="center"/>
        <w:rPr>
          <w:rFonts w:ascii="宋体" w:hAnsi="宋体"/>
          <w:b/>
          <w:sz w:val="72"/>
        </w:rPr>
      </w:pPr>
    </w:p>
    <w:p w14:paraId="0F82F599">
      <w:pPr>
        <w:spacing w:line="900" w:lineRule="exact"/>
        <w:jc w:val="center"/>
        <w:rPr>
          <w:rFonts w:ascii="宋体" w:hAnsi="宋体"/>
          <w:b/>
          <w:sz w:val="72"/>
        </w:rPr>
      </w:pPr>
      <w:r>
        <w:rPr>
          <w:rFonts w:hint="eastAsia" w:ascii="宋体" w:hAnsi="宋体"/>
          <w:b/>
          <w:sz w:val="72"/>
        </w:rPr>
        <w:t>应</w:t>
      </w:r>
    </w:p>
    <w:p w14:paraId="550A5B7B">
      <w:pPr>
        <w:spacing w:line="900" w:lineRule="exact"/>
        <w:jc w:val="center"/>
        <w:rPr>
          <w:rFonts w:ascii="宋体" w:hAnsi="宋体"/>
          <w:b/>
          <w:sz w:val="72"/>
        </w:rPr>
      </w:pPr>
    </w:p>
    <w:p w14:paraId="62FBB8C8">
      <w:pPr>
        <w:spacing w:line="900" w:lineRule="exact"/>
        <w:jc w:val="center"/>
        <w:rPr>
          <w:rFonts w:ascii="宋体" w:hAnsi="宋体"/>
          <w:b/>
          <w:sz w:val="72"/>
        </w:rPr>
      </w:pPr>
      <w:r>
        <w:rPr>
          <w:rFonts w:hint="eastAsia" w:ascii="宋体" w:hAnsi="宋体"/>
          <w:b/>
          <w:sz w:val="72"/>
        </w:rPr>
        <w:t>文</w:t>
      </w:r>
    </w:p>
    <w:p w14:paraId="7ADA153A">
      <w:pPr>
        <w:spacing w:line="900" w:lineRule="exact"/>
        <w:jc w:val="center"/>
        <w:rPr>
          <w:rFonts w:ascii="宋体" w:hAnsi="宋体"/>
          <w:b/>
          <w:sz w:val="72"/>
        </w:rPr>
      </w:pPr>
    </w:p>
    <w:p w14:paraId="7BC9C18A">
      <w:pPr>
        <w:jc w:val="center"/>
        <w:rPr>
          <w:rFonts w:ascii="宋体" w:hAnsi="宋体"/>
          <w:b/>
          <w:sz w:val="72"/>
        </w:rPr>
      </w:pPr>
      <w:r>
        <w:rPr>
          <w:rFonts w:hint="eastAsia" w:ascii="宋体" w:hAnsi="宋体"/>
          <w:b/>
          <w:sz w:val="72"/>
        </w:rPr>
        <w:t>件</w:t>
      </w:r>
    </w:p>
    <w:p w14:paraId="526298D0">
      <w:pPr>
        <w:spacing w:after="156" w:afterLines="50"/>
        <w:jc w:val="center"/>
        <w:rPr>
          <w:rFonts w:ascii="宋体" w:hAnsi="宋体"/>
          <w:b/>
          <w:sz w:val="72"/>
        </w:rPr>
      </w:pPr>
    </w:p>
    <w:p w14:paraId="44C29087">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63B973D1">
      <w:pPr>
        <w:spacing w:after="156" w:afterLines="50" w:line="500" w:lineRule="exact"/>
        <w:jc w:val="center"/>
        <w:rPr>
          <w:rFonts w:ascii="宋体" w:hAnsi="宋体"/>
          <w:b/>
          <w:sz w:val="72"/>
        </w:rPr>
      </w:pPr>
    </w:p>
    <w:p w14:paraId="30062B27">
      <w:pPr>
        <w:spacing w:after="156" w:afterLines="50" w:line="500" w:lineRule="exact"/>
        <w:ind w:firstLine="1606" w:firstLineChars="500"/>
        <w:rPr>
          <w:rFonts w:ascii="宋体" w:hAnsi="宋体"/>
          <w:b/>
          <w:sz w:val="32"/>
          <w:u w:val="single"/>
        </w:rPr>
      </w:pPr>
      <w:r>
        <w:rPr>
          <w:rFonts w:hint="eastAsia" w:ascii="宋体" w:hAnsi="宋体"/>
          <w:b/>
          <w:sz w:val="32"/>
        </w:rPr>
        <w:t>供应商：</w:t>
      </w:r>
    </w:p>
    <w:p w14:paraId="5EAF306F">
      <w:pPr>
        <w:spacing w:after="156" w:afterLines="50" w:line="500" w:lineRule="exact"/>
        <w:jc w:val="center"/>
        <w:rPr>
          <w:rFonts w:ascii="宋体" w:hAnsi="宋体"/>
          <w:b/>
          <w:sz w:val="32"/>
        </w:rPr>
      </w:pPr>
      <w:r>
        <w:rPr>
          <w:rFonts w:hint="eastAsia" w:ascii="宋体" w:hAnsi="宋体"/>
          <w:b/>
          <w:sz w:val="32"/>
        </w:rPr>
        <w:t>年  月  日</w:t>
      </w:r>
    </w:p>
    <w:p w14:paraId="22125ABC">
      <w:pPr>
        <w:spacing w:after="156" w:afterLines="50" w:line="500" w:lineRule="exact"/>
        <w:jc w:val="center"/>
        <w:rPr>
          <w:rFonts w:ascii="宋体" w:hAnsi="宋体"/>
          <w:b/>
          <w:sz w:val="32"/>
        </w:rPr>
      </w:pPr>
    </w:p>
    <w:p w14:paraId="373CED2B">
      <w:pPr>
        <w:spacing w:line="360" w:lineRule="auto"/>
        <w:rPr>
          <w:rFonts w:ascii="宋体" w:hAnsi="宋体"/>
          <w:sz w:val="24"/>
          <w:szCs w:val="28"/>
        </w:rPr>
      </w:pPr>
    </w:p>
    <w:bookmarkEnd w:id="103"/>
    <w:p w14:paraId="7C6A9EA0">
      <w:pPr>
        <w:pStyle w:val="3"/>
        <w:spacing w:before="0" w:after="0" w:line="560" w:lineRule="exact"/>
        <w:jc w:val="center"/>
        <w:rPr>
          <w:rFonts w:ascii="宋体" w:hAnsi="宋体" w:eastAsia="宋体" w:cs="宋体"/>
          <w:sz w:val="24"/>
          <w:szCs w:val="24"/>
        </w:rPr>
      </w:pPr>
      <w:bookmarkStart w:id="107" w:name="_Toc6123"/>
      <w:r>
        <w:rPr>
          <w:rFonts w:hint="eastAsia" w:ascii="宋体" w:hAnsi="宋体" w:eastAsia="宋体" w:cs="宋体"/>
          <w:sz w:val="24"/>
          <w:szCs w:val="24"/>
        </w:rPr>
        <w:t>响应文件资料清单</w:t>
      </w:r>
      <w:bookmarkEnd w:id="107"/>
    </w:p>
    <w:tbl>
      <w:tblPr>
        <w:tblStyle w:val="3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B22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DBF5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序号</w:t>
            </w:r>
          </w:p>
        </w:tc>
        <w:tc>
          <w:tcPr>
            <w:tcW w:w="6038" w:type="dxa"/>
            <w:vAlign w:val="center"/>
          </w:tcPr>
          <w:p w14:paraId="1025B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资料名称</w:t>
            </w:r>
          </w:p>
        </w:tc>
        <w:tc>
          <w:tcPr>
            <w:tcW w:w="1417" w:type="dxa"/>
            <w:vAlign w:val="center"/>
          </w:tcPr>
          <w:p w14:paraId="3457E0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备注</w:t>
            </w:r>
          </w:p>
        </w:tc>
      </w:tr>
      <w:tr w14:paraId="3AC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CB86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一</w:t>
            </w:r>
          </w:p>
        </w:tc>
        <w:tc>
          <w:tcPr>
            <w:tcW w:w="6038" w:type="dxa"/>
            <w:vAlign w:val="center"/>
          </w:tcPr>
          <w:p w14:paraId="21BCED4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宋体" w:hAnsi="宋体"/>
                <w:sz w:val="24"/>
                <w:szCs w:val="24"/>
              </w:rPr>
              <w:t>报价单</w:t>
            </w:r>
          </w:p>
        </w:tc>
        <w:tc>
          <w:tcPr>
            <w:tcW w:w="1417" w:type="dxa"/>
            <w:vAlign w:val="center"/>
          </w:tcPr>
          <w:p w14:paraId="31190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221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AD3B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二</w:t>
            </w:r>
          </w:p>
        </w:tc>
        <w:tc>
          <w:tcPr>
            <w:tcW w:w="6038" w:type="dxa"/>
            <w:vAlign w:val="center"/>
          </w:tcPr>
          <w:p w14:paraId="7C0CC81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Tahoma" w:hAnsi="Tahoma"/>
                <w:sz w:val="24"/>
              </w:rPr>
              <w:t>供应商基本信息</w:t>
            </w:r>
          </w:p>
        </w:tc>
        <w:tc>
          <w:tcPr>
            <w:tcW w:w="1417" w:type="dxa"/>
            <w:vAlign w:val="center"/>
          </w:tcPr>
          <w:p w14:paraId="2C098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380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8951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三</w:t>
            </w:r>
          </w:p>
        </w:tc>
        <w:tc>
          <w:tcPr>
            <w:tcW w:w="6038" w:type="dxa"/>
            <w:vAlign w:val="center"/>
          </w:tcPr>
          <w:p w14:paraId="78D89CCC">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谈判授权书</w:t>
            </w:r>
          </w:p>
        </w:tc>
        <w:tc>
          <w:tcPr>
            <w:tcW w:w="1417" w:type="dxa"/>
            <w:vAlign w:val="center"/>
          </w:tcPr>
          <w:p w14:paraId="6E07E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65AA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AA5F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四</w:t>
            </w:r>
          </w:p>
        </w:tc>
        <w:tc>
          <w:tcPr>
            <w:tcW w:w="6038" w:type="dxa"/>
            <w:vAlign w:val="center"/>
          </w:tcPr>
          <w:p w14:paraId="54B104A7">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谈判响应函</w:t>
            </w:r>
          </w:p>
        </w:tc>
        <w:tc>
          <w:tcPr>
            <w:tcW w:w="1417" w:type="dxa"/>
            <w:vAlign w:val="center"/>
          </w:tcPr>
          <w:p w14:paraId="623AF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C4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2714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五</w:t>
            </w:r>
          </w:p>
        </w:tc>
        <w:tc>
          <w:tcPr>
            <w:tcW w:w="6038" w:type="dxa"/>
            <w:vAlign w:val="center"/>
          </w:tcPr>
          <w:p w14:paraId="79C5E4F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12733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EE3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3EE14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六</w:t>
            </w:r>
          </w:p>
        </w:tc>
        <w:tc>
          <w:tcPr>
            <w:tcW w:w="6038" w:type="dxa"/>
            <w:vAlign w:val="center"/>
          </w:tcPr>
          <w:p w14:paraId="2D0BD8B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响应情况表</w:t>
            </w:r>
          </w:p>
        </w:tc>
        <w:tc>
          <w:tcPr>
            <w:tcW w:w="1417" w:type="dxa"/>
            <w:vAlign w:val="center"/>
          </w:tcPr>
          <w:p w14:paraId="7FC26C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21C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2BCAF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七</w:t>
            </w:r>
          </w:p>
        </w:tc>
        <w:tc>
          <w:tcPr>
            <w:tcW w:w="6038" w:type="dxa"/>
            <w:vAlign w:val="center"/>
          </w:tcPr>
          <w:p w14:paraId="24C16A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bookmarkStart w:id="108" w:name="_Toc14653"/>
            <w:bookmarkStart w:id="109" w:name="_Toc16318"/>
            <w:bookmarkStart w:id="110" w:name="_Toc1904"/>
            <w:r>
              <w:rPr>
                <w:rStyle w:val="48"/>
                <w:rFonts w:hint="eastAsia" w:ascii="宋体" w:hAnsi="宋体" w:eastAsia="宋体" w:cs="宋体"/>
                <w:b w:val="0"/>
                <w:bCs/>
                <w:sz w:val="24"/>
                <w:szCs w:val="24"/>
              </w:rPr>
              <w:t>中小企业声明函、</w:t>
            </w:r>
            <w:bookmarkEnd w:id="108"/>
            <w:bookmarkEnd w:id="109"/>
            <w:bookmarkEnd w:id="110"/>
            <w:r>
              <w:rPr>
                <w:rFonts w:hint="eastAsia" w:ascii="宋体" w:hAnsi="宋体" w:cs="宋体"/>
                <w:bCs/>
                <w:sz w:val="24"/>
                <w:szCs w:val="24"/>
              </w:rPr>
              <w:t>残疾人福利性单位声明函</w:t>
            </w:r>
          </w:p>
        </w:tc>
        <w:tc>
          <w:tcPr>
            <w:tcW w:w="1417" w:type="dxa"/>
            <w:vAlign w:val="center"/>
          </w:tcPr>
          <w:p w14:paraId="789DED9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1FE8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0A914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八</w:t>
            </w:r>
          </w:p>
        </w:tc>
        <w:tc>
          <w:tcPr>
            <w:tcW w:w="6038" w:type="dxa"/>
            <w:vAlign w:val="center"/>
          </w:tcPr>
          <w:p w14:paraId="071EF9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4A70978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3CD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37D223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ahoma" w:hAnsi="Tahoma" w:eastAsia="宋体"/>
                <w:sz w:val="24"/>
                <w:lang w:eastAsia="zh-CN"/>
              </w:rPr>
            </w:pPr>
          </w:p>
        </w:tc>
        <w:tc>
          <w:tcPr>
            <w:tcW w:w="6038" w:type="dxa"/>
            <w:vAlign w:val="center"/>
          </w:tcPr>
          <w:p w14:paraId="1EDAF5E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p>
        </w:tc>
        <w:tc>
          <w:tcPr>
            <w:tcW w:w="1417" w:type="dxa"/>
            <w:vAlign w:val="center"/>
          </w:tcPr>
          <w:p w14:paraId="103B3B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129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079AA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p>
        </w:tc>
        <w:tc>
          <w:tcPr>
            <w:tcW w:w="6038" w:type="dxa"/>
            <w:vAlign w:val="center"/>
          </w:tcPr>
          <w:p w14:paraId="2C4DF58E">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3C179E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769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A506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54CA49EA">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BF28A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26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65F4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728C855D">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62F43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bl>
    <w:p w14:paraId="7ED6BF4A">
      <w:pPr>
        <w:spacing w:line="360" w:lineRule="auto"/>
        <w:jc w:val="center"/>
        <w:rPr>
          <w:rFonts w:ascii="宋体" w:hAnsi="宋体"/>
          <w:b/>
          <w:sz w:val="24"/>
        </w:rPr>
      </w:pPr>
    </w:p>
    <w:p w14:paraId="5AB8996C">
      <w:pPr>
        <w:spacing w:line="360" w:lineRule="auto"/>
        <w:jc w:val="center"/>
        <w:rPr>
          <w:rFonts w:ascii="宋体" w:hAnsi="宋体"/>
          <w:b/>
          <w:sz w:val="24"/>
        </w:rPr>
      </w:pPr>
    </w:p>
    <w:p w14:paraId="14B52CD1">
      <w:pPr>
        <w:spacing w:line="360" w:lineRule="auto"/>
        <w:jc w:val="center"/>
        <w:rPr>
          <w:rFonts w:ascii="宋体" w:hAnsi="宋体"/>
          <w:b/>
          <w:sz w:val="24"/>
        </w:rPr>
      </w:pPr>
    </w:p>
    <w:p w14:paraId="1C13FD49">
      <w:pPr>
        <w:rPr>
          <w:rFonts w:ascii="宋体" w:hAnsi="宋体" w:cs="宋体"/>
          <w:sz w:val="24"/>
          <w:szCs w:val="24"/>
        </w:rPr>
      </w:pPr>
      <w:r>
        <w:rPr>
          <w:rFonts w:hint="eastAsia" w:ascii="宋体" w:hAnsi="宋体" w:cs="宋体"/>
          <w:sz w:val="24"/>
          <w:szCs w:val="24"/>
        </w:rPr>
        <w:br w:type="page"/>
      </w:r>
    </w:p>
    <w:p w14:paraId="4CD4F221">
      <w:pPr>
        <w:pStyle w:val="3"/>
        <w:spacing w:before="0" w:after="0" w:line="560" w:lineRule="exact"/>
        <w:rPr>
          <w:rFonts w:ascii="宋体" w:hAnsi="宋体" w:eastAsia="宋体" w:cs="宋体"/>
          <w:sz w:val="24"/>
          <w:szCs w:val="24"/>
        </w:rPr>
      </w:pPr>
      <w:bookmarkStart w:id="111" w:name="_Toc2536"/>
      <w:r>
        <w:rPr>
          <w:rFonts w:hint="eastAsia" w:ascii="宋体" w:hAnsi="宋体" w:eastAsia="宋体" w:cs="宋体"/>
          <w:sz w:val="24"/>
          <w:szCs w:val="24"/>
        </w:rPr>
        <w:t>附件一</w:t>
      </w:r>
      <w:bookmarkEnd w:id="111"/>
    </w:p>
    <w:p w14:paraId="7F27870D">
      <w:pPr>
        <w:pStyle w:val="3"/>
        <w:spacing w:before="156" w:beforeLines="50" w:after="156" w:afterLines="50" w:line="560" w:lineRule="exact"/>
        <w:jc w:val="center"/>
        <w:rPr>
          <w:rFonts w:ascii="宋体" w:hAnsi="宋体" w:eastAsia="宋体" w:cs="宋体"/>
          <w:sz w:val="24"/>
          <w:szCs w:val="24"/>
        </w:rPr>
      </w:pPr>
      <w:bookmarkStart w:id="112" w:name="_Toc15863"/>
      <w:bookmarkStart w:id="113" w:name="_Toc5601"/>
      <w:bookmarkStart w:id="114" w:name="_Toc21540"/>
      <w:r>
        <w:rPr>
          <w:rFonts w:hint="eastAsia" w:ascii="宋体" w:hAnsi="宋体" w:eastAsia="宋体" w:cs="宋体"/>
          <w:sz w:val="24"/>
          <w:szCs w:val="24"/>
        </w:rPr>
        <w:t>报价单</w:t>
      </w:r>
      <w:bookmarkEnd w:id="112"/>
      <w:bookmarkEnd w:id="113"/>
      <w:bookmarkEnd w:id="114"/>
    </w:p>
    <w:tbl>
      <w:tblPr>
        <w:tblStyle w:val="3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46"/>
        <w:gridCol w:w="1290"/>
        <w:gridCol w:w="2883"/>
      </w:tblGrid>
      <w:tr w14:paraId="045E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56C802EF">
            <w:pPr>
              <w:jc w:val="center"/>
              <w:rPr>
                <w:rFonts w:ascii="宋体" w:hAnsi="宋体"/>
                <w:b/>
                <w:sz w:val="24"/>
                <w:szCs w:val="24"/>
              </w:rPr>
            </w:pPr>
            <w:r>
              <w:rPr>
                <w:rFonts w:hint="eastAsia" w:ascii="宋体" w:hAnsi="宋体"/>
                <w:b/>
                <w:sz w:val="24"/>
                <w:szCs w:val="24"/>
              </w:rPr>
              <w:t>序号</w:t>
            </w:r>
          </w:p>
        </w:tc>
        <w:tc>
          <w:tcPr>
            <w:tcW w:w="3446" w:type="dxa"/>
            <w:vAlign w:val="center"/>
          </w:tcPr>
          <w:p w14:paraId="6429DB8C">
            <w:pPr>
              <w:jc w:val="center"/>
              <w:rPr>
                <w:rFonts w:ascii="宋体" w:hAnsi="宋体"/>
                <w:b/>
                <w:sz w:val="24"/>
                <w:szCs w:val="24"/>
              </w:rPr>
            </w:pPr>
            <w:r>
              <w:rPr>
                <w:rFonts w:hint="eastAsia" w:ascii="宋体" w:hAnsi="宋体"/>
                <w:b/>
                <w:sz w:val="24"/>
                <w:szCs w:val="24"/>
              </w:rPr>
              <w:t>服务内容</w:t>
            </w:r>
          </w:p>
        </w:tc>
        <w:tc>
          <w:tcPr>
            <w:tcW w:w="1290" w:type="dxa"/>
            <w:vAlign w:val="center"/>
          </w:tcPr>
          <w:p w14:paraId="50280E1F">
            <w:pPr>
              <w:jc w:val="center"/>
              <w:rPr>
                <w:rFonts w:ascii="宋体" w:hAnsi="宋体"/>
                <w:b/>
                <w:sz w:val="24"/>
                <w:szCs w:val="24"/>
              </w:rPr>
            </w:pPr>
            <w:r>
              <w:rPr>
                <w:rFonts w:hint="eastAsia" w:ascii="宋体" w:hAnsi="宋体"/>
                <w:b/>
                <w:sz w:val="24"/>
                <w:szCs w:val="24"/>
              </w:rPr>
              <w:t>项</w:t>
            </w:r>
          </w:p>
        </w:tc>
        <w:tc>
          <w:tcPr>
            <w:tcW w:w="2883" w:type="dxa"/>
            <w:vAlign w:val="center"/>
          </w:tcPr>
          <w:p w14:paraId="19C1D7D7">
            <w:pPr>
              <w:jc w:val="center"/>
              <w:rPr>
                <w:rFonts w:hint="eastAsia" w:ascii="宋体" w:hAnsi="宋体" w:eastAsia="宋体"/>
                <w:b/>
                <w:sz w:val="24"/>
                <w:szCs w:val="24"/>
                <w:lang w:eastAsia="zh-CN"/>
              </w:rPr>
            </w:pPr>
            <w:r>
              <w:rPr>
                <w:rFonts w:hint="eastAsia" w:ascii="宋体" w:hAnsi="宋体"/>
                <w:b/>
                <w:sz w:val="24"/>
                <w:szCs w:val="24"/>
                <w:lang w:eastAsia="zh-CN"/>
              </w:rPr>
              <w:t>报</w:t>
            </w:r>
            <w:r>
              <w:rPr>
                <w:rFonts w:hint="eastAsia" w:ascii="宋体" w:hAnsi="宋体"/>
                <w:b/>
                <w:sz w:val="24"/>
                <w:szCs w:val="24"/>
              </w:rPr>
              <w:t>价</w:t>
            </w:r>
            <w:r>
              <w:rPr>
                <w:rFonts w:hint="eastAsia" w:ascii="宋体" w:hAnsi="宋体"/>
                <w:b/>
                <w:sz w:val="24"/>
                <w:szCs w:val="24"/>
                <w:lang w:eastAsia="zh-CN"/>
              </w:rPr>
              <w:t>（元）</w:t>
            </w:r>
          </w:p>
        </w:tc>
      </w:tr>
      <w:tr w14:paraId="5689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44475032">
            <w:pPr>
              <w:jc w:val="center"/>
              <w:rPr>
                <w:rFonts w:ascii="宋体" w:hAnsi="宋体"/>
                <w:bCs/>
                <w:sz w:val="24"/>
                <w:szCs w:val="24"/>
              </w:rPr>
            </w:pPr>
            <w:r>
              <w:rPr>
                <w:rFonts w:hint="eastAsia" w:ascii="宋体" w:hAnsi="宋体"/>
                <w:bCs/>
                <w:sz w:val="24"/>
                <w:szCs w:val="24"/>
              </w:rPr>
              <w:t>1</w:t>
            </w:r>
          </w:p>
        </w:tc>
        <w:tc>
          <w:tcPr>
            <w:tcW w:w="3446" w:type="dxa"/>
            <w:vAlign w:val="center"/>
          </w:tcPr>
          <w:p w14:paraId="3029DDD8">
            <w:pPr>
              <w:jc w:val="center"/>
              <w:rPr>
                <w:rFonts w:ascii="宋体" w:hAnsi="宋体"/>
                <w:bCs/>
                <w:sz w:val="24"/>
                <w:szCs w:val="24"/>
              </w:rPr>
            </w:pPr>
            <w:r>
              <w:rPr>
                <w:rFonts w:hint="eastAsia" w:ascii="宋体" w:hAnsi="宋体" w:cs="宋体"/>
                <w:sz w:val="24"/>
                <w:szCs w:val="24"/>
                <w:lang w:val="en-US" w:eastAsia="zh-CN"/>
              </w:rPr>
              <w:t>霍山县2025年城市体检项目</w:t>
            </w:r>
          </w:p>
        </w:tc>
        <w:tc>
          <w:tcPr>
            <w:tcW w:w="1290" w:type="dxa"/>
            <w:vAlign w:val="center"/>
          </w:tcPr>
          <w:p w14:paraId="3E026BD8">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w:t>
            </w:r>
          </w:p>
        </w:tc>
        <w:tc>
          <w:tcPr>
            <w:tcW w:w="2883" w:type="dxa"/>
            <w:vAlign w:val="center"/>
          </w:tcPr>
          <w:p w14:paraId="6A93467A">
            <w:pPr>
              <w:jc w:val="center"/>
              <w:rPr>
                <w:rFonts w:ascii="宋体" w:hAnsi="宋体"/>
                <w:bCs/>
                <w:sz w:val="24"/>
                <w:szCs w:val="24"/>
              </w:rPr>
            </w:pPr>
          </w:p>
        </w:tc>
      </w:tr>
      <w:tr w14:paraId="44A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0B5944E">
            <w:pPr>
              <w:jc w:val="center"/>
              <w:rPr>
                <w:rFonts w:ascii="宋体" w:hAnsi="宋体"/>
                <w:bCs/>
                <w:sz w:val="24"/>
                <w:szCs w:val="24"/>
              </w:rPr>
            </w:pPr>
            <w:r>
              <w:rPr>
                <w:rFonts w:hint="eastAsia" w:ascii="宋体" w:hAnsi="宋体"/>
                <w:bCs/>
                <w:sz w:val="24"/>
                <w:szCs w:val="24"/>
              </w:rPr>
              <w:t>2</w:t>
            </w:r>
          </w:p>
        </w:tc>
        <w:tc>
          <w:tcPr>
            <w:tcW w:w="3446" w:type="dxa"/>
            <w:vAlign w:val="center"/>
          </w:tcPr>
          <w:p w14:paraId="1D1B7244">
            <w:pPr>
              <w:jc w:val="center"/>
              <w:rPr>
                <w:rFonts w:ascii="宋体" w:hAnsi="宋体"/>
                <w:bCs/>
                <w:sz w:val="24"/>
                <w:szCs w:val="24"/>
              </w:rPr>
            </w:pPr>
          </w:p>
        </w:tc>
        <w:tc>
          <w:tcPr>
            <w:tcW w:w="1290" w:type="dxa"/>
            <w:vAlign w:val="center"/>
          </w:tcPr>
          <w:p w14:paraId="69FF98BA">
            <w:pPr>
              <w:jc w:val="center"/>
              <w:rPr>
                <w:rFonts w:ascii="宋体" w:hAnsi="宋体"/>
                <w:bCs/>
                <w:sz w:val="24"/>
                <w:szCs w:val="24"/>
              </w:rPr>
            </w:pPr>
          </w:p>
        </w:tc>
        <w:tc>
          <w:tcPr>
            <w:tcW w:w="2883" w:type="dxa"/>
            <w:vAlign w:val="center"/>
          </w:tcPr>
          <w:p w14:paraId="06609B7F">
            <w:pPr>
              <w:jc w:val="center"/>
              <w:rPr>
                <w:rFonts w:ascii="宋体" w:hAnsi="宋体"/>
                <w:bCs/>
                <w:sz w:val="24"/>
                <w:szCs w:val="24"/>
              </w:rPr>
            </w:pPr>
          </w:p>
        </w:tc>
      </w:tr>
      <w:tr w14:paraId="22B9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F0AF7C2">
            <w:pPr>
              <w:jc w:val="center"/>
              <w:rPr>
                <w:rFonts w:ascii="宋体" w:hAnsi="宋体"/>
                <w:bCs/>
                <w:sz w:val="24"/>
                <w:szCs w:val="24"/>
              </w:rPr>
            </w:pPr>
            <w:r>
              <w:rPr>
                <w:rFonts w:hint="eastAsia" w:ascii="宋体" w:hAnsi="宋体"/>
                <w:bCs/>
                <w:sz w:val="24"/>
                <w:szCs w:val="24"/>
              </w:rPr>
              <w:t>3</w:t>
            </w:r>
          </w:p>
        </w:tc>
        <w:tc>
          <w:tcPr>
            <w:tcW w:w="3446" w:type="dxa"/>
            <w:vAlign w:val="center"/>
          </w:tcPr>
          <w:p w14:paraId="425BCBB3">
            <w:pPr>
              <w:jc w:val="center"/>
              <w:rPr>
                <w:rFonts w:ascii="宋体" w:hAnsi="宋体"/>
                <w:bCs/>
                <w:sz w:val="24"/>
                <w:szCs w:val="24"/>
              </w:rPr>
            </w:pPr>
          </w:p>
        </w:tc>
        <w:tc>
          <w:tcPr>
            <w:tcW w:w="1290" w:type="dxa"/>
            <w:vAlign w:val="center"/>
          </w:tcPr>
          <w:p w14:paraId="35EE9402">
            <w:pPr>
              <w:jc w:val="center"/>
              <w:rPr>
                <w:rFonts w:ascii="宋体" w:hAnsi="宋体"/>
                <w:bCs/>
                <w:sz w:val="24"/>
                <w:szCs w:val="24"/>
              </w:rPr>
            </w:pPr>
          </w:p>
        </w:tc>
        <w:tc>
          <w:tcPr>
            <w:tcW w:w="2883" w:type="dxa"/>
            <w:vAlign w:val="center"/>
          </w:tcPr>
          <w:p w14:paraId="3249F635">
            <w:pPr>
              <w:jc w:val="center"/>
              <w:rPr>
                <w:rFonts w:ascii="宋体" w:hAnsi="宋体"/>
                <w:bCs/>
                <w:sz w:val="24"/>
                <w:szCs w:val="24"/>
              </w:rPr>
            </w:pPr>
          </w:p>
        </w:tc>
      </w:tr>
      <w:tr w14:paraId="5E9F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553DA0F">
            <w:pPr>
              <w:jc w:val="center"/>
              <w:rPr>
                <w:rFonts w:ascii="宋体" w:hAnsi="宋体"/>
                <w:bCs/>
                <w:sz w:val="24"/>
                <w:szCs w:val="24"/>
              </w:rPr>
            </w:pPr>
            <w:r>
              <w:rPr>
                <w:rFonts w:ascii="宋体" w:hAnsi="宋体"/>
                <w:bCs/>
                <w:sz w:val="24"/>
                <w:szCs w:val="24"/>
              </w:rPr>
              <w:t>…</w:t>
            </w:r>
          </w:p>
        </w:tc>
        <w:tc>
          <w:tcPr>
            <w:tcW w:w="3446" w:type="dxa"/>
            <w:vAlign w:val="center"/>
          </w:tcPr>
          <w:p w14:paraId="123EFFF9">
            <w:pPr>
              <w:jc w:val="center"/>
              <w:rPr>
                <w:rFonts w:ascii="宋体" w:hAnsi="宋体"/>
                <w:bCs/>
                <w:sz w:val="24"/>
                <w:szCs w:val="24"/>
              </w:rPr>
            </w:pPr>
          </w:p>
        </w:tc>
        <w:tc>
          <w:tcPr>
            <w:tcW w:w="1290" w:type="dxa"/>
            <w:vAlign w:val="center"/>
          </w:tcPr>
          <w:p w14:paraId="37769E5B">
            <w:pPr>
              <w:jc w:val="center"/>
              <w:rPr>
                <w:rFonts w:ascii="宋体" w:hAnsi="宋体"/>
                <w:bCs/>
                <w:sz w:val="24"/>
                <w:szCs w:val="24"/>
              </w:rPr>
            </w:pPr>
          </w:p>
        </w:tc>
        <w:tc>
          <w:tcPr>
            <w:tcW w:w="2883" w:type="dxa"/>
            <w:vAlign w:val="center"/>
          </w:tcPr>
          <w:p w14:paraId="3A43E4FA">
            <w:pPr>
              <w:jc w:val="center"/>
              <w:rPr>
                <w:rFonts w:ascii="宋体" w:hAnsi="宋体"/>
                <w:bCs/>
                <w:sz w:val="24"/>
                <w:szCs w:val="24"/>
              </w:rPr>
            </w:pPr>
          </w:p>
        </w:tc>
      </w:tr>
      <w:tr w14:paraId="0C6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F1383A7">
            <w:pPr>
              <w:jc w:val="center"/>
              <w:rPr>
                <w:rFonts w:ascii="宋体" w:hAnsi="宋体"/>
                <w:bCs/>
                <w:sz w:val="24"/>
                <w:szCs w:val="24"/>
              </w:rPr>
            </w:pPr>
          </w:p>
        </w:tc>
        <w:tc>
          <w:tcPr>
            <w:tcW w:w="3446" w:type="dxa"/>
            <w:vAlign w:val="center"/>
          </w:tcPr>
          <w:p w14:paraId="522C1C57">
            <w:pPr>
              <w:pStyle w:val="62"/>
              <w:ind w:left="-108"/>
              <w:jc w:val="center"/>
              <w:rPr>
                <w:rFonts w:ascii="宋体" w:hAnsi="宋体"/>
                <w:bCs/>
                <w:szCs w:val="24"/>
              </w:rPr>
            </w:pPr>
          </w:p>
        </w:tc>
        <w:tc>
          <w:tcPr>
            <w:tcW w:w="1290" w:type="dxa"/>
            <w:vAlign w:val="center"/>
          </w:tcPr>
          <w:p w14:paraId="0F64FF65">
            <w:pPr>
              <w:jc w:val="center"/>
              <w:rPr>
                <w:rFonts w:ascii="宋体" w:hAnsi="宋体"/>
                <w:bCs/>
                <w:sz w:val="24"/>
                <w:szCs w:val="24"/>
              </w:rPr>
            </w:pPr>
          </w:p>
        </w:tc>
        <w:tc>
          <w:tcPr>
            <w:tcW w:w="2883" w:type="dxa"/>
            <w:vAlign w:val="center"/>
          </w:tcPr>
          <w:p w14:paraId="6E48A29D">
            <w:pPr>
              <w:jc w:val="center"/>
              <w:rPr>
                <w:rFonts w:ascii="宋体" w:hAnsi="宋体"/>
                <w:bCs/>
                <w:sz w:val="24"/>
                <w:szCs w:val="24"/>
              </w:rPr>
            </w:pPr>
          </w:p>
        </w:tc>
      </w:tr>
      <w:tr w14:paraId="1667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D79B6A6">
            <w:pPr>
              <w:jc w:val="center"/>
              <w:rPr>
                <w:rFonts w:ascii="宋体" w:hAnsi="宋体"/>
                <w:bCs/>
                <w:sz w:val="24"/>
                <w:szCs w:val="24"/>
              </w:rPr>
            </w:pPr>
          </w:p>
        </w:tc>
        <w:tc>
          <w:tcPr>
            <w:tcW w:w="4736" w:type="dxa"/>
            <w:gridSpan w:val="2"/>
            <w:vAlign w:val="center"/>
          </w:tcPr>
          <w:p w14:paraId="26D00787">
            <w:pPr>
              <w:jc w:val="center"/>
              <w:rPr>
                <w:rFonts w:ascii="宋体" w:hAnsi="宋体"/>
                <w:bCs/>
                <w:sz w:val="24"/>
                <w:szCs w:val="24"/>
              </w:rPr>
            </w:pPr>
            <w:r>
              <w:rPr>
                <w:rFonts w:hint="eastAsia" w:ascii="宋体" w:hAnsi="宋体"/>
                <w:bCs/>
                <w:sz w:val="24"/>
                <w:szCs w:val="24"/>
                <w:lang w:eastAsia="zh-CN"/>
              </w:rPr>
              <w:t>合计</w:t>
            </w:r>
          </w:p>
        </w:tc>
        <w:tc>
          <w:tcPr>
            <w:tcW w:w="2883" w:type="dxa"/>
            <w:vAlign w:val="center"/>
          </w:tcPr>
          <w:p w14:paraId="337513A8">
            <w:pPr>
              <w:jc w:val="center"/>
              <w:rPr>
                <w:rFonts w:ascii="宋体" w:hAnsi="宋体"/>
                <w:bCs/>
                <w:sz w:val="24"/>
                <w:szCs w:val="24"/>
              </w:rPr>
            </w:pPr>
          </w:p>
        </w:tc>
      </w:tr>
    </w:tbl>
    <w:p w14:paraId="781130E6">
      <w:pPr>
        <w:snapToGrid w:val="0"/>
        <w:spacing w:line="360" w:lineRule="auto"/>
        <w:rPr>
          <w:rFonts w:ascii="宋体" w:hAnsi="宋体"/>
          <w:bCs/>
          <w:sz w:val="24"/>
          <w:szCs w:val="24"/>
        </w:rPr>
      </w:pPr>
    </w:p>
    <w:p w14:paraId="6E286654">
      <w:pPr>
        <w:snapToGrid w:val="0"/>
        <w:spacing w:line="360" w:lineRule="auto"/>
        <w:rPr>
          <w:rFonts w:ascii="宋体" w:hAnsi="宋体"/>
          <w:bCs/>
          <w:sz w:val="24"/>
          <w:szCs w:val="24"/>
        </w:rPr>
      </w:pPr>
    </w:p>
    <w:p w14:paraId="27C3D745">
      <w:pPr>
        <w:spacing w:line="360" w:lineRule="auto"/>
        <w:ind w:right="480"/>
        <w:jc w:val="center"/>
        <w:rPr>
          <w:rFonts w:ascii="宋体" w:hAnsi="宋体"/>
          <w:b/>
          <w:bCs/>
          <w:sz w:val="24"/>
          <w:szCs w:val="24"/>
        </w:rPr>
      </w:pPr>
      <w:r>
        <w:rPr>
          <w:rFonts w:hint="eastAsia" w:ascii="宋体" w:hAnsi="宋体"/>
          <w:b/>
          <w:bCs/>
          <w:sz w:val="24"/>
          <w:szCs w:val="24"/>
        </w:rPr>
        <w:t xml:space="preserve">                            </w:t>
      </w:r>
    </w:p>
    <w:p w14:paraId="0A392996">
      <w:pPr>
        <w:spacing w:line="560" w:lineRule="exact"/>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b/>
          <w:bCs/>
          <w:sz w:val="24"/>
          <w:szCs w:val="24"/>
          <w:lang w:eastAsia="zh-CN"/>
        </w:rPr>
        <w:t>盖章</w:t>
      </w:r>
      <w:r>
        <w:rPr>
          <w:rFonts w:hint="eastAsia" w:ascii="宋体" w:hAnsi="宋体"/>
          <w:b/>
          <w:bCs/>
          <w:sz w:val="24"/>
          <w:szCs w:val="24"/>
        </w:rPr>
        <w:t>：</w:t>
      </w:r>
    </w:p>
    <w:p w14:paraId="20C230A4">
      <w:pPr>
        <w:spacing w:line="560" w:lineRule="exact"/>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26F474E0">
      <w:pPr>
        <w:adjustRightInd w:val="0"/>
        <w:snapToGrid w:val="0"/>
        <w:spacing w:line="360" w:lineRule="auto"/>
        <w:rPr>
          <w:rFonts w:ascii="宋体" w:hAnsi="宋体"/>
          <w:b/>
          <w:sz w:val="24"/>
          <w:szCs w:val="24"/>
        </w:rPr>
      </w:pPr>
    </w:p>
    <w:p w14:paraId="35424B9C">
      <w:pPr>
        <w:adjustRightInd w:val="0"/>
        <w:snapToGrid w:val="0"/>
        <w:spacing w:line="360" w:lineRule="auto"/>
        <w:rPr>
          <w:rFonts w:ascii="宋体" w:hAnsi="宋体"/>
          <w:b/>
          <w:sz w:val="24"/>
          <w:szCs w:val="24"/>
        </w:rPr>
      </w:pPr>
    </w:p>
    <w:p w14:paraId="5DFF5F18">
      <w:pPr>
        <w:adjustRightInd w:val="0"/>
        <w:snapToGrid w:val="0"/>
        <w:spacing w:line="360" w:lineRule="auto"/>
        <w:rPr>
          <w:b/>
          <w:sz w:val="24"/>
          <w:szCs w:val="24"/>
        </w:rPr>
      </w:pPr>
      <w:r>
        <w:rPr>
          <w:rFonts w:hint="eastAsia" w:ascii="宋体" w:hAnsi="宋体"/>
          <w:b/>
          <w:sz w:val="24"/>
          <w:szCs w:val="24"/>
        </w:rPr>
        <w:t>注：表中所列服务为对应本项目需求的全部服务内容。如有漏项或缺项，投标供应商承担全部责任。</w:t>
      </w:r>
    </w:p>
    <w:p w14:paraId="6DAC09E4">
      <w:pPr>
        <w:spacing w:line="360" w:lineRule="auto"/>
        <w:rPr>
          <w:sz w:val="24"/>
          <w:szCs w:val="24"/>
        </w:rPr>
      </w:pPr>
    </w:p>
    <w:p w14:paraId="36A12CD6">
      <w:pPr>
        <w:spacing w:line="360" w:lineRule="auto"/>
        <w:rPr>
          <w:sz w:val="24"/>
          <w:szCs w:val="24"/>
        </w:rPr>
      </w:pPr>
    </w:p>
    <w:p w14:paraId="7D6007D7">
      <w:pPr>
        <w:spacing w:line="360" w:lineRule="auto"/>
        <w:rPr>
          <w:sz w:val="24"/>
          <w:szCs w:val="24"/>
        </w:rPr>
      </w:pPr>
    </w:p>
    <w:p w14:paraId="123601E7">
      <w:pPr>
        <w:spacing w:line="360" w:lineRule="auto"/>
        <w:rPr>
          <w:sz w:val="24"/>
          <w:szCs w:val="24"/>
        </w:rPr>
      </w:pPr>
    </w:p>
    <w:p w14:paraId="0B103682">
      <w:pPr>
        <w:spacing w:line="360" w:lineRule="auto"/>
        <w:rPr>
          <w:sz w:val="24"/>
          <w:szCs w:val="24"/>
        </w:rPr>
      </w:pPr>
    </w:p>
    <w:p w14:paraId="6242388E">
      <w:pPr>
        <w:spacing w:line="360" w:lineRule="auto"/>
        <w:rPr>
          <w:sz w:val="24"/>
          <w:szCs w:val="24"/>
        </w:rPr>
      </w:pPr>
    </w:p>
    <w:p w14:paraId="61926871">
      <w:pPr>
        <w:spacing w:line="360" w:lineRule="auto"/>
        <w:rPr>
          <w:sz w:val="24"/>
          <w:szCs w:val="24"/>
        </w:rPr>
      </w:pPr>
    </w:p>
    <w:p w14:paraId="0D76BDE7">
      <w:pPr>
        <w:jc w:val="left"/>
        <w:rPr>
          <w:rFonts w:ascii="宋体" w:hAnsi="宋体"/>
          <w:b/>
          <w:sz w:val="32"/>
          <w:szCs w:val="32"/>
        </w:rPr>
      </w:pPr>
      <w:r>
        <w:rPr>
          <w:rFonts w:hint="eastAsia" w:ascii="宋体" w:hAnsi="宋体"/>
          <w:b/>
          <w:sz w:val="32"/>
          <w:szCs w:val="32"/>
        </w:rPr>
        <w:br w:type="page"/>
      </w:r>
    </w:p>
    <w:p w14:paraId="59BE2C3C">
      <w:pPr>
        <w:pStyle w:val="3"/>
        <w:spacing w:before="0" w:after="0" w:line="560" w:lineRule="exact"/>
        <w:rPr>
          <w:rFonts w:ascii="宋体" w:hAnsi="宋体" w:eastAsia="宋体" w:cs="宋体"/>
          <w:sz w:val="24"/>
          <w:szCs w:val="24"/>
        </w:rPr>
      </w:pPr>
      <w:bookmarkStart w:id="115" w:name="_Toc9164"/>
      <w:r>
        <w:rPr>
          <w:rFonts w:hint="eastAsia" w:ascii="宋体" w:hAnsi="宋体" w:eastAsia="宋体" w:cs="宋体"/>
          <w:sz w:val="24"/>
          <w:szCs w:val="24"/>
        </w:rPr>
        <w:t>附件二</w:t>
      </w:r>
      <w:bookmarkEnd w:id="115"/>
    </w:p>
    <w:p w14:paraId="222E2322">
      <w:pPr>
        <w:pStyle w:val="3"/>
        <w:spacing w:before="0" w:after="0" w:line="560" w:lineRule="exact"/>
        <w:jc w:val="center"/>
        <w:rPr>
          <w:rFonts w:ascii="宋体" w:hAnsi="宋体" w:eastAsia="宋体" w:cs="宋体"/>
          <w:sz w:val="24"/>
          <w:szCs w:val="24"/>
        </w:rPr>
      </w:pPr>
      <w:bookmarkStart w:id="116" w:name="_Toc20406"/>
      <w:bookmarkStart w:id="117" w:name="_Toc17280"/>
      <w:bookmarkStart w:id="118" w:name="_Toc4686"/>
      <w:r>
        <w:rPr>
          <w:rFonts w:hint="eastAsia" w:ascii="宋体" w:hAnsi="宋体" w:eastAsia="宋体" w:cs="宋体"/>
          <w:sz w:val="24"/>
          <w:szCs w:val="24"/>
        </w:rPr>
        <w:t>供应商基本信息</w:t>
      </w:r>
      <w:bookmarkEnd w:id="116"/>
      <w:bookmarkEnd w:id="117"/>
      <w:bookmarkEnd w:id="118"/>
    </w:p>
    <w:p w14:paraId="6D8F57E1">
      <w:pPr>
        <w:spacing w:line="360" w:lineRule="auto"/>
        <w:jc w:val="center"/>
      </w:pPr>
      <w:r>
        <w:rPr>
          <w:rFonts w:hint="eastAsia"/>
          <w:sz w:val="24"/>
          <w:szCs w:val="24"/>
        </w:rPr>
        <w:t>（</w:t>
      </w:r>
      <w:r>
        <w:rPr>
          <w:rFonts w:hint="eastAsia"/>
          <w:sz w:val="24"/>
          <w:szCs w:val="24"/>
          <w:lang w:eastAsia="zh-CN"/>
        </w:rPr>
        <w:t>营业执照等相关材料，格式自拟</w:t>
      </w:r>
      <w:r>
        <w:rPr>
          <w:rFonts w:hint="eastAsia"/>
          <w:sz w:val="24"/>
          <w:szCs w:val="24"/>
        </w:rPr>
        <w:t>）</w:t>
      </w:r>
    </w:p>
    <w:p w14:paraId="5C549F2F">
      <w:pPr>
        <w:pStyle w:val="3"/>
        <w:spacing w:before="0" w:after="0" w:line="560" w:lineRule="exact"/>
        <w:rPr>
          <w:rFonts w:ascii="宋体" w:hAnsi="宋体" w:eastAsia="宋体" w:cs="宋体"/>
          <w:sz w:val="24"/>
          <w:szCs w:val="24"/>
        </w:rPr>
      </w:pPr>
      <w:bookmarkStart w:id="119" w:name="_Toc18794"/>
      <w:r>
        <w:rPr>
          <w:rFonts w:hint="eastAsia" w:ascii="宋体" w:hAnsi="宋体" w:eastAsia="宋体" w:cs="宋体"/>
          <w:sz w:val="24"/>
          <w:szCs w:val="24"/>
        </w:rPr>
        <w:t>附件三</w:t>
      </w:r>
      <w:bookmarkEnd w:id="119"/>
    </w:p>
    <w:p w14:paraId="7EFCF1F6">
      <w:pPr>
        <w:pStyle w:val="3"/>
        <w:spacing w:before="0" w:after="0" w:line="560" w:lineRule="exact"/>
        <w:jc w:val="center"/>
        <w:rPr>
          <w:rFonts w:ascii="宋体" w:hAnsi="宋体" w:eastAsia="宋体" w:cs="宋体"/>
          <w:sz w:val="24"/>
          <w:szCs w:val="24"/>
        </w:rPr>
      </w:pPr>
      <w:bookmarkStart w:id="120" w:name="_Toc25318"/>
      <w:bookmarkStart w:id="121" w:name="_Toc10696"/>
      <w:bookmarkStart w:id="122" w:name="_Toc2697"/>
      <w:r>
        <w:rPr>
          <w:rFonts w:hint="eastAsia" w:ascii="宋体" w:hAnsi="宋体" w:eastAsia="宋体" w:cs="宋体"/>
          <w:sz w:val="24"/>
          <w:szCs w:val="24"/>
        </w:rPr>
        <w:t>谈判授权书</w:t>
      </w:r>
      <w:bookmarkEnd w:id="120"/>
      <w:bookmarkEnd w:id="121"/>
      <w:bookmarkEnd w:id="122"/>
    </w:p>
    <w:p w14:paraId="39A79380">
      <w:pPr>
        <w:rPr>
          <w:rFonts w:ascii="宋体" w:hAnsi="宋体"/>
          <w:sz w:val="24"/>
          <w:szCs w:val="24"/>
        </w:rPr>
      </w:pPr>
    </w:p>
    <w:p w14:paraId="57FCB6E4">
      <w:pPr>
        <w:spacing w:line="480" w:lineRule="auto"/>
        <w:jc w:val="left"/>
        <w:rPr>
          <w:rFonts w:ascii="宋体" w:hAnsi="宋体"/>
          <w:sz w:val="24"/>
          <w:szCs w:val="24"/>
        </w:rPr>
      </w:pPr>
      <w:r>
        <w:rPr>
          <w:rFonts w:hint="eastAsia" w:ascii="宋体" w:hAnsi="宋体"/>
          <w:sz w:val="24"/>
          <w:szCs w:val="24"/>
        </w:rPr>
        <w:t>致：_________________</w:t>
      </w:r>
    </w:p>
    <w:p w14:paraId="528F78B5">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6F2EDD8D">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61102428">
      <w:pPr>
        <w:spacing w:line="360" w:lineRule="auto"/>
        <w:jc w:val="left"/>
        <w:rPr>
          <w:rFonts w:ascii="宋体" w:hAnsi="宋体"/>
          <w:sz w:val="24"/>
          <w:szCs w:val="24"/>
        </w:rPr>
      </w:pPr>
    </w:p>
    <w:p w14:paraId="0752DE81">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91A3F6">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061B7D5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A97A40D">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27894604">
      <w:pPr>
        <w:spacing w:line="360" w:lineRule="auto"/>
        <w:ind w:firstLine="1084" w:firstLineChars="450"/>
        <w:jc w:val="left"/>
        <w:rPr>
          <w:rFonts w:ascii="宋体" w:hAnsi="宋体"/>
          <w:b/>
          <w:bCs/>
          <w:sz w:val="24"/>
          <w:szCs w:val="24"/>
        </w:rPr>
      </w:pPr>
    </w:p>
    <w:p w14:paraId="1BBFCFCD">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87CEB2">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46E607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5813B09">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0783EE7">
      <w:pPr>
        <w:spacing w:line="360" w:lineRule="auto"/>
        <w:jc w:val="left"/>
        <w:rPr>
          <w:rFonts w:ascii="宋体" w:hAnsi="宋体"/>
          <w:sz w:val="24"/>
          <w:szCs w:val="24"/>
        </w:rPr>
      </w:pPr>
    </w:p>
    <w:p w14:paraId="33424774">
      <w:pPr>
        <w:wordWrap w:val="0"/>
        <w:spacing w:line="360" w:lineRule="auto"/>
        <w:jc w:val="right"/>
        <w:rPr>
          <w:rFonts w:ascii="宋体" w:hAnsi="宋体"/>
          <w:sz w:val="24"/>
          <w:szCs w:val="24"/>
        </w:rPr>
      </w:pPr>
      <w:r>
        <w:rPr>
          <w:rFonts w:hint="eastAsia" w:ascii="宋体" w:hAnsi="宋体"/>
          <w:sz w:val="24"/>
          <w:szCs w:val="24"/>
        </w:rPr>
        <w:t xml:space="preserve">                                                      </w:t>
      </w:r>
    </w:p>
    <w:p w14:paraId="52100E7F">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1CF9939E">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14:paraId="2370F6F3">
      <w:pPr>
        <w:pStyle w:val="28"/>
        <w:rPr>
          <w:rFonts w:hint="eastAsia" w:ascii="宋体" w:hAnsi="宋体"/>
          <w:b/>
          <w:bCs/>
          <w:sz w:val="24"/>
          <w:szCs w:val="24"/>
        </w:rPr>
      </w:pPr>
    </w:p>
    <w:p w14:paraId="5C96B5D5">
      <w:pPr>
        <w:pStyle w:val="28"/>
        <w:rPr>
          <w:rFonts w:hint="eastAsia" w:ascii="宋体" w:hAnsi="宋体"/>
          <w:b/>
          <w:bCs/>
          <w:sz w:val="24"/>
          <w:szCs w:val="24"/>
        </w:rPr>
        <w:sectPr>
          <w:headerReference r:id="rId8" w:type="default"/>
          <w:footerReference r:id="rId10" w:type="default"/>
          <w:headerReference r:id="rId9" w:type="even"/>
          <w:footerReference r:id="rId11" w:type="even"/>
          <w:pgSz w:w="11906" w:h="16838"/>
          <w:pgMar w:top="1440" w:right="1531" w:bottom="1440" w:left="1531" w:header="851" w:footer="992" w:gutter="0"/>
          <w:pgNumType w:fmt="decimal"/>
          <w:cols w:space="425" w:num="1"/>
          <w:docGrid w:type="lines" w:linePitch="312" w:charSpace="0"/>
        </w:sectPr>
      </w:pPr>
    </w:p>
    <w:p w14:paraId="66170475">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FAD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6214F4CF">
            <w:pPr>
              <w:spacing w:line="240" w:lineRule="atLeast"/>
              <w:rPr>
                <w:rFonts w:ascii="宋体" w:hAnsi="宋体" w:cs="宋体"/>
                <w:b/>
                <w:sz w:val="24"/>
                <w:szCs w:val="24"/>
              </w:rPr>
            </w:pPr>
          </w:p>
          <w:p w14:paraId="2658456A">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02127355">
            <w:pPr>
              <w:spacing w:line="240" w:lineRule="atLeast"/>
              <w:rPr>
                <w:rFonts w:ascii="宋体" w:hAnsi="宋体" w:cs="宋体"/>
                <w:b/>
                <w:sz w:val="24"/>
                <w:szCs w:val="24"/>
              </w:rPr>
            </w:pPr>
          </w:p>
          <w:p w14:paraId="0E28B778">
            <w:pPr>
              <w:spacing w:line="240" w:lineRule="atLeast"/>
              <w:rPr>
                <w:rFonts w:ascii="宋体" w:hAnsi="宋体" w:cs="宋体"/>
                <w:b/>
                <w:sz w:val="24"/>
                <w:szCs w:val="24"/>
              </w:rPr>
            </w:pPr>
          </w:p>
          <w:p w14:paraId="55BA763D">
            <w:pPr>
              <w:spacing w:line="240" w:lineRule="atLeast"/>
              <w:rPr>
                <w:rFonts w:ascii="宋体" w:hAnsi="宋体" w:cs="宋体"/>
                <w:b/>
                <w:sz w:val="24"/>
                <w:szCs w:val="24"/>
              </w:rPr>
            </w:pPr>
          </w:p>
        </w:tc>
      </w:tr>
    </w:tbl>
    <w:p w14:paraId="0BDCACBD">
      <w:pPr>
        <w:spacing w:line="240" w:lineRule="atLeast"/>
        <w:rPr>
          <w:rFonts w:ascii="宋体" w:hAnsi="宋体" w:cs="宋体"/>
          <w:b/>
          <w:sz w:val="24"/>
          <w:szCs w:val="24"/>
        </w:rPr>
      </w:pPr>
    </w:p>
    <w:tbl>
      <w:tblPr>
        <w:tblStyle w:val="35"/>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2BA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12655779">
            <w:pPr>
              <w:spacing w:line="240" w:lineRule="atLeast"/>
              <w:rPr>
                <w:rFonts w:ascii="宋体" w:hAnsi="宋体" w:cs="宋体"/>
                <w:b/>
                <w:sz w:val="24"/>
                <w:szCs w:val="24"/>
              </w:rPr>
            </w:pPr>
          </w:p>
          <w:p w14:paraId="7686443C">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3F5A1092">
            <w:pPr>
              <w:spacing w:line="240" w:lineRule="atLeast"/>
              <w:rPr>
                <w:rFonts w:ascii="宋体" w:hAnsi="宋体" w:cs="宋体"/>
                <w:b/>
                <w:sz w:val="24"/>
                <w:szCs w:val="24"/>
              </w:rPr>
            </w:pPr>
          </w:p>
          <w:p w14:paraId="6C818FC3">
            <w:pPr>
              <w:spacing w:line="240" w:lineRule="atLeast"/>
              <w:rPr>
                <w:rFonts w:ascii="宋体" w:hAnsi="宋体" w:cs="宋体"/>
                <w:b/>
                <w:sz w:val="24"/>
                <w:szCs w:val="24"/>
              </w:rPr>
            </w:pPr>
          </w:p>
          <w:p w14:paraId="799B9357">
            <w:pPr>
              <w:spacing w:line="240" w:lineRule="atLeast"/>
              <w:rPr>
                <w:rFonts w:ascii="宋体" w:hAnsi="宋体" w:cs="宋体"/>
                <w:b/>
                <w:sz w:val="24"/>
                <w:szCs w:val="24"/>
              </w:rPr>
            </w:pPr>
          </w:p>
          <w:p w14:paraId="2577799D">
            <w:pPr>
              <w:spacing w:line="240" w:lineRule="atLeast"/>
              <w:rPr>
                <w:rFonts w:ascii="宋体" w:hAnsi="宋体" w:cs="宋体"/>
                <w:b/>
                <w:sz w:val="24"/>
                <w:szCs w:val="24"/>
              </w:rPr>
            </w:pPr>
          </w:p>
        </w:tc>
      </w:tr>
    </w:tbl>
    <w:p w14:paraId="52DE7CC8">
      <w:pPr>
        <w:spacing w:line="240" w:lineRule="atLeast"/>
        <w:rPr>
          <w:rFonts w:ascii="宋体" w:hAnsi="宋体" w:cs="宋体"/>
          <w:b/>
          <w:sz w:val="24"/>
          <w:szCs w:val="24"/>
        </w:rPr>
      </w:pPr>
    </w:p>
    <w:p w14:paraId="341F749C">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F1A279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037C70A0">
      <w:pPr>
        <w:spacing w:line="360" w:lineRule="auto"/>
        <w:rPr>
          <w:rFonts w:ascii="宋体" w:hAnsi="宋体" w:cs="宋体"/>
          <w:b/>
          <w:sz w:val="24"/>
          <w:szCs w:val="24"/>
        </w:rPr>
      </w:pPr>
    </w:p>
    <w:p w14:paraId="65115B78">
      <w:pPr>
        <w:pStyle w:val="28"/>
        <w:rPr>
          <w:rFonts w:ascii="宋体" w:hAnsi="宋体" w:cs="宋体"/>
          <w:sz w:val="24"/>
          <w:szCs w:val="24"/>
        </w:rPr>
      </w:pPr>
    </w:p>
    <w:p w14:paraId="3FE67280">
      <w:pPr>
        <w:pStyle w:val="28"/>
        <w:rPr>
          <w:rFonts w:ascii="宋体" w:hAnsi="宋体" w:cs="宋体"/>
          <w:sz w:val="24"/>
          <w:szCs w:val="24"/>
        </w:rPr>
      </w:pPr>
    </w:p>
    <w:p w14:paraId="345D40FA">
      <w:pPr>
        <w:rPr>
          <w:rFonts w:ascii="宋体" w:hAnsi="宋体" w:cs="宋体"/>
          <w:sz w:val="24"/>
          <w:szCs w:val="24"/>
        </w:rPr>
      </w:pPr>
    </w:p>
    <w:p w14:paraId="75081A98">
      <w:pPr>
        <w:rPr>
          <w:rFonts w:ascii="宋体" w:hAnsi="宋体" w:cs="宋体"/>
          <w:sz w:val="24"/>
          <w:szCs w:val="24"/>
        </w:rPr>
      </w:pPr>
    </w:p>
    <w:p w14:paraId="402056D3">
      <w:pPr>
        <w:rPr>
          <w:rFonts w:ascii="宋体" w:hAnsi="宋体" w:cs="宋体"/>
          <w:sz w:val="24"/>
          <w:szCs w:val="24"/>
        </w:rPr>
      </w:pPr>
    </w:p>
    <w:p w14:paraId="6A24531E">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0DF7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14:paraId="69CEE8D7">
            <w:pPr>
              <w:spacing w:line="240" w:lineRule="atLeast"/>
              <w:rPr>
                <w:rFonts w:ascii="宋体" w:hAnsi="宋体" w:cs="宋体"/>
                <w:b/>
                <w:sz w:val="24"/>
                <w:szCs w:val="24"/>
              </w:rPr>
            </w:pPr>
          </w:p>
          <w:p w14:paraId="51516B6E">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4A5D4A19">
            <w:pPr>
              <w:spacing w:line="240" w:lineRule="atLeast"/>
              <w:rPr>
                <w:rFonts w:ascii="宋体" w:hAnsi="宋体" w:cs="宋体"/>
                <w:b/>
                <w:sz w:val="24"/>
                <w:szCs w:val="24"/>
              </w:rPr>
            </w:pPr>
          </w:p>
          <w:p w14:paraId="049D4A66">
            <w:pPr>
              <w:spacing w:line="240" w:lineRule="atLeast"/>
              <w:rPr>
                <w:rFonts w:ascii="宋体" w:hAnsi="宋体" w:cs="宋体"/>
                <w:b/>
                <w:sz w:val="24"/>
                <w:szCs w:val="24"/>
              </w:rPr>
            </w:pPr>
          </w:p>
          <w:p w14:paraId="12D954FC">
            <w:pPr>
              <w:spacing w:line="240" w:lineRule="atLeast"/>
              <w:rPr>
                <w:rFonts w:ascii="宋体" w:hAnsi="宋体" w:cs="宋体"/>
                <w:b/>
                <w:sz w:val="24"/>
                <w:szCs w:val="24"/>
              </w:rPr>
            </w:pPr>
          </w:p>
        </w:tc>
      </w:tr>
    </w:tbl>
    <w:p w14:paraId="16EDFDCA">
      <w:pPr>
        <w:spacing w:line="240" w:lineRule="atLeast"/>
        <w:rPr>
          <w:rFonts w:ascii="宋体" w:hAnsi="宋体" w:cs="宋体"/>
          <w:b/>
          <w:sz w:val="24"/>
          <w:szCs w:val="24"/>
        </w:rPr>
      </w:pPr>
    </w:p>
    <w:tbl>
      <w:tblPr>
        <w:tblStyle w:val="3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5251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3A3A3DEE">
            <w:pPr>
              <w:spacing w:line="240" w:lineRule="atLeast"/>
              <w:rPr>
                <w:rFonts w:ascii="宋体" w:hAnsi="宋体" w:cs="宋体"/>
                <w:b/>
                <w:sz w:val="24"/>
                <w:szCs w:val="24"/>
              </w:rPr>
            </w:pPr>
          </w:p>
          <w:p w14:paraId="630A24AB">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11D2B89D">
            <w:pPr>
              <w:spacing w:line="240" w:lineRule="atLeast"/>
              <w:rPr>
                <w:rFonts w:ascii="宋体" w:hAnsi="宋体" w:cs="宋体"/>
                <w:b/>
                <w:sz w:val="24"/>
                <w:szCs w:val="24"/>
              </w:rPr>
            </w:pPr>
          </w:p>
          <w:p w14:paraId="7BEA1ADC">
            <w:pPr>
              <w:spacing w:line="240" w:lineRule="atLeast"/>
              <w:rPr>
                <w:rFonts w:ascii="宋体" w:hAnsi="宋体" w:cs="宋体"/>
                <w:b/>
                <w:sz w:val="24"/>
                <w:szCs w:val="24"/>
              </w:rPr>
            </w:pPr>
          </w:p>
          <w:p w14:paraId="755B423D">
            <w:pPr>
              <w:spacing w:line="240" w:lineRule="atLeast"/>
              <w:rPr>
                <w:rFonts w:ascii="宋体" w:hAnsi="宋体" w:cs="宋体"/>
                <w:b/>
                <w:sz w:val="24"/>
                <w:szCs w:val="24"/>
              </w:rPr>
            </w:pPr>
          </w:p>
        </w:tc>
      </w:tr>
    </w:tbl>
    <w:p w14:paraId="0BEB33EE">
      <w:pPr>
        <w:spacing w:line="240" w:lineRule="atLeast"/>
        <w:rPr>
          <w:rFonts w:ascii="宋体" w:hAnsi="宋体" w:cs="宋体"/>
          <w:b/>
          <w:sz w:val="24"/>
          <w:szCs w:val="24"/>
        </w:rPr>
      </w:pPr>
    </w:p>
    <w:p w14:paraId="41DA800B">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E18AEB7">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1678E96C">
      <w:pPr>
        <w:spacing w:line="360" w:lineRule="auto"/>
        <w:rPr>
          <w:rFonts w:ascii="宋体" w:hAnsi="宋体" w:cs="宋体"/>
          <w:b/>
          <w:sz w:val="24"/>
          <w:szCs w:val="24"/>
        </w:rPr>
      </w:pPr>
      <w:r>
        <w:rPr>
          <w:rFonts w:hint="eastAsia" w:ascii="宋体" w:hAnsi="宋体" w:cs="宋体"/>
          <w:b/>
          <w:sz w:val="24"/>
          <w:szCs w:val="24"/>
        </w:rPr>
        <w:t>特殊说明：</w:t>
      </w:r>
    </w:p>
    <w:p w14:paraId="5BB99A83">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07CB7F11">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4DE1520D">
      <w:pPr>
        <w:pStyle w:val="28"/>
        <w:rPr>
          <w:rFonts w:hint="eastAsia" w:ascii="宋体" w:hAnsi="宋体"/>
          <w:b/>
          <w:bCs/>
          <w:sz w:val="24"/>
          <w:szCs w:val="24"/>
        </w:rPr>
        <w:sectPr>
          <w:pgSz w:w="11906" w:h="16838"/>
          <w:pgMar w:top="1440" w:right="1531" w:bottom="1440" w:left="1531" w:header="851" w:footer="992" w:gutter="0"/>
          <w:pgNumType w:fmt="decimal"/>
          <w:cols w:space="425" w:num="1"/>
          <w:docGrid w:type="lines" w:linePitch="312" w:charSpace="0"/>
        </w:sectPr>
      </w:pPr>
    </w:p>
    <w:p w14:paraId="7C4DD901">
      <w:pPr>
        <w:pStyle w:val="3"/>
        <w:spacing w:before="0" w:after="0" w:line="560" w:lineRule="exact"/>
        <w:rPr>
          <w:rFonts w:ascii="宋体" w:hAnsi="宋体" w:eastAsia="宋体" w:cs="宋体"/>
          <w:sz w:val="24"/>
          <w:szCs w:val="24"/>
        </w:rPr>
      </w:pPr>
      <w:bookmarkStart w:id="123" w:name="_Toc17885"/>
      <w:r>
        <w:rPr>
          <w:rFonts w:hint="eastAsia" w:ascii="宋体" w:hAnsi="宋体" w:eastAsia="宋体" w:cs="宋体"/>
          <w:sz w:val="24"/>
          <w:szCs w:val="24"/>
        </w:rPr>
        <w:t>附件四</w:t>
      </w:r>
      <w:bookmarkEnd w:id="123"/>
    </w:p>
    <w:p w14:paraId="3FC664E4">
      <w:pPr>
        <w:pStyle w:val="3"/>
        <w:spacing w:before="0" w:after="0" w:line="560" w:lineRule="exact"/>
        <w:jc w:val="center"/>
        <w:rPr>
          <w:rFonts w:ascii="宋体" w:hAnsi="宋体" w:eastAsia="宋体" w:cs="宋体"/>
          <w:sz w:val="24"/>
          <w:szCs w:val="24"/>
        </w:rPr>
      </w:pPr>
      <w:bookmarkStart w:id="124" w:name="_Toc1318"/>
      <w:bookmarkStart w:id="125" w:name="_Toc9758"/>
      <w:bookmarkStart w:id="126" w:name="_Toc417045478"/>
      <w:r>
        <w:rPr>
          <w:rFonts w:hint="eastAsia" w:ascii="宋体" w:hAnsi="宋体" w:eastAsia="宋体" w:cs="宋体"/>
          <w:sz w:val="24"/>
          <w:szCs w:val="24"/>
        </w:rPr>
        <w:t>谈判响应函</w:t>
      </w:r>
      <w:bookmarkEnd w:id="124"/>
      <w:bookmarkEnd w:id="125"/>
    </w:p>
    <w:p w14:paraId="06E955B3">
      <w:pPr>
        <w:spacing w:line="360" w:lineRule="auto"/>
        <w:rPr>
          <w:rFonts w:ascii="宋体" w:hAnsi="宋体"/>
          <w:sz w:val="24"/>
          <w:szCs w:val="24"/>
        </w:rPr>
      </w:pPr>
      <w:r>
        <w:rPr>
          <w:rFonts w:hint="eastAsia" w:ascii="宋体" w:hAnsi="宋体"/>
          <w:sz w:val="24"/>
          <w:szCs w:val="24"/>
        </w:rPr>
        <w:t>致：XXX（代理机构名称）</w:t>
      </w:r>
    </w:p>
    <w:p w14:paraId="26960A76">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（供应商的名称）全权处理本项目谈判的有关事宜。</w:t>
      </w:r>
    </w:p>
    <w:p w14:paraId="52D9CA36">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06FAA70A">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3、一旦我方中标，我方将严格履行合同规定的责任和义务，保证于采购人要求的日期内完成服务，并交付买方验收、使用。</w:t>
      </w:r>
    </w:p>
    <w:p w14:paraId="647C56EF">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14A00571">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7D942DC3">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4E3DD137">
      <w:pPr>
        <w:tabs>
          <w:tab w:val="left" w:pos="0"/>
          <w:tab w:val="left" w:pos="840"/>
        </w:tabs>
        <w:spacing w:line="360" w:lineRule="auto"/>
        <w:jc w:val="left"/>
        <w:rPr>
          <w:rFonts w:ascii="宋体" w:hAnsi="宋体"/>
          <w:sz w:val="24"/>
          <w:szCs w:val="24"/>
        </w:rPr>
      </w:pPr>
    </w:p>
    <w:p w14:paraId="5274730E">
      <w:pPr>
        <w:tabs>
          <w:tab w:val="left" w:pos="0"/>
          <w:tab w:val="left" w:pos="840"/>
        </w:tabs>
        <w:rPr>
          <w:rFonts w:ascii="宋体" w:hAnsi="宋体"/>
          <w:sz w:val="24"/>
          <w:szCs w:val="24"/>
        </w:rPr>
      </w:pPr>
    </w:p>
    <w:p w14:paraId="12DC10A9">
      <w:pPr>
        <w:tabs>
          <w:tab w:val="left" w:pos="0"/>
          <w:tab w:val="left" w:pos="840"/>
        </w:tabs>
        <w:rPr>
          <w:rFonts w:ascii="宋体" w:hAnsi="宋体"/>
          <w:sz w:val="24"/>
          <w:szCs w:val="24"/>
        </w:rPr>
      </w:pPr>
    </w:p>
    <w:p w14:paraId="2C4F8D53">
      <w:pPr>
        <w:tabs>
          <w:tab w:val="left" w:pos="0"/>
          <w:tab w:val="left" w:pos="840"/>
        </w:tabs>
        <w:rPr>
          <w:rFonts w:ascii="宋体" w:hAnsi="宋体"/>
          <w:sz w:val="24"/>
          <w:szCs w:val="24"/>
        </w:rPr>
      </w:pPr>
    </w:p>
    <w:p w14:paraId="7EEF8171">
      <w:pPr>
        <w:tabs>
          <w:tab w:val="left" w:pos="0"/>
          <w:tab w:val="left" w:pos="840"/>
        </w:tabs>
        <w:rPr>
          <w:rFonts w:ascii="宋体" w:hAnsi="宋体"/>
          <w:sz w:val="24"/>
          <w:szCs w:val="24"/>
        </w:rPr>
      </w:pPr>
    </w:p>
    <w:p w14:paraId="16DE8CA9">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6F666F4C">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63B38977">
      <w:pPr>
        <w:pStyle w:val="4"/>
        <w:rPr>
          <w:sz w:val="24"/>
          <w:szCs w:val="24"/>
          <w:lang w:val="en-US"/>
        </w:rPr>
      </w:pPr>
    </w:p>
    <w:p w14:paraId="48596994"/>
    <w:p w14:paraId="7673753A"/>
    <w:p w14:paraId="7E5E363D">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E2CF78B">
      <w:pPr>
        <w:pStyle w:val="3"/>
        <w:spacing w:before="0" w:after="0" w:line="560" w:lineRule="exact"/>
        <w:rPr>
          <w:rFonts w:ascii="宋体" w:hAnsi="宋体" w:eastAsia="宋体" w:cs="宋体"/>
          <w:sz w:val="24"/>
          <w:szCs w:val="24"/>
        </w:rPr>
      </w:pPr>
      <w:bookmarkStart w:id="127" w:name="_Toc27501"/>
      <w:r>
        <w:rPr>
          <w:rFonts w:hint="eastAsia" w:ascii="宋体" w:hAnsi="宋体" w:eastAsia="宋体" w:cs="宋体"/>
          <w:sz w:val="24"/>
          <w:szCs w:val="24"/>
        </w:rPr>
        <w:t>附件</w:t>
      </w:r>
      <w:bookmarkEnd w:id="126"/>
      <w:r>
        <w:rPr>
          <w:rFonts w:hint="eastAsia" w:ascii="宋体" w:hAnsi="宋体" w:eastAsia="宋体" w:cs="宋体"/>
          <w:sz w:val="24"/>
          <w:szCs w:val="24"/>
        </w:rPr>
        <w:t>五</w:t>
      </w:r>
      <w:bookmarkEnd w:id="127"/>
    </w:p>
    <w:p w14:paraId="2EA00900">
      <w:pPr>
        <w:pStyle w:val="33"/>
        <w:ind w:firstLine="2891" w:firstLineChars="1200"/>
        <w:rPr>
          <w:rFonts w:ascii="宋体" w:hAnsi="宋体" w:cs="宋体"/>
          <w:b/>
          <w:szCs w:val="24"/>
          <w:lang w:val="zh-CN"/>
        </w:rPr>
      </w:pPr>
      <w:bookmarkStart w:id="128" w:name="_Toc363199274"/>
      <w:r>
        <w:rPr>
          <w:rFonts w:hint="eastAsia" w:ascii="宋体" w:hAnsi="宋体" w:cs="宋体"/>
          <w:b/>
          <w:szCs w:val="24"/>
          <w:lang w:val="zh-CN"/>
        </w:rPr>
        <w:t>无重大违法记录声明函</w:t>
      </w:r>
    </w:p>
    <w:p w14:paraId="2B9C0DB3">
      <w:pPr>
        <w:pStyle w:val="33"/>
        <w:ind w:firstLine="480" w:firstLineChars="200"/>
        <w:rPr>
          <w:rFonts w:ascii="宋体" w:hAnsi="宋体"/>
          <w:szCs w:val="24"/>
        </w:rPr>
      </w:pPr>
      <w:bookmarkStart w:id="129"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14CC645">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8D59C2B">
      <w:pPr>
        <w:spacing w:line="360" w:lineRule="auto"/>
        <w:ind w:firstLine="435"/>
        <w:rPr>
          <w:rFonts w:ascii="宋体" w:hAnsi="宋体"/>
          <w:sz w:val="24"/>
          <w:szCs w:val="24"/>
        </w:rPr>
      </w:pPr>
    </w:p>
    <w:p w14:paraId="6DE85446">
      <w:pPr>
        <w:spacing w:line="360" w:lineRule="auto"/>
        <w:ind w:firstLine="5450" w:firstLineChars="2262"/>
        <w:rPr>
          <w:rFonts w:hint="eastAsia" w:ascii="宋体" w:hAnsi="宋体"/>
          <w:b/>
          <w:bCs w:val="0"/>
          <w:sz w:val="24"/>
          <w:szCs w:val="24"/>
        </w:rPr>
      </w:pPr>
      <w:r>
        <w:rPr>
          <w:rFonts w:hint="eastAsia" w:ascii="宋体" w:hAnsi="宋体"/>
          <w:b/>
          <w:bCs w:val="0"/>
          <w:sz w:val="24"/>
          <w:szCs w:val="24"/>
        </w:rPr>
        <w:t>供应商盖章：</w:t>
      </w:r>
    </w:p>
    <w:p w14:paraId="7BCD63D4">
      <w:pPr>
        <w:spacing w:line="360" w:lineRule="auto"/>
        <w:ind w:firstLine="5450" w:firstLineChars="2262"/>
        <w:rPr>
          <w:rFonts w:hint="eastAsia" w:ascii="宋体" w:hAnsi="宋体"/>
          <w:b/>
          <w:bCs w:val="0"/>
          <w:sz w:val="24"/>
          <w:szCs w:val="24"/>
          <w:lang w:val="zh-CN"/>
        </w:rPr>
      </w:pPr>
      <w:r>
        <w:rPr>
          <w:rFonts w:hint="eastAsia" w:ascii="宋体" w:hAnsi="宋体"/>
          <w:b/>
          <w:bCs w:val="0"/>
          <w:sz w:val="24"/>
          <w:szCs w:val="24"/>
        </w:rPr>
        <w:t>日期：</w:t>
      </w:r>
    </w:p>
    <w:bookmarkEnd w:id="129"/>
    <w:p w14:paraId="207B82DD">
      <w:pPr>
        <w:pStyle w:val="33"/>
        <w:ind w:firstLine="210"/>
      </w:pPr>
    </w:p>
    <w:p w14:paraId="3046BA94">
      <w:pPr>
        <w:pStyle w:val="33"/>
        <w:ind w:firstLine="210"/>
      </w:pPr>
    </w:p>
    <w:p w14:paraId="451A8DCF">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61D12094">
      <w:pPr>
        <w:spacing w:line="360" w:lineRule="auto"/>
        <w:ind w:firstLine="435"/>
        <w:rPr>
          <w:rFonts w:ascii="宋体" w:hAnsi="宋体"/>
          <w:sz w:val="24"/>
          <w:szCs w:val="24"/>
        </w:rPr>
      </w:pPr>
      <w:bookmarkStart w:id="130" w:name="_Hlk77794010"/>
      <w:r>
        <w:rPr>
          <w:rFonts w:hint="eastAsia" w:ascii="宋体" w:hAnsi="宋体"/>
          <w:sz w:val="24"/>
          <w:szCs w:val="24"/>
        </w:rPr>
        <w:t>本公司郑重承诺，我公司无以下不良信用记录情形：</w:t>
      </w:r>
    </w:p>
    <w:p w14:paraId="18A37BA9">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ED80704">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4B5000A0">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2AED1758">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5C85709E">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3D1E5F5E">
      <w:pPr>
        <w:tabs>
          <w:tab w:val="left" w:pos="630"/>
        </w:tabs>
        <w:spacing w:line="360" w:lineRule="auto"/>
        <w:ind w:firstLine="630"/>
        <w:rPr>
          <w:rFonts w:ascii="宋体" w:hAnsi="宋体"/>
          <w:sz w:val="24"/>
          <w:szCs w:val="24"/>
        </w:rPr>
      </w:pPr>
    </w:p>
    <w:p w14:paraId="0FB6DCCE">
      <w:pPr>
        <w:spacing w:line="360" w:lineRule="auto"/>
        <w:ind w:firstLine="5450" w:firstLineChars="2262"/>
        <w:rPr>
          <w:rFonts w:ascii="宋体" w:hAnsi="宋体"/>
          <w:b/>
          <w:bCs w:val="0"/>
          <w:sz w:val="24"/>
          <w:szCs w:val="24"/>
          <w:u w:val="single"/>
        </w:rPr>
      </w:pPr>
      <w:r>
        <w:rPr>
          <w:rFonts w:hint="eastAsia" w:ascii="宋体" w:hAnsi="宋体"/>
          <w:b/>
          <w:bCs w:val="0"/>
          <w:sz w:val="24"/>
          <w:szCs w:val="24"/>
        </w:rPr>
        <w:t>供应商</w:t>
      </w:r>
      <w:r>
        <w:rPr>
          <w:rFonts w:hint="eastAsia" w:ascii="宋体" w:hAnsi="宋体" w:cs="宋体"/>
          <w:b/>
          <w:bCs w:val="0"/>
          <w:sz w:val="24"/>
          <w:szCs w:val="24"/>
        </w:rPr>
        <w:t>盖章</w:t>
      </w:r>
      <w:r>
        <w:rPr>
          <w:rFonts w:hint="eastAsia" w:ascii="宋体" w:hAnsi="宋体"/>
          <w:b/>
          <w:bCs w:val="0"/>
          <w:sz w:val="24"/>
          <w:szCs w:val="24"/>
        </w:rPr>
        <w:t>：</w:t>
      </w:r>
    </w:p>
    <w:p w14:paraId="3DC27C28">
      <w:pPr>
        <w:tabs>
          <w:tab w:val="left" w:pos="630"/>
        </w:tabs>
        <w:spacing w:line="360" w:lineRule="auto"/>
        <w:ind w:firstLine="5450" w:firstLineChars="2262"/>
        <w:rPr>
          <w:rFonts w:ascii="宋体" w:hAnsi="宋体"/>
          <w:b/>
          <w:bCs w:val="0"/>
          <w:sz w:val="24"/>
          <w:szCs w:val="24"/>
          <w:u w:val="single"/>
        </w:rPr>
      </w:pPr>
      <w:r>
        <w:rPr>
          <w:rFonts w:hint="eastAsia" w:ascii="宋体" w:hAnsi="宋体"/>
          <w:b/>
          <w:bCs w:val="0"/>
          <w:sz w:val="24"/>
          <w:szCs w:val="24"/>
        </w:rPr>
        <w:t>日期：</w:t>
      </w:r>
    </w:p>
    <w:bookmarkEnd w:id="130"/>
    <w:p w14:paraId="5D1C5D25">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73616B3">
      <w:pPr>
        <w:pStyle w:val="3"/>
        <w:spacing w:before="0" w:after="0" w:line="560" w:lineRule="exact"/>
        <w:rPr>
          <w:rFonts w:ascii="宋体" w:hAnsi="宋体" w:eastAsia="宋体" w:cs="宋体"/>
          <w:sz w:val="24"/>
          <w:szCs w:val="24"/>
        </w:rPr>
      </w:pPr>
      <w:bookmarkStart w:id="131" w:name="_Toc30242"/>
      <w:r>
        <w:rPr>
          <w:rFonts w:hint="eastAsia" w:ascii="宋体" w:hAnsi="宋体" w:eastAsia="宋体" w:cs="宋体"/>
          <w:sz w:val="24"/>
          <w:szCs w:val="24"/>
        </w:rPr>
        <w:t>附件</w:t>
      </w:r>
      <w:bookmarkEnd w:id="128"/>
      <w:r>
        <w:rPr>
          <w:rFonts w:hint="eastAsia" w:ascii="宋体" w:hAnsi="宋体" w:eastAsia="宋体" w:cs="宋体"/>
          <w:sz w:val="24"/>
          <w:szCs w:val="24"/>
        </w:rPr>
        <w:t>六</w:t>
      </w:r>
      <w:bookmarkEnd w:id="131"/>
    </w:p>
    <w:p w14:paraId="257F743D">
      <w:pPr>
        <w:pStyle w:val="3"/>
        <w:spacing w:before="0" w:after="0" w:line="560" w:lineRule="exact"/>
        <w:jc w:val="center"/>
        <w:rPr>
          <w:rFonts w:ascii="宋体" w:hAnsi="宋体" w:eastAsia="宋体" w:cs="宋体"/>
          <w:sz w:val="24"/>
          <w:szCs w:val="24"/>
          <w:lang w:val="zh-CN"/>
        </w:rPr>
      </w:pPr>
      <w:bookmarkStart w:id="132" w:name="_Toc24468"/>
      <w:bookmarkStart w:id="133" w:name="_Toc25238"/>
      <w:bookmarkStart w:id="134" w:name="_Toc12738"/>
      <w:r>
        <w:rPr>
          <w:rFonts w:hint="eastAsia" w:ascii="宋体" w:hAnsi="宋体" w:eastAsia="宋体" w:cs="宋体"/>
          <w:sz w:val="24"/>
          <w:szCs w:val="24"/>
          <w:lang w:val="zh-CN"/>
        </w:rPr>
        <w:t>响应情况表</w:t>
      </w:r>
      <w:bookmarkEnd w:id="132"/>
      <w:bookmarkEnd w:id="133"/>
      <w:bookmarkEnd w:id="134"/>
    </w:p>
    <w:p w14:paraId="778E6521">
      <w:pPr>
        <w:jc w:val="center"/>
        <w:rPr>
          <w:bCs/>
          <w:sz w:val="24"/>
          <w:szCs w:val="24"/>
          <w:lang w:val="zh-CN"/>
        </w:rPr>
      </w:pPr>
    </w:p>
    <w:tbl>
      <w:tblPr>
        <w:tblStyle w:val="3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397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62FAB26">
            <w:pPr>
              <w:jc w:val="center"/>
              <w:rPr>
                <w:rFonts w:ascii="宋体" w:cs="宋体"/>
                <w:b/>
                <w:sz w:val="24"/>
                <w:szCs w:val="21"/>
              </w:rPr>
            </w:pPr>
            <w:bookmarkStart w:id="135" w:name="_Toc471299110"/>
            <w:r>
              <w:rPr>
                <w:rFonts w:hint="eastAsia" w:ascii="宋体" w:hAnsi="宋体" w:cs="宋体"/>
                <w:b/>
                <w:sz w:val="24"/>
                <w:szCs w:val="21"/>
              </w:rPr>
              <w:t>按谈判文件规定填写</w:t>
            </w:r>
          </w:p>
        </w:tc>
        <w:tc>
          <w:tcPr>
            <w:tcW w:w="4200" w:type="dxa"/>
            <w:gridSpan w:val="2"/>
            <w:vAlign w:val="center"/>
          </w:tcPr>
          <w:p w14:paraId="602F65FA">
            <w:pPr>
              <w:jc w:val="center"/>
              <w:rPr>
                <w:rFonts w:ascii="宋体" w:cs="宋体"/>
                <w:b/>
                <w:sz w:val="24"/>
                <w:szCs w:val="21"/>
              </w:rPr>
            </w:pPr>
            <w:r>
              <w:rPr>
                <w:rFonts w:hint="eastAsia" w:ascii="宋体" w:hAnsi="宋体" w:cs="宋体"/>
                <w:b/>
                <w:sz w:val="24"/>
                <w:szCs w:val="21"/>
              </w:rPr>
              <w:t>按供应商所投内容填写</w:t>
            </w:r>
          </w:p>
        </w:tc>
      </w:tr>
      <w:tr w14:paraId="3142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5CFD208">
            <w:pPr>
              <w:jc w:val="center"/>
              <w:rPr>
                <w:rFonts w:ascii="宋体" w:cs="宋体"/>
                <w:b/>
                <w:sz w:val="24"/>
                <w:szCs w:val="21"/>
              </w:rPr>
            </w:pPr>
            <w:r>
              <w:rPr>
                <w:rFonts w:hint="eastAsia" w:ascii="宋体" w:hAnsi="宋体" w:cs="宋体"/>
                <w:b/>
                <w:sz w:val="24"/>
                <w:szCs w:val="21"/>
              </w:rPr>
              <w:t>序号</w:t>
            </w:r>
          </w:p>
        </w:tc>
        <w:tc>
          <w:tcPr>
            <w:tcW w:w="1794" w:type="dxa"/>
            <w:vAlign w:val="center"/>
          </w:tcPr>
          <w:p w14:paraId="6F27D07F">
            <w:pPr>
              <w:jc w:val="center"/>
              <w:rPr>
                <w:rFonts w:ascii="宋体" w:cs="宋体"/>
                <w:b/>
                <w:sz w:val="24"/>
                <w:szCs w:val="21"/>
              </w:rPr>
            </w:pPr>
            <w:r>
              <w:rPr>
                <w:rFonts w:hint="eastAsia" w:ascii="宋体" w:hAnsi="宋体" w:cs="宋体"/>
                <w:b/>
                <w:sz w:val="24"/>
                <w:szCs w:val="21"/>
              </w:rPr>
              <w:t>内容</w:t>
            </w:r>
          </w:p>
        </w:tc>
        <w:tc>
          <w:tcPr>
            <w:tcW w:w="2196" w:type="dxa"/>
            <w:vAlign w:val="center"/>
          </w:tcPr>
          <w:p w14:paraId="6ED051E9">
            <w:pPr>
              <w:jc w:val="center"/>
              <w:rPr>
                <w:rFonts w:ascii="宋体" w:cs="宋体"/>
                <w:b/>
                <w:sz w:val="24"/>
                <w:szCs w:val="21"/>
              </w:rPr>
            </w:pPr>
            <w:r>
              <w:rPr>
                <w:rFonts w:hint="eastAsia" w:ascii="宋体" w:hAnsi="宋体" w:cs="宋体"/>
                <w:b/>
                <w:sz w:val="24"/>
                <w:szCs w:val="21"/>
              </w:rPr>
              <w:t>谈判文件要求</w:t>
            </w:r>
          </w:p>
        </w:tc>
        <w:tc>
          <w:tcPr>
            <w:tcW w:w="2222" w:type="dxa"/>
            <w:vAlign w:val="center"/>
          </w:tcPr>
          <w:p w14:paraId="09981CFA">
            <w:pPr>
              <w:jc w:val="center"/>
              <w:rPr>
                <w:rFonts w:ascii="宋体" w:cs="宋体"/>
                <w:b/>
                <w:sz w:val="24"/>
                <w:szCs w:val="21"/>
              </w:rPr>
            </w:pPr>
            <w:r>
              <w:rPr>
                <w:rFonts w:hint="eastAsia" w:ascii="宋体" w:hAnsi="宋体" w:cs="宋体"/>
                <w:b/>
                <w:sz w:val="24"/>
                <w:szCs w:val="21"/>
              </w:rPr>
              <w:t>响应承诺</w:t>
            </w:r>
          </w:p>
        </w:tc>
        <w:tc>
          <w:tcPr>
            <w:tcW w:w="1978" w:type="dxa"/>
            <w:vAlign w:val="center"/>
          </w:tcPr>
          <w:p w14:paraId="103800A6">
            <w:pPr>
              <w:jc w:val="center"/>
              <w:rPr>
                <w:rFonts w:ascii="宋体" w:cs="宋体"/>
                <w:b/>
                <w:sz w:val="24"/>
                <w:szCs w:val="21"/>
              </w:rPr>
            </w:pPr>
            <w:r>
              <w:rPr>
                <w:rFonts w:hint="eastAsia" w:ascii="宋体" w:hAnsi="宋体" w:cs="宋体"/>
                <w:b/>
                <w:sz w:val="24"/>
                <w:szCs w:val="21"/>
              </w:rPr>
              <w:t>偏离说明</w:t>
            </w:r>
          </w:p>
        </w:tc>
      </w:tr>
      <w:tr w14:paraId="737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9E75FDA">
            <w:pPr>
              <w:jc w:val="center"/>
              <w:rPr>
                <w:rFonts w:ascii="宋体" w:cs="宋体"/>
                <w:sz w:val="24"/>
                <w:szCs w:val="24"/>
              </w:rPr>
            </w:pPr>
            <w:r>
              <w:rPr>
                <w:rFonts w:ascii="宋体" w:hAnsi="宋体" w:cs="宋体"/>
                <w:sz w:val="24"/>
                <w:szCs w:val="24"/>
              </w:rPr>
              <w:t>1</w:t>
            </w:r>
          </w:p>
        </w:tc>
        <w:tc>
          <w:tcPr>
            <w:tcW w:w="1794" w:type="dxa"/>
            <w:vAlign w:val="center"/>
          </w:tcPr>
          <w:p w14:paraId="5089FD05">
            <w:pPr>
              <w:jc w:val="center"/>
              <w:rPr>
                <w:rFonts w:ascii="宋体" w:cs="宋体"/>
                <w:sz w:val="24"/>
                <w:szCs w:val="24"/>
              </w:rPr>
            </w:pPr>
            <w:r>
              <w:rPr>
                <w:rFonts w:hint="eastAsia" w:ascii="宋体" w:hAnsi="宋体"/>
                <w:sz w:val="24"/>
                <w:szCs w:val="28"/>
              </w:rPr>
              <w:t>技术响应</w:t>
            </w:r>
          </w:p>
        </w:tc>
        <w:tc>
          <w:tcPr>
            <w:tcW w:w="2196" w:type="dxa"/>
            <w:vAlign w:val="center"/>
          </w:tcPr>
          <w:p w14:paraId="4B7F59E2">
            <w:pPr>
              <w:rPr>
                <w:rFonts w:ascii="宋体" w:cs="宋体"/>
                <w:sz w:val="24"/>
                <w:szCs w:val="24"/>
              </w:rPr>
            </w:pPr>
          </w:p>
        </w:tc>
        <w:tc>
          <w:tcPr>
            <w:tcW w:w="2222" w:type="dxa"/>
            <w:vAlign w:val="center"/>
          </w:tcPr>
          <w:p w14:paraId="4FBC2BAD">
            <w:pPr>
              <w:rPr>
                <w:rFonts w:ascii="宋体" w:cs="宋体"/>
                <w:sz w:val="24"/>
                <w:szCs w:val="24"/>
              </w:rPr>
            </w:pPr>
          </w:p>
        </w:tc>
        <w:tc>
          <w:tcPr>
            <w:tcW w:w="1978" w:type="dxa"/>
            <w:vAlign w:val="center"/>
          </w:tcPr>
          <w:p w14:paraId="0B7747A7">
            <w:pPr>
              <w:rPr>
                <w:rFonts w:ascii="宋体" w:cs="宋体"/>
                <w:sz w:val="24"/>
                <w:szCs w:val="24"/>
              </w:rPr>
            </w:pPr>
          </w:p>
        </w:tc>
      </w:tr>
      <w:tr w14:paraId="485A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20BF9B4">
            <w:pPr>
              <w:jc w:val="center"/>
              <w:rPr>
                <w:rFonts w:ascii="宋体" w:cs="宋体"/>
                <w:sz w:val="24"/>
                <w:szCs w:val="24"/>
              </w:rPr>
            </w:pPr>
            <w:r>
              <w:rPr>
                <w:rFonts w:ascii="宋体" w:hAnsi="宋体" w:cs="宋体"/>
                <w:sz w:val="24"/>
                <w:szCs w:val="24"/>
              </w:rPr>
              <w:t>2</w:t>
            </w:r>
          </w:p>
        </w:tc>
        <w:tc>
          <w:tcPr>
            <w:tcW w:w="1794" w:type="dxa"/>
            <w:vAlign w:val="center"/>
          </w:tcPr>
          <w:p w14:paraId="2FE1D7FA">
            <w:pPr>
              <w:jc w:val="center"/>
              <w:rPr>
                <w:rFonts w:ascii="宋体" w:cs="宋体"/>
                <w:sz w:val="24"/>
                <w:szCs w:val="24"/>
              </w:rPr>
            </w:pPr>
            <w:r>
              <w:rPr>
                <w:rFonts w:hint="eastAsia" w:ascii="宋体" w:hAnsi="宋体"/>
                <w:sz w:val="24"/>
                <w:szCs w:val="28"/>
              </w:rPr>
              <w:t>付款响应</w:t>
            </w:r>
          </w:p>
        </w:tc>
        <w:tc>
          <w:tcPr>
            <w:tcW w:w="2196" w:type="dxa"/>
            <w:vAlign w:val="center"/>
          </w:tcPr>
          <w:p w14:paraId="15E41A88">
            <w:pPr>
              <w:rPr>
                <w:rFonts w:ascii="宋体" w:cs="宋体"/>
                <w:sz w:val="24"/>
                <w:szCs w:val="24"/>
              </w:rPr>
            </w:pPr>
          </w:p>
        </w:tc>
        <w:tc>
          <w:tcPr>
            <w:tcW w:w="2222" w:type="dxa"/>
            <w:vAlign w:val="center"/>
          </w:tcPr>
          <w:p w14:paraId="3A1E750E">
            <w:pPr>
              <w:rPr>
                <w:rFonts w:ascii="宋体" w:cs="宋体"/>
                <w:sz w:val="24"/>
                <w:szCs w:val="24"/>
              </w:rPr>
            </w:pPr>
          </w:p>
        </w:tc>
        <w:tc>
          <w:tcPr>
            <w:tcW w:w="1978" w:type="dxa"/>
            <w:vAlign w:val="center"/>
          </w:tcPr>
          <w:p w14:paraId="54B1A1B9">
            <w:pPr>
              <w:rPr>
                <w:rFonts w:ascii="宋体" w:cs="宋体"/>
                <w:sz w:val="24"/>
                <w:szCs w:val="24"/>
              </w:rPr>
            </w:pPr>
          </w:p>
        </w:tc>
      </w:tr>
      <w:tr w14:paraId="1BF4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1A64416">
            <w:pPr>
              <w:jc w:val="center"/>
              <w:rPr>
                <w:rFonts w:ascii="宋体" w:cs="宋体"/>
                <w:sz w:val="24"/>
                <w:szCs w:val="24"/>
              </w:rPr>
            </w:pPr>
            <w:r>
              <w:rPr>
                <w:rFonts w:ascii="宋体" w:hAnsi="宋体" w:cs="宋体"/>
                <w:sz w:val="24"/>
                <w:szCs w:val="24"/>
              </w:rPr>
              <w:t>3</w:t>
            </w:r>
          </w:p>
        </w:tc>
        <w:tc>
          <w:tcPr>
            <w:tcW w:w="1794" w:type="dxa"/>
            <w:vAlign w:val="center"/>
          </w:tcPr>
          <w:p w14:paraId="650E6C0B">
            <w:pPr>
              <w:jc w:val="center"/>
              <w:rPr>
                <w:rFonts w:ascii="宋体" w:cs="宋体"/>
                <w:sz w:val="24"/>
                <w:szCs w:val="24"/>
              </w:rPr>
            </w:pPr>
            <w:r>
              <w:rPr>
                <w:rFonts w:hint="eastAsia" w:ascii="宋体" w:hAnsi="宋体"/>
                <w:sz w:val="24"/>
                <w:szCs w:val="28"/>
              </w:rPr>
              <w:t>服务期响应</w:t>
            </w:r>
          </w:p>
        </w:tc>
        <w:tc>
          <w:tcPr>
            <w:tcW w:w="2196" w:type="dxa"/>
            <w:vAlign w:val="center"/>
          </w:tcPr>
          <w:p w14:paraId="1F769C6A">
            <w:pPr>
              <w:rPr>
                <w:rFonts w:ascii="宋体" w:cs="宋体"/>
                <w:sz w:val="24"/>
                <w:szCs w:val="24"/>
              </w:rPr>
            </w:pPr>
          </w:p>
        </w:tc>
        <w:tc>
          <w:tcPr>
            <w:tcW w:w="2222" w:type="dxa"/>
            <w:vAlign w:val="center"/>
          </w:tcPr>
          <w:p w14:paraId="55446F9A">
            <w:pPr>
              <w:rPr>
                <w:rFonts w:ascii="宋体" w:cs="宋体"/>
                <w:sz w:val="24"/>
                <w:szCs w:val="24"/>
              </w:rPr>
            </w:pPr>
          </w:p>
        </w:tc>
        <w:tc>
          <w:tcPr>
            <w:tcW w:w="1978" w:type="dxa"/>
            <w:vAlign w:val="center"/>
          </w:tcPr>
          <w:p w14:paraId="38E23904">
            <w:pPr>
              <w:rPr>
                <w:rFonts w:ascii="宋体" w:cs="宋体"/>
                <w:sz w:val="24"/>
                <w:szCs w:val="24"/>
              </w:rPr>
            </w:pPr>
          </w:p>
        </w:tc>
      </w:tr>
      <w:tr w14:paraId="2F2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DA142DC">
            <w:pPr>
              <w:jc w:val="center"/>
              <w:rPr>
                <w:rFonts w:ascii="宋体" w:cs="宋体"/>
                <w:sz w:val="24"/>
                <w:szCs w:val="24"/>
              </w:rPr>
            </w:pPr>
            <w:r>
              <w:rPr>
                <w:rFonts w:hint="eastAsia" w:ascii="宋体" w:cs="宋体"/>
                <w:sz w:val="24"/>
                <w:szCs w:val="24"/>
              </w:rPr>
              <w:t>4</w:t>
            </w:r>
          </w:p>
        </w:tc>
        <w:tc>
          <w:tcPr>
            <w:tcW w:w="1794" w:type="dxa"/>
            <w:vAlign w:val="center"/>
          </w:tcPr>
          <w:p w14:paraId="5EE107EC">
            <w:pPr>
              <w:jc w:val="center"/>
              <w:rPr>
                <w:rFonts w:ascii="宋体" w:cs="宋体"/>
                <w:sz w:val="24"/>
                <w:szCs w:val="24"/>
              </w:rPr>
            </w:pPr>
            <w:r>
              <w:rPr>
                <w:rFonts w:hint="eastAsia" w:ascii="宋体" w:hAnsi="宋体" w:cs="宋体"/>
                <w:sz w:val="24"/>
                <w:szCs w:val="24"/>
              </w:rPr>
              <w:t>其他</w:t>
            </w:r>
          </w:p>
        </w:tc>
        <w:tc>
          <w:tcPr>
            <w:tcW w:w="2196" w:type="dxa"/>
            <w:vAlign w:val="center"/>
          </w:tcPr>
          <w:p w14:paraId="2D9ED47E">
            <w:pPr>
              <w:rPr>
                <w:rFonts w:ascii="宋体" w:cs="宋体"/>
                <w:sz w:val="24"/>
                <w:szCs w:val="24"/>
              </w:rPr>
            </w:pPr>
          </w:p>
        </w:tc>
        <w:tc>
          <w:tcPr>
            <w:tcW w:w="2222" w:type="dxa"/>
            <w:vAlign w:val="center"/>
          </w:tcPr>
          <w:p w14:paraId="1F58B8C0">
            <w:pPr>
              <w:rPr>
                <w:rFonts w:ascii="宋体" w:cs="宋体"/>
                <w:sz w:val="24"/>
                <w:szCs w:val="24"/>
              </w:rPr>
            </w:pPr>
          </w:p>
        </w:tc>
        <w:tc>
          <w:tcPr>
            <w:tcW w:w="1978" w:type="dxa"/>
            <w:vAlign w:val="center"/>
          </w:tcPr>
          <w:p w14:paraId="7B19912F">
            <w:pPr>
              <w:rPr>
                <w:rFonts w:ascii="宋体" w:cs="宋体"/>
                <w:sz w:val="24"/>
                <w:szCs w:val="24"/>
              </w:rPr>
            </w:pPr>
          </w:p>
        </w:tc>
      </w:tr>
    </w:tbl>
    <w:p w14:paraId="2BAA51CA">
      <w:pPr>
        <w:spacing w:after="312" w:afterLines="100" w:line="520" w:lineRule="exact"/>
        <w:ind w:firstLine="482" w:firstLineChars="200"/>
        <w:rPr>
          <w:rFonts w:ascii="宋体" w:hAnsi="宋体"/>
          <w:sz w:val="24"/>
          <w:szCs w:val="28"/>
        </w:rPr>
      </w:pPr>
      <w:r>
        <w:rPr>
          <w:rFonts w:hint="eastAsia" w:ascii="宋体" w:hAnsi="宋体" w:cs="宋体"/>
          <w:b/>
          <w:sz w:val="24"/>
          <w:szCs w:val="24"/>
        </w:rPr>
        <w:t>注：</w:t>
      </w:r>
      <w:r>
        <w:rPr>
          <w:rFonts w:hint="eastAsia" w:ascii="宋体" w:hAnsi="宋体"/>
          <w:sz w:val="24"/>
          <w:szCs w:val="28"/>
        </w:rPr>
        <w:t>提供的服务满足采购需求；付款及服务期等均应响应谈判文件要求。</w:t>
      </w:r>
    </w:p>
    <w:p w14:paraId="19AB4D7B">
      <w:pPr>
        <w:spacing w:after="312" w:afterLines="100" w:line="520" w:lineRule="exact"/>
        <w:rPr>
          <w:rFonts w:ascii="宋体" w:hAnsi="宋体"/>
          <w:sz w:val="24"/>
          <w:szCs w:val="28"/>
        </w:rPr>
      </w:pPr>
    </w:p>
    <w:p w14:paraId="598913F5">
      <w:pPr>
        <w:rPr>
          <w:rFonts w:ascii="宋体" w:hAnsi="宋体"/>
          <w:sz w:val="24"/>
          <w:szCs w:val="24"/>
        </w:rPr>
      </w:pPr>
    </w:p>
    <w:p w14:paraId="3A14DEFA">
      <w:pPr>
        <w:rPr>
          <w:rFonts w:ascii="宋体" w:hAnsi="宋体"/>
          <w:sz w:val="24"/>
          <w:szCs w:val="24"/>
        </w:rPr>
      </w:pPr>
    </w:p>
    <w:p w14:paraId="7A420E8B">
      <w:pPr>
        <w:spacing w:line="360" w:lineRule="auto"/>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cs="宋体"/>
          <w:b/>
          <w:bCs/>
          <w:sz w:val="24"/>
          <w:szCs w:val="24"/>
        </w:rPr>
        <w:t>盖章</w:t>
      </w:r>
      <w:r>
        <w:rPr>
          <w:rFonts w:hint="eastAsia" w:ascii="宋体" w:hAnsi="宋体"/>
          <w:b/>
          <w:bCs/>
          <w:sz w:val="24"/>
          <w:szCs w:val="24"/>
        </w:rPr>
        <w:t>：</w:t>
      </w:r>
    </w:p>
    <w:p w14:paraId="1CA449C5">
      <w:pPr>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3925771D">
      <w:pPr>
        <w:pStyle w:val="4"/>
        <w:spacing w:before="0" w:after="0"/>
        <w:rPr>
          <w:sz w:val="24"/>
          <w:szCs w:val="24"/>
        </w:rPr>
      </w:pPr>
      <w:r>
        <w:rPr>
          <w:rFonts w:hint="eastAsia"/>
          <w:sz w:val="24"/>
          <w:szCs w:val="24"/>
        </w:rPr>
        <w:br w:type="page"/>
      </w:r>
    </w:p>
    <w:p w14:paraId="0D22BB83">
      <w:pPr>
        <w:pStyle w:val="3"/>
        <w:bidi w:val="0"/>
        <w:rPr>
          <w:rFonts w:hint="eastAsia" w:ascii="宋体" w:hAnsi="宋体" w:eastAsia="宋体" w:cs="宋体"/>
          <w:sz w:val="24"/>
          <w:szCs w:val="16"/>
        </w:rPr>
      </w:pPr>
      <w:bookmarkStart w:id="136" w:name="_Toc19848"/>
      <w:bookmarkStart w:id="137" w:name="_Toc32767"/>
      <w:r>
        <w:rPr>
          <w:rFonts w:hint="eastAsia" w:ascii="宋体" w:hAnsi="宋体" w:eastAsia="宋体" w:cs="宋体"/>
          <w:sz w:val="24"/>
          <w:szCs w:val="16"/>
        </w:rPr>
        <w:t>附件</w:t>
      </w:r>
      <w:bookmarkEnd w:id="135"/>
      <w:r>
        <w:rPr>
          <w:rFonts w:hint="eastAsia" w:ascii="宋体" w:hAnsi="宋体" w:eastAsia="宋体" w:cs="宋体"/>
          <w:sz w:val="24"/>
          <w:szCs w:val="16"/>
        </w:rPr>
        <w:t>七</w:t>
      </w:r>
      <w:bookmarkEnd w:id="136"/>
      <w:bookmarkEnd w:id="137"/>
    </w:p>
    <w:p w14:paraId="3D3F6833">
      <w:pPr>
        <w:ind w:firstLine="3373" w:firstLineChars="1400"/>
        <w:rPr>
          <w:rFonts w:ascii="仿宋_GB2312" w:hAnsi="仿宋_GB2312"/>
          <w:sz w:val="28"/>
          <w:szCs w:val="28"/>
        </w:rPr>
      </w:pPr>
      <w:bookmarkStart w:id="138" w:name="_Toc4135"/>
      <w:bookmarkStart w:id="139" w:name="_Toc23594"/>
      <w:r>
        <w:rPr>
          <w:rStyle w:val="48"/>
          <w:rFonts w:hint="eastAsia" w:ascii="宋体" w:hAnsi="宋体" w:eastAsia="宋体" w:cs="宋体"/>
          <w:bCs/>
          <w:kern w:val="2"/>
          <w:sz w:val="24"/>
          <w:szCs w:val="24"/>
        </w:rPr>
        <w:t>中小企业声明函</w:t>
      </w:r>
      <w:bookmarkEnd w:id="138"/>
      <w:bookmarkEnd w:id="139"/>
    </w:p>
    <w:p w14:paraId="302CA279">
      <w:pPr>
        <w:autoSpaceDE w:val="0"/>
        <w:spacing w:line="480" w:lineRule="exact"/>
        <w:rPr>
          <w:rFonts w:ascii="仿宋_GB2312" w:hAnsi="仿宋_GB2312"/>
          <w:sz w:val="28"/>
          <w:szCs w:val="28"/>
        </w:rPr>
      </w:pPr>
      <w:r>
        <w:rPr>
          <w:rFonts w:ascii="仿宋_GB2312" w:hAnsi="仿宋_GB2312"/>
          <w:sz w:val="28"/>
          <w:szCs w:val="28"/>
        </w:rPr>
        <w:t xml:space="preserve"> </w:t>
      </w:r>
    </w:p>
    <w:p w14:paraId="3F489D95">
      <w:pPr>
        <w:autoSpaceDE w:val="0"/>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 xml:space="preserve"> 采购活动</w:t>
      </w:r>
      <w:r>
        <w:rPr>
          <w:rFonts w:hint="eastAsia" w:ascii="宋体" w:hAnsi="宋体" w:cs="宋体"/>
          <w:sz w:val="24"/>
          <w:szCs w:val="24"/>
          <w:lang w:eastAsia="zh-CN"/>
        </w:rPr>
        <w:t>，</w:t>
      </w:r>
      <w:r>
        <w:rPr>
          <w:rFonts w:hint="eastAsia" w:ascii="宋体" w:hAnsi="宋体" w:cs="宋体"/>
          <w:sz w:val="24"/>
          <w:szCs w:val="24"/>
        </w:rPr>
        <w:t>工程的施工单位全部为符合政策要求的中小企业（或者：服务全部由符合政策要求的中小企业承接）。相关企业（含联合体中的中小企业、签订分包意向协议的中小企业）的具体情况如下：</w:t>
      </w:r>
    </w:p>
    <w:p w14:paraId="368F2BB1">
      <w:pPr>
        <w:autoSpaceDE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14:paraId="72B8F042">
      <w:pPr>
        <w:autoSpaceDE w:val="0"/>
        <w:spacing w:line="500" w:lineRule="exact"/>
        <w:ind w:firstLine="480" w:firstLineChars="200"/>
        <w:rPr>
          <w:rFonts w:ascii="宋体" w:hAnsi="宋体" w:cs="宋体"/>
          <w:sz w:val="24"/>
          <w:szCs w:val="24"/>
        </w:rPr>
      </w:pPr>
      <w:r>
        <w:rPr>
          <w:rFonts w:hint="eastAsia" w:ascii="宋体" w:hAnsi="宋体" w:cs="宋体"/>
          <w:sz w:val="24"/>
          <w:szCs w:val="24"/>
        </w:rPr>
        <w:t>......</w:t>
      </w:r>
    </w:p>
    <w:p w14:paraId="3857B730">
      <w:pPr>
        <w:pStyle w:val="10"/>
        <w:autoSpaceDE w:val="0"/>
        <w:spacing w:after="0"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8378BB">
      <w:pPr>
        <w:pStyle w:val="10"/>
        <w:autoSpaceDE w:val="0"/>
        <w:spacing w:after="0" w:line="500" w:lineRule="exact"/>
        <w:ind w:firstLine="480" w:firstLineChars="200"/>
        <w:rPr>
          <w:rFonts w:ascii="宋体" w:hAnsi="宋体" w:cs="宋体"/>
          <w:bCs/>
          <w:sz w:val="24"/>
        </w:rPr>
      </w:pPr>
      <w:r>
        <w:rPr>
          <w:rFonts w:hint="eastAsia" w:ascii="宋体" w:hAnsi="宋体" w:cs="宋体"/>
          <w:sz w:val="24"/>
        </w:rPr>
        <w:t>本企业对上述声明内容的真实性负责。</w:t>
      </w:r>
      <w:r>
        <w:rPr>
          <w:rFonts w:hint="eastAsia" w:ascii="宋体" w:hAnsi="宋体" w:cs="宋体"/>
          <w:color w:val="auto"/>
          <w:sz w:val="24"/>
          <w:lang w:eastAsia="zh-CN"/>
        </w:rPr>
        <w:t xml:space="preserve"> </w:t>
      </w:r>
      <w:r>
        <w:rPr>
          <w:rFonts w:hint="default" w:ascii="宋体" w:hAnsi="宋体" w:cs="宋体"/>
          <w:bCs/>
          <w:color w:val="auto"/>
          <w:sz w:val="24"/>
          <w:lang w:val="en-US"/>
        </w:rPr>
        <w:t>如有虚假，</w:t>
      </w:r>
      <w:r>
        <w:rPr>
          <w:rFonts w:hint="default" w:ascii="宋体" w:hAnsi="宋体" w:cs="宋体"/>
          <w:bCs/>
          <w:color w:val="auto"/>
          <w:sz w:val="24"/>
          <w:lang w:val="en-US" w:eastAsia="zh-CN"/>
        </w:rPr>
        <w:t>将依法承担相应责任</w:t>
      </w:r>
      <w:r>
        <w:rPr>
          <w:rFonts w:hint="eastAsia" w:ascii="宋体" w:hAnsi="宋体" w:cs="宋体"/>
          <w:bCs/>
          <w:color w:val="auto"/>
          <w:sz w:val="24"/>
        </w:rPr>
        <w:t>。</w:t>
      </w:r>
    </w:p>
    <w:p w14:paraId="5B43181F">
      <w:pPr>
        <w:spacing w:line="480" w:lineRule="exact"/>
        <w:rPr>
          <w:rFonts w:ascii="宋体" w:hAnsi="宋体"/>
          <w:b/>
          <w:sz w:val="24"/>
          <w:szCs w:val="24"/>
        </w:rPr>
      </w:pPr>
    </w:p>
    <w:p w14:paraId="3C3C506C">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w:t>
      </w:r>
      <w:r>
        <w:rPr>
          <w:rFonts w:hint="eastAsia" w:ascii="宋体" w:hAnsi="宋体"/>
          <w:b/>
          <w:sz w:val="24"/>
          <w:szCs w:val="24"/>
        </w:rPr>
        <w:t>章：</w:t>
      </w:r>
      <w:r>
        <w:rPr>
          <w:rFonts w:ascii="宋体" w:hAnsi="宋体"/>
          <w:b/>
          <w:sz w:val="24"/>
          <w:szCs w:val="24"/>
          <w:u w:val="single"/>
        </w:rPr>
        <w:t xml:space="preserve">              </w:t>
      </w:r>
    </w:p>
    <w:p w14:paraId="6F10AF47">
      <w:pPr>
        <w:pStyle w:val="33"/>
        <w:ind w:firstLine="5180" w:firstLineChars="2150"/>
        <w:rPr>
          <w:rFonts w:ascii="宋体" w:hAnsi="宋体" w:cs="宋体"/>
          <w:szCs w:val="24"/>
        </w:rPr>
      </w:pPr>
      <w:r>
        <w:rPr>
          <w:rFonts w:hint="eastAsia" w:ascii="宋体" w:hAnsi="宋体"/>
          <w:b/>
          <w:szCs w:val="24"/>
        </w:rPr>
        <w:t xml:space="preserve">日 </w:t>
      </w:r>
      <w:r>
        <w:rPr>
          <w:rFonts w:ascii="宋体" w:hAnsi="宋体"/>
          <w:b/>
          <w:szCs w:val="24"/>
        </w:rPr>
        <w:t xml:space="preserve">  </w:t>
      </w:r>
      <w:r>
        <w:rPr>
          <w:rFonts w:hint="eastAsia" w:ascii="宋体" w:hAnsi="宋体"/>
          <w:b/>
          <w:szCs w:val="24"/>
        </w:rPr>
        <w:t xml:space="preserve"> 期：</w:t>
      </w:r>
    </w:p>
    <w:p w14:paraId="0D9361A8">
      <w:pPr>
        <w:pStyle w:val="33"/>
      </w:pPr>
    </w:p>
    <w:p w14:paraId="0B1DA173">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1、从业人员、营业收入、资产总额填报上一年度数据，无上一年度数据的新成立企业可不填报。</w:t>
      </w:r>
    </w:p>
    <w:p w14:paraId="442F275A">
      <w:pPr>
        <w:pStyle w:val="33"/>
        <w:spacing w:after="0" w:line="500" w:lineRule="exact"/>
        <w:ind w:firstLine="480" w:firstLineChars="200"/>
      </w:pPr>
      <w:r>
        <w:rPr>
          <w:rFonts w:hint="eastAsia"/>
        </w:rPr>
        <w:t>2、企业划型标准按照《关于印发中小企业划型标准规定的通知》（工信部联企业〔2011〕300号）规定执行。</w:t>
      </w:r>
    </w:p>
    <w:p w14:paraId="4DB35D8A">
      <w:pPr>
        <w:rPr>
          <w:rFonts w:hint="eastAsia" w:ascii="宋体" w:hAnsi="宋体"/>
          <w:b/>
          <w:bCs/>
          <w:sz w:val="24"/>
          <w:szCs w:val="24"/>
        </w:rPr>
      </w:pPr>
    </w:p>
    <w:p w14:paraId="62A48B42">
      <w:pPr>
        <w:rPr>
          <w:rStyle w:val="48"/>
          <w:rFonts w:hint="eastAsia" w:ascii="宋体" w:hAnsi="宋体" w:cs="宋体"/>
          <w:bCs/>
          <w:kern w:val="2"/>
          <w:sz w:val="24"/>
          <w:szCs w:val="24"/>
          <w:lang w:eastAsia="zh-CN"/>
        </w:rPr>
      </w:pPr>
    </w:p>
    <w:p w14:paraId="6803BB70">
      <w:pPr>
        <w:rPr>
          <w:rFonts w:ascii="宋体" w:hAnsi="宋体"/>
          <w:b/>
          <w:bCs/>
          <w:sz w:val="24"/>
          <w:szCs w:val="24"/>
        </w:rPr>
      </w:pPr>
      <w:r>
        <w:rPr>
          <w:rStyle w:val="48"/>
          <w:rFonts w:hint="eastAsia" w:ascii="宋体" w:hAnsi="宋体" w:cs="宋体"/>
          <w:bCs/>
          <w:kern w:val="2"/>
          <w:sz w:val="24"/>
          <w:szCs w:val="24"/>
          <w:lang w:eastAsia="zh-CN"/>
        </w:rPr>
        <w:t>备注：此件本项目不作要求</w:t>
      </w:r>
      <w:r>
        <w:rPr>
          <w:rFonts w:hint="eastAsia" w:ascii="宋体" w:hAnsi="宋体"/>
          <w:b/>
          <w:bCs/>
          <w:sz w:val="24"/>
          <w:szCs w:val="24"/>
        </w:rPr>
        <w:br w:type="page"/>
      </w:r>
    </w:p>
    <w:p w14:paraId="743170C4">
      <w:pPr>
        <w:pStyle w:val="3"/>
        <w:bidi w:val="0"/>
        <w:ind w:left="0" w:leftChars="0" w:right="0" w:rightChars="0" w:firstLine="0" w:firstLineChars="0"/>
        <w:jc w:val="center"/>
        <w:rPr>
          <w:rFonts w:hint="eastAsia" w:ascii="宋体" w:hAnsi="宋体" w:eastAsia="宋体" w:cs="宋体"/>
          <w:sz w:val="24"/>
          <w:szCs w:val="16"/>
        </w:rPr>
      </w:pPr>
      <w:bookmarkStart w:id="140" w:name="_Toc21587"/>
      <w:r>
        <w:rPr>
          <w:rFonts w:hint="eastAsia" w:ascii="宋体" w:hAnsi="宋体" w:eastAsia="宋体" w:cs="宋体"/>
          <w:sz w:val="24"/>
          <w:szCs w:val="16"/>
        </w:rPr>
        <w:t>残疾人福利性单位声明函</w:t>
      </w:r>
      <w:bookmarkEnd w:id="140"/>
    </w:p>
    <w:p w14:paraId="4431EB48">
      <w:pPr>
        <w:pStyle w:val="16"/>
        <w:spacing w:line="480" w:lineRule="exact"/>
        <w:jc w:val="center"/>
        <w:rPr>
          <w:rFonts w:ascii="宋体" w:hAnsi="宋体" w:eastAsia="宋体" w:cs="宋体"/>
          <w:bCs/>
          <w:sz w:val="24"/>
          <w:szCs w:val="24"/>
        </w:rPr>
      </w:pPr>
      <w:r>
        <w:rPr>
          <w:rFonts w:hint="eastAsia" w:ascii="宋体" w:hAnsi="宋体" w:eastAsia="宋体" w:cs="宋体"/>
          <w:bCs/>
          <w:sz w:val="24"/>
          <w:szCs w:val="24"/>
        </w:rPr>
        <w:t>（非残疾人福利性单位不需此件）</w:t>
      </w:r>
    </w:p>
    <w:p w14:paraId="4066019A">
      <w:pPr>
        <w:spacing w:line="480" w:lineRule="exact"/>
      </w:pPr>
    </w:p>
    <w:p w14:paraId="5EB96ECA">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Cs/>
          <w:sz w:val="24"/>
          <w:szCs w:val="24"/>
          <w:u w:val="single"/>
        </w:rPr>
        <w:t xml:space="preserve">     </w:t>
      </w:r>
      <w:r>
        <w:rPr>
          <w:rFonts w:hint="eastAsia" w:ascii="宋体" w:hAnsi="宋体"/>
          <w:bCs/>
          <w:sz w:val="24"/>
          <w:szCs w:val="24"/>
          <w:lang w:val="zh-CN"/>
        </w:rPr>
        <w:t>项目（项目编号：</w:t>
      </w:r>
      <w:r>
        <w:rPr>
          <w:rFonts w:hint="eastAsia" w:ascii="宋体" w:hAnsi="宋体"/>
          <w:bCs/>
          <w:sz w:val="24"/>
          <w:szCs w:val="24"/>
          <w:u w:val="single"/>
        </w:rPr>
        <w:t xml:space="preserve">     </w:t>
      </w:r>
      <w:r>
        <w:rPr>
          <w:rFonts w:hint="eastAsia" w:ascii="宋体" w:hAnsi="宋体"/>
          <w:bCs/>
          <w:sz w:val="24"/>
          <w:szCs w:val="24"/>
          <w:lang w:val="zh-CN"/>
        </w:rPr>
        <w:t>）采购活动由本单位提供服务。</w:t>
      </w:r>
    </w:p>
    <w:p w14:paraId="3B0F6A06">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本单位对上述声明的真实性负责。如有虚假，将依法承担相应责任。</w:t>
      </w:r>
    </w:p>
    <w:p w14:paraId="044C237C">
      <w:pPr>
        <w:spacing w:line="480" w:lineRule="exact"/>
        <w:rPr>
          <w:rFonts w:ascii="宋体" w:hAnsi="宋体"/>
          <w:bCs/>
          <w:sz w:val="24"/>
          <w:szCs w:val="24"/>
        </w:rPr>
      </w:pPr>
    </w:p>
    <w:p w14:paraId="012E7366">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盖章</w:t>
      </w:r>
      <w:r>
        <w:rPr>
          <w:rFonts w:hint="eastAsia" w:ascii="宋体" w:hAnsi="宋体"/>
          <w:b/>
          <w:sz w:val="24"/>
          <w:szCs w:val="24"/>
        </w:rPr>
        <w:t>：</w:t>
      </w:r>
      <w:r>
        <w:rPr>
          <w:rFonts w:ascii="宋体" w:hAnsi="宋体"/>
          <w:b/>
          <w:sz w:val="24"/>
          <w:szCs w:val="24"/>
          <w:u w:val="single"/>
        </w:rPr>
        <w:t xml:space="preserve">              </w:t>
      </w:r>
    </w:p>
    <w:p w14:paraId="67954AFF">
      <w:pPr>
        <w:tabs>
          <w:tab w:val="left" w:pos="4620"/>
        </w:tabs>
        <w:spacing w:line="480" w:lineRule="exact"/>
        <w:ind w:firstLine="5060" w:firstLineChars="2100"/>
        <w:rPr>
          <w:rFonts w:ascii="宋体" w:hAnsi="宋体"/>
          <w:b/>
          <w:bCs/>
          <w:sz w:val="24"/>
          <w:szCs w:val="24"/>
        </w:rPr>
      </w:pPr>
      <w:r>
        <w:rPr>
          <w:rFonts w:hint="eastAsia" w:ascii="宋体" w:hAnsi="宋体"/>
          <w:b/>
          <w:sz w:val="24"/>
          <w:szCs w:val="24"/>
        </w:rPr>
        <w:t xml:space="preserve">日 </w:t>
      </w:r>
      <w:r>
        <w:rPr>
          <w:rFonts w:ascii="宋体" w:hAnsi="宋体"/>
          <w:b/>
          <w:sz w:val="24"/>
          <w:szCs w:val="24"/>
        </w:rPr>
        <w:t xml:space="preserve">  </w:t>
      </w:r>
      <w:r>
        <w:rPr>
          <w:rFonts w:hint="eastAsia" w:ascii="宋体" w:hAnsi="宋体"/>
          <w:b/>
          <w:sz w:val="24"/>
          <w:szCs w:val="24"/>
        </w:rPr>
        <w:t xml:space="preserve"> 期：</w:t>
      </w:r>
      <w:r>
        <w:rPr>
          <w:rFonts w:ascii="宋体" w:hAnsi="宋体"/>
          <w:b/>
          <w:sz w:val="24"/>
          <w:szCs w:val="24"/>
          <w:u w:val="single"/>
        </w:rPr>
        <w:t xml:space="preserve">                     </w:t>
      </w:r>
    </w:p>
    <w:p w14:paraId="30CE31C0">
      <w:pPr>
        <w:pStyle w:val="3"/>
        <w:spacing w:before="0" w:after="0" w:line="560" w:lineRule="exact"/>
        <w:rPr>
          <w:rFonts w:hint="eastAsia" w:ascii="宋体" w:hAnsi="宋体" w:eastAsia="宋体" w:cs="宋体"/>
          <w:sz w:val="24"/>
          <w:szCs w:val="24"/>
        </w:rPr>
      </w:pPr>
      <w:bookmarkStart w:id="141" w:name="_Toc14089"/>
    </w:p>
    <w:p w14:paraId="4DB43D13">
      <w:pPr>
        <w:pStyle w:val="3"/>
        <w:spacing w:before="0" w:after="0" w:line="560" w:lineRule="exact"/>
        <w:rPr>
          <w:rFonts w:hint="eastAsia" w:ascii="宋体" w:hAnsi="宋体" w:eastAsia="宋体" w:cs="宋体"/>
          <w:sz w:val="24"/>
          <w:szCs w:val="24"/>
        </w:rPr>
      </w:pPr>
      <w:r>
        <w:rPr>
          <w:rStyle w:val="48"/>
          <w:rFonts w:hint="eastAsia" w:ascii="宋体" w:hAnsi="宋体" w:cs="宋体"/>
          <w:b/>
          <w:bCs/>
          <w:kern w:val="2"/>
          <w:sz w:val="24"/>
          <w:szCs w:val="24"/>
          <w:lang w:eastAsia="zh-CN"/>
        </w:rPr>
        <w:t>备注：此件本项目不作要求。</w:t>
      </w:r>
    </w:p>
    <w:p w14:paraId="03CFB030">
      <w:pPr>
        <w:pStyle w:val="3"/>
        <w:spacing w:before="0" w:after="0" w:line="560" w:lineRule="exact"/>
        <w:rPr>
          <w:rFonts w:hint="eastAsia" w:ascii="宋体" w:hAnsi="宋体" w:eastAsia="宋体" w:cs="宋体"/>
          <w:sz w:val="24"/>
          <w:szCs w:val="24"/>
        </w:rPr>
      </w:pPr>
    </w:p>
    <w:p w14:paraId="38E91203">
      <w:pPr>
        <w:rPr>
          <w:rFonts w:hint="eastAsia" w:ascii="宋体" w:hAnsi="宋体" w:eastAsia="宋体" w:cs="宋体"/>
          <w:sz w:val="24"/>
          <w:szCs w:val="24"/>
        </w:rPr>
      </w:pPr>
    </w:p>
    <w:p w14:paraId="65BC1AD9">
      <w:pPr>
        <w:pStyle w:val="11"/>
        <w:rPr>
          <w:rFonts w:hint="eastAsia" w:ascii="宋体" w:hAnsi="宋体" w:eastAsia="宋体" w:cs="宋体"/>
          <w:sz w:val="24"/>
          <w:szCs w:val="24"/>
        </w:rPr>
      </w:pPr>
    </w:p>
    <w:p w14:paraId="3871BF6B">
      <w:pPr>
        <w:pStyle w:val="10"/>
        <w:rPr>
          <w:rFonts w:hint="eastAsia" w:ascii="宋体" w:hAnsi="宋体" w:eastAsia="宋体" w:cs="宋体"/>
          <w:sz w:val="24"/>
          <w:szCs w:val="24"/>
        </w:rPr>
      </w:pPr>
    </w:p>
    <w:p w14:paraId="2BBB0C02">
      <w:pPr>
        <w:pStyle w:val="43"/>
        <w:rPr>
          <w:rFonts w:hint="eastAsia" w:ascii="宋体" w:hAnsi="宋体" w:eastAsia="宋体" w:cs="宋体"/>
          <w:sz w:val="24"/>
          <w:szCs w:val="24"/>
        </w:rPr>
      </w:pPr>
    </w:p>
    <w:p w14:paraId="223ECEC9">
      <w:pPr>
        <w:pStyle w:val="43"/>
        <w:rPr>
          <w:rFonts w:hint="eastAsia" w:ascii="宋体" w:hAnsi="宋体" w:eastAsia="宋体" w:cs="宋体"/>
          <w:sz w:val="24"/>
          <w:szCs w:val="24"/>
        </w:rPr>
      </w:pPr>
    </w:p>
    <w:p w14:paraId="2E2B6E13">
      <w:pPr>
        <w:pStyle w:val="3"/>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八</w:t>
      </w:r>
      <w:bookmarkEnd w:id="141"/>
    </w:p>
    <w:p w14:paraId="71DC5A83">
      <w:pPr>
        <w:rPr>
          <w:rFonts w:ascii="宋体" w:hAnsi="宋体"/>
          <w:b/>
          <w:sz w:val="24"/>
          <w:szCs w:val="28"/>
        </w:rPr>
      </w:pPr>
    </w:p>
    <w:p w14:paraId="76FC6C81">
      <w:pPr>
        <w:rPr>
          <w:rFonts w:ascii="宋体" w:hAnsi="宋体"/>
          <w:b/>
          <w:sz w:val="24"/>
          <w:szCs w:val="28"/>
        </w:rPr>
      </w:pPr>
    </w:p>
    <w:p w14:paraId="0C5D7840">
      <w:pPr>
        <w:jc w:val="center"/>
        <w:rPr>
          <w:rFonts w:ascii="宋体" w:hAnsi="宋体" w:eastAsia="宋体" w:cs="宋体"/>
          <w:b w:val="0"/>
          <w:bCs/>
          <w:sz w:val="24"/>
          <w:szCs w:val="24"/>
        </w:rPr>
      </w:pPr>
      <w:bookmarkStart w:id="142" w:name="_Toc30670"/>
      <w:bookmarkStart w:id="143" w:name="_Toc28850"/>
      <w:bookmarkStart w:id="144" w:name="_Toc28453"/>
      <w:r>
        <w:rPr>
          <w:rFonts w:hint="eastAsia" w:ascii="宋体" w:hAnsi="宋体" w:eastAsia="宋体" w:cs="宋体"/>
          <w:b w:val="0"/>
          <w:bCs/>
          <w:sz w:val="24"/>
          <w:szCs w:val="24"/>
        </w:rPr>
        <w:t>谈判文件要求和供应商认为需要提供的其它说明和资料</w:t>
      </w:r>
      <w:bookmarkEnd w:id="142"/>
      <w:bookmarkEnd w:id="143"/>
      <w:bookmarkEnd w:id="144"/>
    </w:p>
    <w:p w14:paraId="1D283D94">
      <w:pPr>
        <w:rPr>
          <w:rFonts w:hAnsi="宋体" w:cs="宋体"/>
          <w:sz w:val="24"/>
          <w:szCs w:val="32"/>
        </w:rPr>
        <w:sectPr>
          <w:pgSz w:w="11906" w:h="16838"/>
          <w:pgMar w:top="1440" w:right="1531" w:bottom="1440" w:left="1531" w:header="851" w:footer="992" w:gutter="0"/>
          <w:pgNumType w:fmt="decimal"/>
          <w:cols w:space="425" w:num="1"/>
          <w:docGrid w:type="lines" w:linePitch="312" w:charSpace="0"/>
        </w:sectPr>
      </w:pPr>
    </w:p>
    <w:p w14:paraId="3A667222">
      <w:pPr>
        <w:pStyle w:val="3"/>
        <w:pageBreakBefore w:val="0"/>
        <w:kinsoku/>
        <w:overflowPunct/>
        <w:topLinePunct w:val="0"/>
        <w:bidi w:val="0"/>
        <w:spacing w:before="0" w:after="0" w:line="500" w:lineRule="exact"/>
        <w:rPr>
          <w:rStyle w:val="100"/>
          <w:rFonts w:ascii="宋体" w:hAnsi="宋体" w:eastAsia="宋体" w:cs="宋体"/>
          <w:b/>
          <w:sz w:val="24"/>
          <w:szCs w:val="24"/>
        </w:rPr>
      </w:pPr>
      <w:bookmarkStart w:id="145" w:name="_Toc5314"/>
      <w:bookmarkStart w:id="146" w:name="_Toc23763"/>
      <w:r>
        <w:rPr>
          <w:rFonts w:hint="eastAsia" w:ascii="宋体" w:hAnsi="宋体" w:eastAsia="宋体" w:cs="宋体"/>
          <w:sz w:val="24"/>
          <w:szCs w:val="24"/>
        </w:rPr>
        <w:t>附件九</w:t>
      </w:r>
      <w:bookmarkEnd w:id="145"/>
      <w:bookmarkEnd w:id="146"/>
      <w:r>
        <w:rPr>
          <w:rFonts w:hint="eastAsia" w:ascii="宋体" w:hAnsi="宋体" w:eastAsia="宋体" w:cs="宋体"/>
          <w:sz w:val="24"/>
          <w:szCs w:val="24"/>
          <w:lang w:val="en-US" w:eastAsia="zh-CN"/>
        </w:rPr>
        <w:t xml:space="preserve">                      </w:t>
      </w:r>
    </w:p>
    <w:p w14:paraId="45DDF4F3">
      <w:pPr>
        <w:pageBreakBefore w:val="0"/>
        <w:kinsoku/>
        <w:overflowPunct/>
        <w:topLinePunct w:val="0"/>
        <w:bidi w:val="0"/>
        <w:spacing w:line="50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2B9A0737">
      <w:pPr>
        <w:pageBreakBefore w:val="0"/>
        <w:widowControl w:val="0"/>
        <w:tabs>
          <w:tab w:val="left" w:pos="1663"/>
        </w:tabs>
        <w:kinsoku/>
        <w:overflowPunct/>
        <w:topLinePunct w:val="0"/>
        <w:autoSpaceDE w:val="0"/>
        <w:autoSpaceDN w:val="0"/>
        <w:bidi w:val="0"/>
        <w:spacing w:before="0" w:after="0" w:line="500" w:lineRule="exact"/>
        <w:ind w:left="96" w:right="0"/>
        <w:jc w:val="center"/>
        <w:outlineLvl w:val="3"/>
        <w:rPr>
          <w:rFonts w:ascii="宋体" w:hAnsi="宋体" w:eastAsia="宋体" w:cs="宋体"/>
          <w:b/>
          <w:sz w:val="12"/>
          <w:szCs w:val="24"/>
          <w:lang w:val="zh-CN" w:eastAsia="zh-CN" w:bidi="zh-CN"/>
        </w:rPr>
      </w:pPr>
      <w:r>
        <w:rPr>
          <w:rFonts w:hint="eastAsia" w:ascii="宋体" w:hAnsi="宋体" w:cs="宋体"/>
          <w:b w:val="0"/>
          <w:bCs w:val="0"/>
          <w:sz w:val="24"/>
          <w:szCs w:val="24"/>
          <w:lang w:val="en-US" w:eastAsia="zh-CN" w:bidi="zh-CN"/>
        </w:rPr>
        <w:t>(或</w:t>
      </w:r>
      <w:r>
        <w:rPr>
          <w:rFonts w:ascii="宋体" w:hAnsi="宋体" w:eastAsia="宋体" w:cs="宋体"/>
          <w:b w:val="0"/>
          <w:bCs w:val="0"/>
          <w:sz w:val="24"/>
          <w:szCs w:val="24"/>
          <w:lang w:val="zh-CN" w:eastAsia="zh-CN" w:bidi="zh-CN"/>
        </w:rPr>
        <w:t>第</w:t>
      </w:r>
      <w:r>
        <w:rPr>
          <w:rFonts w:ascii="宋体" w:hAnsi="宋体" w:eastAsia="宋体" w:cs="宋体"/>
          <w:b w:val="0"/>
          <w:bCs w:val="0"/>
          <w:sz w:val="24"/>
          <w:szCs w:val="24"/>
          <w:u w:val="single"/>
          <w:lang w:val="zh-CN" w:eastAsia="zh-CN" w:bidi="zh-CN"/>
        </w:rPr>
        <w:t xml:space="preserve"> </w:t>
      </w:r>
      <w:r>
        <w:rPr>
          <w:rFonts w:hint="eastAsia" w:ascii="宋体" w:hAnsi="宋体" w:cs="宋体"/>
          <w:b w:val="0"/>
          <w:bCs w:val="0"/>
          <w:sz w:val="24"/>
          <w:szCs w:val="24"/>
          <w:u w:val="single"/>
          <w:lang w:val="en-US"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58C9B0CC">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FC30A04">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sz w:val="12"/>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107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103C3620">
            <w:pPr>
              <w:keepNext w:val="0"/>
              <w:keepLines w:val="0"/>
              <w:pageBreakBefore w:val="0"/>
              <w:widowControl w:val="0"/>
              <w:suppressLineNumbers w:val="0"/>
              <w:kinsoku/>
              <w:overflowPunct/>
              <w:topLinePunct w:val="0"/>
              <w:autoSpaceDE w:val="0"/>
              <w:autoSpaceDN w:val="0"/>
              <w:bidi w:val="0"/>
              <w:spacing w:before="177"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供应商名称</w:t>
            </w:r>
          </w:p>
        </w:tc>
        <w:tc>
          <w:tcPr>
            <w:tcW w:w="6064" w:type="dxa"/>
            <w:noWrap w:val="0"/>
            <w:vAlign w:val="top"/>
          </w:tcPr>
          <w:p w14:paraId="5F5115C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p>
        </w:tc>
      </w:tr>
      <w:tr w14:paraId="49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40D5D830">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2A8A455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5" w:right="237"/>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en-US" w:eastAsia="zh-CN" w:bidi="zh-CN"/>
              </w:rPr>
              <w:t>谈判</w:t>
            </w:r>
            <w:r>
              <w:rPr>
                <w:rFonts w:hint="eastAsia" w:ascii="宋体" w:hAnsi="宋体" w:eastAsia="宋体" w:cs="宋体"/>
                <w:b/>
                <w:sz w:val="24"/>
                <w:szCs w:val="24"/>
                <w:lang w:val="zh-CN" w:eastAsia="zh-CN" w:bidi="zh-CN"/>
              </w:rPr>
              <w:t>范围</w:t>
            </w:r>
          </w:p>
        </w:tc>
        <w:tc>
          <w:tcPr>
            <w:tcW w:w="6064" w:type="dxa"/>
            <w:noWrap w:val="0"/>
            <w:vAlign w:val="top"/>
          </w:tcPr>
          <w:p w14:paraId="048BE9C2">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02497361">
            <w:pPr>
              <w:keepNext w:val="0"/>
              <w:keepLines w:val="0"/>
              <w:pageBreakBefore w:val="0"/>
              <w:widowControl w:val="0"/>
              <w:suppressLineNumbers w:val="0"/>
              <w:tabs>
                <w:tab w:val="left" w:pos="1547"/>
              </w:tabs>
              <w:kinsoku/>
              <w:overflowPunct/>
              <w:topLinePunct w:val="0"/>
              <w:autoSpaceDE w:val="0"/>
              <w:autoSpaceDN w:val="0"/>
              <w:bidi w:val="0"/>
              <w:spacing w:before="0" w:beforeAutospacing="0" w:after="0" w:afterAutospacing="0" w:line="500" w:lineRule="exact"/>
              <w:ind w:left="107"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全部 </w:t>
            </w:r>
          </w:p>
        </w:tc>
      </w:tr>
      <w:tr w14:paraId="67DF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14:paraId="4F0946D6">
            <w:pPr>
              <w:keepNext w:val="0"/>
              <w:keepLines w:val="0"/>
              <w:pageBreakBefore w:val="0"/>
              <w:widowControl w:val="0"/>
              <w:suppressLineNumbers w:val="0"/>
              <w:kinsoku/>
              <w:overflowPunct/>
              <w:topLinePunct w:val="0"/>
              <w:autoSpaceDE w:val="0"/>
              <w:autoSpaceDN w:val="0"/>
              <w:bidi w:val="0"/>
              <w:spacing w:before="7" w:beforeAutospacing="0" w:after="0" w:afterAutospacing="0" w:line="500" w:lineRule="exact"/>
              <w:ind w:left="0" w:right="0"/>
              <w:jc w:val="left"/>
              <w:rPr>
                <w:rFonts w:hint="eastAsia" w:ascii="宋体" w:hAnsi="宋体" w:eastAsia="宋体" w:cs="宋体"/>
                <w:b/>
                <w:sz w:val="24"/>
                <w:szCs w:val="24"/>
                <w:lang w:val="zh-CN" w:eastAsia="zh-CN" w:bidi="zh-CN"/>
              </w:rPr>
            </w:pPr>
          </w:p>
          <w:p w14:paraId="7B225B6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报</w:t>
            </w:r>
            <w:r>
              <w:rPr>
                <w:rFonts w:hint="eastAsia" w:ascii="宋体" w:hAnsi="宋体" w:cs="宋体"/>
                <w:b/>
                <w:sz w:val="24"/>
                <w:szCs w:val="24"/>
                <w:lang w:val="en-US" w:eastAsia="zh-CN" w:bidi="zh-CN"/>
              </w:rPr>
              <w:t xml:space="preserve">   </w:t>
            </w:r>
            <w:r>
              <w:rPr>
                <w:rFonts w:hint="eastAsia" w:ascii="宋体" w:hAnsi="宋体" w:eastAsia="宋体" w:cs="宋体"/>
                <w:b/>
                <w:sz w:val="24"/>
                <w:szCs w:val="24"/>
                <w:lang w:val="zh-CN" w:eastAsia="zh-CN" w:bidi="zh-CN"/>
              </w:rPr>
              <w:t>价</w:t>
            </w:r>
          </w:p>
          <w:p w14:paraId="6CCF49CB">
            <w:pPr>
              <w:keepNext w:val="0"/>
              <w:keepLines w:val="0"/>
              <w:pageBreakBefore w:val="0"/>
              <w:widowControl w:val="0"/>
              <w:suppressLineNumbers w:val="0"/>
              <w:kinsoku/>
              <w:overflowPunct/>
              <w:topLinePunct w:val="0"/>
              <w:autoSpaceDE w:val="0"/>
              <w:autoSpaceDN w:val="0"/>
              <w:bidi w:val="0"/>
              <w:spacing w:before="161" w:beforeAutospacing="0" w:after="0" w:afterAutospacing="0" w:line="500" w:lineRule="exact"/>
              <w:ind w:left="245"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（详见备注说明）</w:t>
            </w:r>
          </w:p>
        </w:tc>
        <w:tc>
          <w:tcPr>
            <w:tcW w:w="6064" w:type="dxa"/>
            <w:noWrap w:val="0"/>
            <w:vAlign w:val="top"/>
          </w:tcPr>
          <w:p w14:paraId="3597D304">
            <w:pPr>
              <w:keepNext w:val="0"/>
              <w:keepLines w:val="0"/>
              <w:pageBreakBefore w:val="0"/>
              <w:widowControl w:val="0"/>
              <w:suppressLineNumbers w:val="0"/>
              <w:kinsoku/>
              <w:overflowPunct/>
              <w:topLinePunct w:val="0"/>
              <w:autoSpaceDE w:val="0"/>
              <w:autoSpaceDN w:val="0"/>
              <w:bidi w:val="0"/>
              <w:spacing w:before="9" w:beforeAutospacing="0" w:after="0" w:afterAutospacing="0" w:line="500" w:lineRule="exact"/>
              <w:ind w:left="0" w:right="0"/>
              <w:jc w:val="left"/>
              <w:rPr>
                <w:rFonts w:hint="eastAsia" w:ascii="宋体" w:hAnsi="宋体" w:eastAsia="宋体" w:cs="宋体"/>
                <w:b/>
                <w:sz w:val="24"/>
                <w:szCs w:val="24"/>
                <w:lang w:val="zh-CN" w:eastAsia="zh-CN" w:bidi="zh-CN"/>
              </w:rPr>
            </w:pPr>
          </w:p>
          <w:p w14:paraId="09363331">
            <w:pPr>
              <w:keepNext w:val="0"/>
              <w:keepLines w:val="0"/>
              <w:pageBreakBefore w:val="0"/>
              <w:widowControl w:val="0"/>
              <w:suppressLineNumbers w:val="0"/>
              <w:tabs>
                <w:tab w:val="left" w:pos="4482"/>
              </w:tabs>
              <w:kinsoku/>
              <w:overflowPunct/>
              <w:topLinePunct w:val="0"/>
              <w:autoSpaceDE w:val="0"/>
              <w:autoSpaceDN w:val="0"/>
              <w:bidi w:val="0"/>
              <w:spacing w:before="0" w:beforeAutospacing="0" w:after="0" w:afterAutospacing="0" w:line="500" w:lineRule="exact"/>
              <w:ind w:right="0" w:firstLine="240" w:firstLineChars="100"/>
              <w:jc w:val="left"/>
              <w:rPr>
                <w:rFonts w:hint="eastAsia" w:ascii="宋体" w:hAnsi="宋体" w:eastAsia="宋体" w:cs="宋体"/>
                <w:sz w:val="24"/>
                <w:szCs w:val="24"/>
                <w:lang w:val="zh-CN" w:eastAsia="zh-CN" w:bidi="zh-CN"/>
              </w:rPr>
            </w:pPr>
            <w:r>
              <w:rPr>
                <w:rFonts w:hint="eastAsia" w:ascii="宋体" w:hAnsi="宋体" w:cs="宋体"/>
                <w:color w:val="auto"/>
                <w:sz w:val="24"/>
                <w:szCs w:val="24"/>
                <w:u w:val="single"/>
                <w:lang w:val="en-US" w:eastAsia="zh-CN"/>
              </w:rPr>
              <w:t xml:space="preserve">            元</w:t>
            </w:r>
          </w:p>
        </w:tc>
      </w:tr>
      <w:tr w14:paraId="1099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461" w:type="dxa"/>
            <w:noWrap w:val="0"/>
            <w:vAlign w:val="top"/>
          </w:tcPr>
          <w:p w14:paraId="3AFC75C8">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p>
          <w:p w14:paraId="472AEF20">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备注说明</w:t>
            </w:r>
          </w:p>
        </w:tc>
        <w:tc>
          <w:tcPr>
            <w:tcW w:w="6064" w:type="dxa"/>
            <w:noWrap w:val="0"/>
            <w:vAlign w:val="top"/>
          </w:tcPr>
          <w:p w14:paraId="3957A11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 xml:space="preserve">上述报价包含完成本项目范围内工作内容的全部费用，该费用不再调整。 </w:t>
            </w:r>
          </w:p>
          <w:p w14:paraId="2D43DB7B">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2、其他部分与响应文件内容一致。</w:t>
            </w:r>
          </w:p>
        </w:tc>
      </w:tr>
    </w:tbl>
    <w:p w14:paraId="4D60715B">
      <w:pPr>
        <w:pageBreakBefore w:val="0"/>
        <w:widowControl w:val="0"/>
        <w:kinsoku/>
        <w:overflowPunct/>
        <w:topLinePunct w:val="0"/>
        <w:autoSpaceDE w:val="0"/>
        <w:autoSpaceDN w:val="0"/>
        <w:bidi w:val="0"/>
        <w:spacing w:before="79" w:after="0" w:line="500" w:lineRule="exact"/>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046BAF61">
      <w:pPr>
        <w:pageBreakBefore w:val="0"/>
        <w:widowControl w:val="0"/>
        <w:tabs>
          <w:tab w:val="left" w:pos="5861"/>
          <w:tab w:val="left" w:pos="8556"/>
        </w:tabs>
        <w:kinsoku/>
        <w:overflowPunct/>
        <w:topLinePunct w:val="0"/>
        <w:autoSpaceDE w:val="0"/>
        <w:autoSpaceDN w:val="0"/>
        <w:bidi w:val="0"/>
        <w:spacing w:before="160" w:after="0" w:line="500" w:lineRule="exact"/>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0E5F1D09">
      <w:pPr>
        <w:pageBreakBefore w:val="0"/>
        <w:kinsoku/>
        <w:overflowPunct/>
        <w:topLinePunct w:val="0"/>
        <w:bidi w:val="0"/>
        <w:spacing w:line="500" w:lineRule="exact"/>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本页《最终承包报价书（第</w:t>
      </w:r>
      <w:r>
        <w:rPr>
          <w:rFonts w:hint="eastAsia" w:asciiTheme="minorEastAsia" w:hAnsiTheme="minorEastAsia" w:eastAsiaTheme="minorEastAsia" w:cstheme="minorEastAsia"/>
          <w:b/>
          <w:bCs/>
          <w:sz w:val="24"/>
          <w:szCs w:val="22"/>
          <w:u w:val="single"/>
          <w:lang w:val="zh-CN" w:eastAsia="zh-CN"/>
        </w:rPr>
        <w:t xml:space="preserve">    </w:t>
      </w:r>
      <w:r>
        <w:rPr>
          <w:rFonts w:hint="eastAsia" w:asciiTheme="minorEastAsia" w:hAnsiTheme="minorEastAsia" w:eastAsiaTheme="minorEastAsia" w:cstheme="minorEastAsia"/>
          <w:b/>
          <w:bCs/>
          <w:sz w:val="24"/>
          <w:szCs w:val="22"/>
          <w:u w:val="single"/>
          <w:lang w:val="zh-CN" w:eastAsia="zh-CN"/>
        </w:rPr>
        <w:tab/>
      </w:r>
      <w:r>
        <w:rPr>
          <w:rFonts w:hint="eastAsia" w:asciiTheme="minorEastAsia" w:hAnsiTheme="minorEastAsia" w:eastAsiaTheme="minorEastAsia" w:cstheme="minorEastAsia"/>
          <w:b/>
          <w:bCs/>
          <w:sz w:val="24"/>
          <w:szCs w:val="22"/>
          <w:lang w:val="zh-CN" w:eastAsia="zh-CN"/>
        </w:rPr>
        <w:t>次报价书）》由供应商在现场依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w:t>
      </w:r>
      <w:r>
        <w:rPr>
          <w:rFonts w:hint="eastAsia" w:ascii="宋体" w:hAnsi="宋体" w:eastAsia="宋体" w:cs="宋体"/>
          <w:b/>
          <w:color w:val="auto"/>
          <w:sz w:val="24"/>
          <w:szCs w:val="24"/>
          <w:highlight w:val="none"/>
        </w:rPr>
        <w:t>（勿需装订在谈判文件内）</w:t>
      </w:r>
      <w:r>
        <w:rPr>
          <w:rFonts w:hint="eastAsia" w:ascii="宋体" w:hAnsi="宋体" w:eastAsia="宋体" w:cs="宋体"/>
          <w:b/>
          <w:color w:val="auto"/>
          <w:sz w:val="24"/>
          <w:szCs w:val="24"/>
          <w:highlight w:val="none"/>
          <w:lang w:eastAsia="zh-CN"/>
        </w:rPr>
        <w:t>，</w:t>
      </w:r>
      <w:r>
        <w:rPr>
          <w:rFonts w:hint="eastAsia" w:asciiTheme="minorEastAsia" w:hAnsiTheme="minorEastAsia" w:eastAsiaTheme="minorEastAsia" w:cstheme="minorEastAsia"/>
          <w:b/>
          <w:bCs/>
          <w:sz w:val="24"/>
          <w:szCs w:val="22"/>
          <w:lang w:val="zh-CN" w:eastAsia="zh-CN"/>
        </w:rPr>
        <w:t>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w:t>
      </w:r>
    </w:p>
    <w:p w14:paraId="62233294">
      <w:pPr>
        <w:pageBreakBefore w:val="0"/>
        <w:numPr>
          <w:ilvl w:val="0"/>
          <w:numId w:val="0"/>
        </w:numPr>
        <w:kinsoku/>
        <w:overflowPunct/>
        <w:topLinePunct w:val="0"/>
        <w:bidi w:val="0"/>
        <w:spacing w:line="500" w:lineRule="exact"/>
        <w:rPr>
          <w:bCs/>
          <w:color w:val="auto"/>
        </w:rPr>
      </w:pPr>
      <w:r>
        <w:rPr>
          <w:rFonts w:hint="eastAsia" w:ascii="宋体" w:hAnsi="宋体" w:eastAsia="宋体" w:cs="宋体"/>
          <w:b/>
          <w:color w:val="auto"/>
          <w:kern w:val="2"/>
          <w:sz w:val="24"/>
          <w:szCs w:val="24"/>
          <w:lang w:val="en-US" w:eastAsia="zh-CN" w:bidi="ar-SA"/>
        </w:rPr>
        <w:t>2、</w:t>
      </w:r>
      <w:r>
        <w:rPr>
          <w:rFonts w:hint="eastAsia" w:ascii="宋体" w:hAnsi="宋体" w:eastAsia="宋体" w:cs="宋体"/>
          <w:b/>
          <w:color w:val="auto"/>
          <w:kern w:val="2"/>
          <w:sz w:val="24"/>
          <w:szCs w:val="24"/>
          <w:highlight w:val="none"/>
          <w:lang w:val="en-US" w:eastAsia="zh-CN" w:bidi="ar-SA"/>
        </w:rPr>
        <w:t>最多保留</w:t>
      </w:r>
      <w:r>
        <w:rPr>
          <w:rFonts w:hint="eastAsia" w:ascii="宋体" w:hAnsi="宋体" w:cs="宋体"/>
          <w:b/>
          <w:color w:val="auto"/>
          <w:kern w:val="2"/>
          <w:sz w:val="24"/>
          <w:szCs w:val="24"/>
          <w:highlight w:val="none"/>
          <w:lang w:val="en-US" w:eastAsia="zh-CN" w:bidi="ar-SA"/>
        </w:rPr>
        <w:t>小数点后</w:t>
      </w:r>
      <w:r>
        <w:rPr>
          <w:rFonts w:hint="eastAsia" w:ascii="宋体" w:hAnsi="宋体" w:eastAsia="宋体" w:cs="宋体"/>
          <w:b/>
          <w:color w:val="auto"/>
          <w:kern w:val="2"/>
          <w:sz w:val="24"/>
          <w:szCs w:val="24"/>
          <w:highlight w:val="none"/>
          <w:lang w:val="en-US" w:eastAsia="zh-CN" w:bidi="ar-SA"/>
        </w:rPr>
        <w:t>两位。</w:t>
      </w:r>
    </w:p>
    <w:p w14:paraId="3B9B2DDD">
      <w:pPr>
        <w:rPr>
          <w:rFonts w:hAnsi="宋体" w:cs="宋体"/>
          <w:sz w:val="24"/>
          <w:szCs w:val="32"/>
        </w:rPr>
      </w:pPr>
    </w:p>
    <w:sectPr>
      <w:headerReference r:id="rId12" w:type="default"/>
      <w:footerReference r:id="rId14" w:type="default"/>
      <w:headerReference r:id="rId13" w:type="even"/>
      <w:footerReference r:id="rId15" w:type="even"/>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otumChe">
    <w:altName w:val="Times New Roman"/>
    <w:panose1 w:val="020B0609000101010101"/>
    <w:charset w:val="81"/>
    <w:family w:val="modern"/>
    <w:pitch w:val="default"/>
    <w:sig w:usb0="00000000" w:usb1="00000000" w:usb2="00000030" w:usb3="00000000" w:csb0="4008009F" w:csb1="DFD70000"/>
  </w:font>
  <w:font w:name="Malgun Gothic">
    <w:altName w:val="Times New Roman"/>
    <w:panose1 w:val="020B0503020000020004"/>
    <w:charset w:val="81"/>
    <w:family w:val="auto"/>
    <w:pitch w:val="default"/>
    <w:sig w:usb0="00000000" w:usb1="00000000" w:usb2="00000012" w:usb3="00000000" w:csb0="0008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9634">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91814">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10C91814">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FD56">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A4A00">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5ABA4A00">
                    <w:pPr>
                      <w:pStyle w:val="1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2E3C3F">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62E3C3F">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6A0F">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9F2B1A">
                          <w:pPr>
                            <w:pStyle w:val="1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D08s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2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V0PTyzwEAAKoDAAAOAAAAAAAAAAEAIAAAAB4BAABkcnMv&#10;ZTJvRG9jLnhtbFBLBQYAAAAABgAGAFkBAABfBQAAAAA=&#10;">
              <v:fill on="f" focussize="0,0"/>
              <v:stroke on="f"/>
              <v:imagedata o:title=""/>
              <o:lock v:ext="edit" aspectratio="f"/>
              <v:textbox inset="0mm,0mm,0mm,0mm" style="mso-fit-shape-to-text:t;">
                <w:txbxContent>
                  <w:p w14:paraId="5E9F2B1A">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D3FA">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8B600">
                          <w:pPr>
                            <w:pStyle w:val="1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14:paraId="4078B600">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6C3A">
    <w:pPr>
      <w:pStyle w:val="19"/>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09D2216D">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DB70">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DC7CC">
                          <w:pPr>
                            <w:pStyle w:val="19"/>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xOKM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TijLAQAAnAMAAA4AAAAAAAAAAQAgAAAAHgEAAGRycy9lMm9E&#10;b2MueG1sUEsFBgAAAAAGAAYAWQEAAFsFAAAAAA==&#10;">
              <v:fill on="f" focussize="0,0"/>
              <v:stroke on="f"/>
              <v:imagedata o:title=""/>
              <o:lock v:ext="edit" aspectratio="f"/>
              <v:textbox inset="0mm,0mm,0mm,0mm" style="mso-fit-shape-to-text:t;">
                <w:txbxContent>
                  <w:p w14:paraId="4BCDC7CC">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6E8B">
    <w:pPr>
      <w:pStyle w:val="19"/>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3AA3FDD9">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EF2A">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137E">
    <w:pPr>
      <w:pStyle w:val="21"/>
      <w:pBdr>
        <w:bottom w:val="none" w:color="auto" w:sz="0" w:space="1"/>
      </w:pBdr>
      <w:rPr>
        <w:lang w:val="en-US"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55CF">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4E2C">
    <w:pPr>
      <w:pStyle w:val="21"/>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490E6939">
    <w:pPr>
      <w:pStyle w:val="2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3AC1">
    <w:pPr>
      <w:pStyle w:val="2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56CB">
    <w:pPr>
      <w:pStyle w:val="21"/>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60A7558F">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5EFF3EA"/>
    <w:multiLevelType w:val="singleLevel"/>
    <w:tmpl w:val="05EFF3EA"/>
    <w:lvl w:ilvl="0" w:tentative="0">
      <w:start w:val="7"/>
      <w:numFmt w:val="chineseCounting"/>
      <w:suff w:val="nothing"/>
      <w:lvlText w:val="%1、"/>
      <w:lvlJc w:val="left"/>
      <w:rPr>
        <w:rFonts w:hint="eastAsia"/>
      </w:rPr>
    </w:lvl>
  </w:abstractNum>
  <w:abstractNum w:abstractNumId="2">
    <w:nsid w:val="606AFB53"/>
    <w:multiLevelType w:val="singleLevel"/>
    <w:tmpl w:val="606AFB5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C3E11"/>
    <w:rsid w:val="002C5B38"/>
    <w:rsid w:val="002D508E"/>
    <w:rsid w:val="002D677B"/>
    <w:rsid w:val="002F334D"/>
    <w:rsid w:val="002F39AD"/>
    <w:rsid w:val="002F5374"/>
    <w:rsid w:val="002F5CAB"/>
    <w:rsid w:val="003342EF"/>
    <w:rsid w:val="00341CB0"/>
    <w:rsid w:val="003452C5"/>
    <w:rsid w:val="003540FC"/>
    <w:rsid w:val="003808D6"/>
    <w:rsid w:val="0039588E"/>
    <w:rsid w:val="003A03AB"/>
    <w:rsid w:val="003A6740"/>
    <w:rsid w:val="003B2EDC"/>
    <w:rsid w:val="003B7B6B"/>
    <w:rsid w:val="003C2E20"/>
    <w:rsid w:val="003E0B3C"/>
    <w:rsid w:val="003E7C3B"/>
    <w:rsid w:val="00424DA5"/>
    <w:rsid w:val="0042639B"/>
    <w:rsid w:val="0044129B"/>
    <w:rsid w:val="004413B4"/>
    <w:rsid w:val="00453F7D"/>
    <w:rsid w:val="00467683"/>
    <w:rsid w:val="00480533"/>
    <w:rsid w:val="004B422C"/>
    <w:rsid w:val="004C64FF"/>
    <w:rsid w:val="004D417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E11038"/>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91C4B"/>
    <w:rsid w:val="00F977E8"/>
    <w:rsid w:val="00FA1EEE"/>
    <w:rsid w:val="00FA35DA"/>
    <w:rsid w:val="00FB2149"/>
    <w:rsid w:val="00FC1D08"/>
    <w:rsid w:val="00FC7A00"/>
    <w:rsid w:val="00FD0939"/>
    <w:rsid w:val="00FF1C7C"/>
    <w:rsid w:val="017E1B19"/>
    <w:rsid w:val="01D029E9"/>
    <w:rsid w:val="01EB1E16"/>
    <w:rsid w:val="01ED3B47"/>
    <w:rsid w:val="03062E20"/>
    <w:rsid w:val="03B22505"/>
    <w:rsid w:val="04013293"/>
    <w:rsid w:val="04067181"/>
    <w:rsid w:val="04103CCA"/>
    <w:rsid w:val="04EE7346"/>
    <w:rsid w:val="05036D27"/>
    <w:rsid w:val="05045387"/>
    <w:rsid w:val="05104E6D"/>
    <w:rsid w:val="05ED76CD"/>
    <w:rsid w:val="062214BD"/>
    <w:rsid w:val="06262FF6"/>
    <w:rsid w:val="063254ED"/>
    <w:rsid w:val="070E6A0C"/>
    <w:rsid w:val="07267565"/>
    <w:rsid w:val="078C18B4"/>
    <w:rsid w:val="07A20F5E"/>
    <w:rsid w:val="085602B5"/>
    <w:rsid w:val="0861256E"/>
    <w:rsid w:val="095F7F4C"/>
    <w:rsid w:val="09A60123"/>
    <w:rsid w:val="09AE75F4"/>
    <w:rsid w:val="09B95F2A"/>
    <w:rsid w:val="0A0C7574"/>
    <w:rsid w:val="0A161A89"/>
    <w:rsid w:val="0A424E4D"/>
    <w:rsid w:val="0AF82AC1"/>
    <w:rsid w:val="0B216451"/>
    <w:rsid w:val="0B66533A"/>
    <w:rsid w:val="0B84414D"/>
    <w:rsid w:val="0BD46BAD"/>
    <w:rsid w:val="0BE120B2"/>
    <w:rsid w:val="0C26399B"/>
    <w:rsid w:val="0CEC43CA"/>
    <w:rsid w:val="0D50431A"/>
    <w:rsid w:val="0D712E27"/>
    <w:rsid w:val="0DF624E0"/>
    <w:rsid w:val="0E346850"/>
    <w:rsid w:val="0E404088"/>
    <w:rsid w:val="0EA113FA"/>
    <w:rsid w:val="0EB53450"/>
    <w:rsid w:val="0ECA11CC"/>
    <w:rsid w:val="0F390E8E"/>
    <w:rsid w:val="0F625791"/>
    <w:rsid w:val="0F8F57EF"/>
    <w:rsid w:val="0FF97625"/>
    <w:rsid w:val="1018304A"/>
    <w:rsid w:val="110475FD"/>
    <w:rsid w:val="11820B13"/>
    <w:rsid w:val="119066D9"/>
    <w:rsid w:val="11A335B5"/>
    <w:rsid w:val="1219428E"/>
    <w:rsid w:val="13490C7D"/>
    <w:rsid w:val="135C3D02"/>
    <w:rsid w:val="14E1184E"/>
    <w:rsid w:val="14E27C21"/>
    <w:rsid w:val="153B2049"/>
    <w:rsid w:val="15614DA8"/>
    <w:rsid w:val="15AD79BC"/>
    <w:rsid w:val="15C36A6F"/>
    <w:rsid w:val="16066864"/>
    <w:rsid w:val="16991EF7"/>
    <w:rsid w:val="173850A7"/>
    <w:rsid w:val="174C0AC9"/>
    <w:rsid w:val="177B4CDC"/>
    <w:rsid w:val="17822319"/>
    <w:rsid w:val="17BA7FA6"/>
    <w:rsid w:val="188B7B07"/>
    <w:rsid w:val="192B2CC7"/>
    <w:rsid w:val="198B1495"/>
    <w:rsid w:val="1997486D"/>
    <w:rsid w:val="19A1335A"/>
    <w:rsid w:val="1A00092C"/>
    <w:rsid w:val="1A6C248D"/>
    <w:rsid w:val="1AC76DF0"/>
    <w:rsid w:val="1AE159B8"/>
    <w:rsid w:val="1AF45622"/>
    <w:rsid w:val="1B5A7D5C"/>
    <w:rsid w:val="1B7B26E1"/>
    <w:rsid w:val="1BFC2F54"/>
    <w:rsid w:val="1C1A0C17"/>
    <w:rsid w:val="1C32741A"/>
    <w:rsid w:val="1C3F0B4C"/>
    <w:rsid w:val="1C405AE5"/>
    <w:rsid w:val="1CA15803"/>
    <w:rsid w:val="1CF739BD"/>
    <w:rsid w:val="1D765EE5"/>
    <w:rsid w:val="1D960483"/>
    <w:rsid w:val="1DF15284"/>
    <w:rsid w:val="1E0F670C"/>
    <w:rsid w:val="1F1437EE"/>
    <w:rsid w:val="1F171CFB"/>
    <w:rsid w:val="1F3C13B6"/>
    <w:rsid w:val="1F4B49D6"/>
    <w:rsid w:val="1FF85069"/>
    <w:rsid w:val="20522BB1"/>
    <w:rsid w:val="20F41885"/>
    <w:rsid w:val="21993B18"/>
    <w:rsid w:val="22464B8D"/>
    <w:rsid w:val="229A201B"/>
    <w:rsid w:val="22BDFA33"/>
    <w:rsid w:val="236E2F6E"/>
    <w:rsid w:val="239974D6"/>
    <w:rsid w:val="23E266D0"/>
    <w:rsid w:val="23E4618A"/>
    <w:rsid w:val="244E3D8C"/>
    <w:rsid w:val="24995226"/>
    <w:rsid w:val="24B335CE"/>
    <w:rsid w:val="252C74BE"/>
    <w:rsid w:val="25CC174F"/>
    <w:rsid w:val="25EF0E4B"/>
    <w:rsid w:val="269C26E3"/>
    <w:rsid w:val="27001EC8"/>
    <w:rsid w:val="272E2D63"/>
    <w:rsid w:val="27410CB9"/>
    <w:rsid w:val="276D441A"/>
    <w:rsid w:val="279A5DB4"/>
    <w:rsid w:val="27A504B9"/>
    <w:rsid w:val="2861396F"/>
    <w:rsid w:val="28B44010"/>
    <w:rsid w:val="29384EA8"/>
    <w:rsid w:val="29E26463"/>
    <w:rsid w:val="2A023B5C"/>
    <w:rsid w:val="2A07065D"/>
    <w:rsid w:val="2A0A08C3"/>
    <w:rsid w:val="2A1801B0"/>
    <w:rsid w:val="2A534564"/>
    <w:rsid w:val="2A573A70"/>
    <w:rsid w:val="2ADB55E8"/>
    <w:rsid w:val="2CBD48CE"/>
    <w:rsid w:val="2CE211B2"/>
    <w:rsid w:val="2D4D13D7"/>
    <w:rsid w:val="2E015B36"/>
    <w:rsid w:val="2E275F81"/>
    <w:rsid w:val="2E453834"/>
    <w:rsid w:val="2E4E51C2"/>
    <w:rsid w:val="2E77681E"/>
    <w:rsid w:val="2F4B2B19"/>
    <w:rsid w:val="2F6246CC"/>
    <w:rsid w:val="2F6F0CA0"/>
    <w:rsid w:val="2FC53683"/>
    <w:rsid w:val="2FE97A5F"/>
    <w:rsid w:val="305A47DE"/>
    <w:rsid w:val="309E348C"/>
    <w:rsid w:val="310F3CAE"/>
    <w:rsid w:val="31394322"/>
    <w:rsid w:val="3184082E"/>
    <w:rsid w:val="32617B06"/>
    <w:rsid w:val="328304A8"/>
    <w:rsid w:val="32BC5F4D"/>
    <w:rsid w:val="32EB4A9A"/>
    <w:rsid w:val="336C7C50"/>
    <w:rsid w:val="33896203"/>
    <w:rsid w:val="33FE364D"/>
    <w:rsid w:val="341512ED"/>
    <w:rsid w:val="3429115A"/>
    <w:rsid w:val="34364D2A"/>
    <w:rsid w:val="34F2580B"/>
    <w:rsid w:val="35A45821"/>
    <w:rsid w:val="36024564"/>
    <w:rsid w:val="36276335"/>
    <w:rsid w:val="36981B5D"/>
    <w:rsid w:val="36A9634B"/>
    <w:rsid w:val="36D079C8"/>
    <w:rsid w:val="36E40795"/>
    <w:rsid w:val="37D716E7"/>
    <w:rsid w:val="37FE6A0C"/>
    <w:rsid w:val="38C0120A"/>
    <w:rsid w:val="39034B3A"/>
    <w:rsid w:val="391D218E"/>
    <w:rsid w:val="39D761EF"/>
    <w:rsid w:val="39DB72F7"/>
    <w:rsid w:val="3A342638"/>
    <w:rsid w:val="3A8F3EBA"/>
    <w:rsid w:val="3AB10259"/>
    <w:rsid w:val="3ABA6222"/>
    <w:rsid w:val="3AE4207A"/>
    <w:rsid w:val="3AF64E5C"/>
    <w:rsid w:val="3B301F44"/>
    <w:rsid w:val="3BAE4829"/>
    <w:rsid w:val="3BDF73C5"/>
    <w:rsid w:val="3C7E6224"/>
    <w:rsid w:val="3D902D22"/>
    <w:rsid w:val="3DF4021A"/>
    <w:rsid w:val="3E047963"/>
    <w:rsid w:val="3E8E5BBA"/>
    <w:rsid w:val="3EB86069"/>
    <w:rsid w:val="3ECE69ED"/>
    <w:rsid w:val="3EDC10FF"/>
    <w:rsid w:val="3F0A5E23"/>
    <w:rsid w:val="3F0B5D57"/>
    <w:rsid w:val="3F446ADE"/>
    <w:rsid w:val="3F785608"/>
    <w:rsid w:val="3FA30576"/>
    <w:rsid w:val="3FFEC4E3"/>
    <w:rsid w:val="402734A4"/>
    <w:rsid w:val="405A4873"/>
    <w:rsid w:val="407B3EBF"/>
    <w:rsid w:val="408B7AEC"/>
    <w:rsid w:val="40DF693D"/>
    <w:rsid w:val="40F16A8E"/>
    <w:rsid w:val="412545BE"/>
    <w:rsid w:val="4184340D"/>
    <w:rsid w:val="41E21275"/>
    <w:rsid w:val="428C60A6"/>
    <w:rsid w:val="42D67AEC"/>
    <w:rsid w:val="42F6152E"/>
    <w:rsid w:val="42FF6CFF"/>
    <w:rsid w:val="430F2571"/>
    <w:rsid w:val="43771108"/>
    <w:rsid w:val="438C4E1A"/>
    <w:rsid w:val="44374467"/>
    <w:rsid w:val="4440126D"/>
    <w:rsid w:val="446523D2"/>
    <w:rsid w:val="44952E2D"/>
    <w:rsid w:val="44C956AE"/>
    <w:rsid w:val="44DA0696"/>
    <w:rsid w:val="44E45943"/>
    <w:rsid w:val="4583380E"/>
    <w:rsid w:val="45993146"/>
    <w:rsid w:val="45D97854"/>
    <w:rsid w:val="45EB3538"/>
    <w:rsid w:val="4619382C"/>
    <w:rsid w:val="46440499"/>
    <w:rsid w:val="465F65FE"/>
    <w:rsid w:val="46771AC0"/>
    <w:rsid w:val="47867C8A"/>
    <w:rsid w:val="479B001B"/>
    <w:rsid w:val="47D21CE6"/>
    <w:rsid w:val="48876507"/>
    <w:rsid w:val="4895151C"/>
    <w:rsid w:val="48A14890"/>
    <w:rsid w:val="495628A5"/>
    <w:rsid w:val="4A355BCD"/>
    <w:rsid w:val="4A4C0CEF"/>
    <w:rsid w:val="4A67403B"/>
    <w:rsid w:val="4A6A6784"/>
    <w:rsid w:val="4A734E79"/>
    <w:rsid w:val="4AD27698"/>
    <w:rsid w:val="4AFE6652"/>
    <w:rsid w:val="4B1B114F"/>
    <w:rsid w:val="4B250368"/>
    <w:rsid w:val="4B7F6C9B"/>
    <w:rsid w:val="4BB01238"/>
    <w:rsid w:val="4BF93ABC"/>
    <w:rsid w:val="4C2F1AF1"/>
    <w:rsid w:val="4C3F1A69"/>
    <w:rsid w:val="4C4C7D4D"/>
    <w:rsid w:val="4C692E82"/>
    <w:rsid w:val="4C974380"/>
    <w:rsid w:val="4CA7336B"/>
    <w:rsid w:val="4CDE5874"/>
    <w:rsid w:val="4D001539"/>
    <w:rsid w:val="4D060FF1"/>
    <w:rsid w:val="4D714797"/>
    <w:rsid w:val="4D7809BA"/>
    <w:rsid w:val="4D9F0EEA"/>
    <w:rsid w:val="4E9C1B32"/>
    <w:rsid w:val="4F095D32"/>
    <w:rsid w:val="4F1A4882"/>
    <w:rsid w:val="4F3C4DEC"/>
    <w:rsid w:val="4FFD6F40"/>
    <w:rsid w:val="504900D3"/>
    <w:rsid w:val="516B5FEC"/>
    <w:rsid w:val="52892F5B"/>
    <w:rsid w:val="52F61709"/>
    <w:rsid w:val="530F0207"/>
    <w:rsid w:val="54073585"/>
    <w:rsid w:val="54995B0C"/>
    <w:rsid w:val="54DB7C79"/>
    <w:rsid w:val="54E74E26"/>
    <w:rsid w:val="55580A4D"/>
    <w:rsid w:val="55B45B96"/>
    <w:rsid w:val="55DC1770"/>
    <w:rsid w:val="55EB22AC"/>
    <w:rsid w:val="561133F2"/>
    <w:rsid w:val="56571FFA"/>
    <w:rsid w:val="56A35AD2"/>
    <w:rsid w:val="56A92CC7"/>
    <w:rsid w:val="577C2B01"/>
    <w:rsid w:val="58580AAD"/>
    <w:rsid w:val="58BD10F2"/>
    <w:rsid w:val="58CD33C2"/>
    <w:rsid w:val="596469D4"/>
    <w:rsid w:val="59F26FBD"/>
    <w:rsid w:val="5A435D8A"/>
    <w:rsid w:val="5B7B3FD9"/>
    <w:rsid w:val="5BBC1D09"/>
    <w:rsid w:val="5C34380B"/>
    <w:rsid w:val="5CC52620"/>
    <w:rsid w:val="5CFC6999"/>
    <w:rsid w:val="5E3FDF58"/>
    <w:rsid w:val="5E425939"/>
    <w:rsid w:val="5E841E57"/>
    <w:rsid w:val="5F8A0857"/>
    <w:rsid w:val="5F912AC4"/>
    <w:rsid w:val="5FD14724"/>
    <w:rsid w:val="5FEF8784"/>
    <w:rsid w:val="5FF870D3"/>
    <w:rsid w:val="60700F30"/>
    <w:rsid w:val="607B7DDA"/>
    <w:rsid w:val="609B19AB"/>
    <w:rsid w:val="61A76748"/>
    <w:rsid w:val="62B731FE"/>
    <w:rsid w:val="63023C80"/>
    <w:rsid w:val="632E6FDA"/>
    <w:rsid w:val="636D3AA1"/>
    <w:rsid w:val="64F22548"/>
    <w:rsid w:val="656062CA"/>
    <w:rsid w:val="659106E2"/>
    <w:rsid w:val="65AB236D"/>
    <w:rsid w:val="65B8080F"/>
    <w:rsid w:val="65EC1763"/>
    <w:rsid w:val="66483EC5"/>
    <w:rsid w:val="66704DB4"/>
    <w:rsid w:val="67102453"/>
    <w:rsid w:val="67937D5D"/>
    <w:rsid w:val="68A67F29"/>
    <w:rsid w:val="68C15CCA"/>
    <w:rsid w:val="696939B3"/>
    <w:rsid w:val="697D619C"/>
    <w:rsid w:val="69EE3D79"/>
    <w:rsid w:val="6A0E091D"/>
    <w:rsid w:val="6A3C12E4"/>
    <w:rsid w:val="6ABA50AD"/>
    <w:rsid w:val="6B525C47"/>
    <w:rsid w:val="6B58725B"/>
    <w:rsid w:val="6BA94127"/>
    <w:rsid w:val="6BFE46EA"/>
    <w:rsid w:val="6C7F53F2"/>
    <w:rsid w:val="6C8B20CC"/>
    <w:rsid w:val="6CA74CA3"/>
    <w:rsid w:val="6CFD412D"/>
    <w:rsid w:val="6F480127"/>
    <w:rsid w:val="6FE653D7"/>
    <w:rsid w:val="704217E5"/>
    <w:rsid w:val="70694B7B"/>
    <w:rsid w:val="71106C43"/>
    <w:rsid w:val="71152000"/>
    <w:rsid w:val="71964031"/>
    <w:rsid w:val="721756F7"/>
    <w:rsid w:val="7231680E"/>
    <w:rsid w:val="727355E1"/>
    <w:rsid w:val="72A23850"/>
    <w:rsid w:val="73775DA3"/>
    <w:rsid w:val="73917324"/>
    <w:rsid w:val="753528B6"/>
    <w:rsid w:val="7556B6C1"/>
    <w:rsid w:val="75743AE4"/>
    <w:rsid w:val="75F95225"/>
    <w:rsid w:val="7656661E"/>
    <w:rsid w:val="76DA32A9"/>
    <w:rsid w:val="76E68039"/>
    <w:rsid w:val="76ED37EF"/>
    <w:rsid w:val="76F1414E"/>
    <w:rsid w:val="770F21D1"/>
    <w:rsid w:val="774B7D02"/>
    <w:rsid w:val="77CF85C6"/>
    <w:rsid w:val="77ED98B5"/>
    <w:rsid w:val="78A7019A"/>
    <w:rsid w:val="78C06712"/>
    <w:rsid w:val="78D51252"/>
    <w:rsid w:val="79621333"/>
    <w:rsid w:val="79BA3B0E"/>
    <w:rsid w:val="7A4B62B3"/>
    <w:rsid w:val="7A7237F8"/>
    <w:rsid w:val="7ABB6962"/>
    <w:rsid w:val="7AF4539C"/>
    <w:rsid w:val="7AFE1857"/>
    <w:rsid w:val="7BA6539F"/>
    <w:rsid w:val="7BED92A8"/>
    <w:rsid w:val="7C013D85"/>
    <w:rsid w:val="7C662C4B"/>
    <w:rsid w:val="7DB40A20"/>
    <w:rsid w:val="7E136A50"/>
    <w:rsid w:val="7E49765A"/>
    <w:rsid w:val="7E4C0FEB"/>
    <w:rsid w:val="7E827B25"/>
    <w:rsid w:val="7EBE0C5A"/>
    <w:rsid w:val="7EFB3C47"/>
    <w:rsid w:val="7F850ECB"/>
    <w:rsid w:val="7F8F875D"/>
    <w:rsid w:val="7F9F1736"/>
    <w:rsid w:val="7FD32E51"/>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autoRedefine/>
    <w:qFormat/>
    <w:uiPriority w:val="0"/>
    <w:pPr>
      <w:keepNext/>
      <w:outlineLvl w:val="0"/>
    </w:pPr>
    <w:rPr>
      <w:sz w:val="28"/>
      <w:szCs w:val="24"/>
    </w:rPr>
  </w:style>
  <w:style w:type="paragraph" w:styleId="3">
    <w:name w:val="heading 2"/>
    <w:basedOn w:val="1"/>
    <w:next w:val="1"/>
    <w:link w:val="100"/>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Document Map"/>
    <w:basedOn w:val="1"/>
    <w:link w:val="74"/>
    <w:autoRedefine/>
    <w:qFormat/>
    <w:uiPriority w:val="0"/>
    <w:pPr>
      <w:shd w:val="clear" w:color="auto" w:fill="000080"/>
    </w:pPr>
  </w:style>
  <w:style w:type="paragraph" w:styleId="8">
    <w:name w:val="annotation text"/>
    <w:basedOn w:val="1"/>
    <w:link w:val="68"/>
    <w:autoRedefine/>
    <w:semiHidden/>
    <w:qFormat/>
    <w:uiPriority w:val="99"/>
    <w:pPr>
      <w:jc w:val="left"/>
    </w:pPr>
  </w:style>
  <w:style w:type="paragraph" w:styleId="9">
    <w:name w:val="Body Text 3"/>
    <w:basedOn w:val="1"/>
    <w:link w:val="89"/>
    <w:autoRedefine/>
    <w:unhideWhenUsed/>
    <w:qFormat/>
    <w:uiPriority w:val="99"/>
    <w:pPr>
      <w:spacing w:after="120"/>
    </w:pPr>
    <w:rPr>
      <w:rFonts w:ascii="Calibri" w:hAnsi="Calibri"/>
      <w:sz w:val="16"/>
      <w:szCs w:val="16"/>
      <w:lang w:val="zh-CN"/>
    </w:rPr>
  </w:style>
  <w:style w:type="paragraph" w:styleId="10">
    <w:name w:val="Body Text"/>
    <w:basedOn w:val="1"/>
    <w:link w:val="63"/>
    <w:autoRedefine/>
    <w:qFormat/>
    <w:uiPriority w:val="0"/>
    <w:pPr>
      <w:spacing w:after="120"/>
    </w:pPr>
    <w:rPr>
      <w:szCs w:val="24"/>
    </w:rPr>
  </w:style>
  <w:style w:type="paragraph" w:styleId="11">
    <w:name w:val="Body Text Indent"/>
    <w:basedOn w:val="1"/>
    <w:next w:val="10"/>
    <w:link w:val="52"/>
    <w:autoRedefine/>
    <w:qFormat/>
    <w:uiPriority w:val="0"/>
    <w:pPr>
      <w:ind w:firstLine="540"/>
    </w:pPr>
    <w:rPr>
      <w:rFonts w:eastAsia="仿宋_GB2312"/>
      <w:sz w:val="28"/>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39"/>
    <w:pPr>
      <w:ind w:left="840" w:leftChars="400"/>
    </w:pPr>
  </w:style>
  <w:style w:type="paragraph" w:styleId="14">
    <w:name w:val="Plain Text"/>
    <w:basedOn w:val="1"/>
    <w:link w:val="71"/>
    <w:autoRedefine/>
    <w:qFormat/>
    <w:uiPriority w:val="0"/>
    <w:rPr>
      <w:rFonts w:ascii="宋体" w:hAnsi="Courier New" w:cstheme="minorBidi"/>
      <w:szCs w:val="22"/>
    </w:rPr>
  </w:style>
  <w:style w:type="paragraph" w:styleId="15">
    <w:name w:val="toc 8"/>
    <w:basedOn w:val="1"/>
    <w:next w:val="1"/>
    <w:autoRedefine/>
    <w:qFormat/>
    <w:uiPriority w:val="0"/>
    <w:pPr>
      <w:ind w:left="2940" w:leftChars="1400"/>
    </w:pPr>
  </w:style>
  <w:style w:type="paragraph" w:styleId="16">
    <w:name w:val="Date"/>
    <w:basedOn w:val="1"/>
    <w:next w:val="1"/>
    <w:link w:val="51"/>
    <w:autoRedefine/>
    <w:qFormat/>
    <w:uiPriority w:val="0"/>
    <w:rPr>
      <w:rFonts w:ascii="Arial" w:hAnsi="Arial" w:eastAsia="楷体_GB2312"/>
      <w:sz w:val="28"/>
    </w:rPr>
  </w:style>
  <w:style w:type="paragraph" w:styleId="17">
    <w:name w:val="Body Text Indent 2"/>
    <w:basedOn w:val="1"/>
    <w:link w:val="54"/>
    <w:autoRedefine/>
    <w:qFormat/>
    <w:uiPriority w:val="0"/>
    <w:pPr>
      <w:tabs>
        <w:tab w:val="left" w:pos="720"/>
      </w:tabs>
      <w:ind w:right="-506" w:rightChars="-241" w:firstLine="538" w:firstLineChars="192"/>
    </w:pPr>
    <w:rPr>
      <w:rFonts w:eastAsia="仿宋_GB2312"/>
      <w:sz w:val="28"/>
    </w:rPr>
  </w:style>
  <w:style w:type="paragraph" w:styleId="18">
    <w:name w:val="Balloon Text"/>
    <w:basedOn w:val="1"/>
    <w:link w:val="65"/>
    <w:autoRedefine/>
    <w:qFormat/>
    <w:uiPriority w:val="0"/>
    <w:rPr>
      <w:sz w:val="18"/>
      <w:szCs w:val="18"/>
    </w:rPr>
  </w:style>
  <w:style w:type="paragraph" w:styleId="19">
    <w:name w:val="footer"/>
    <w:basedOn w:val="1"/>
    <w:link w:val="46"/>
    <w:autoRedefine/>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spacing w:line="360" w:lineRule="auto"/>
    </w:pPr>
    <w:rPr>
      <w:rFonts w:ascii="Arial" w:hAnsi="Arial" w:cs="Arial"/>
    </w:rPr>
  </w:style>
  <w:style w:type="paragraph" w:styleId="21">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toc 4"/>
    <w:basedOn w:val="1"/>
    <w:next w:val="1"/>
    <w:autoRedefine/>
    <w:qFormat/>
    <w:uiPriority w:val="0"/>
    <w:pPr>
      <w:ind w:left="1260" w:leftChars="600"/>
    </w:pPr>
  </w:style>
  <w:style w:type="paragraph" w:styleId="24">
    <w:name w:val="toc 6"/>
    <w:basedOn w:val="1"/>
    <w:next w:val="1"/>
    <w:autoRedefine/>
    <w:qFormat/>
    <w:uiPriority w:val="0"/>
    <w:pPr>
      <w:ind w:left="2100" w:leftChars="1000"/>
    </w:pPr>
  </w:style>
  <w:style w:type="paragraph" w:styleId="25">
    <w:name w:val="Body Text Indent 3"/>
    <w:basedOn w:val="1"/>
    <w:link w:val="60"/>
    <w:autoRedefine/>
    <w:qFormat/>
    <w:uiPriority w:val="0"/>
    <w:pPr>
      <w:ind w:left="178" w:leftChars="85" w:firstLine="560" w:firstLineChars="200"/>
    </w:pPr>
    <w:rPr>
      <w:rFonts w:ascii="仿宋_GB2312" w:hAnsi="Arial" w:eastAsia="仿宋_GB2312"/>
      <w:sz w:val="28"/>
      <w:szCs w:val="24"/>
    </w:rPr>
  </w:style>
  <w:style w:type="paragraph" w:styleId="26">
    <w:name w:val="toc 2"/>
    <w:basedOn w:val="1"/>
    <w:next w:val="1"/>
    <w:autoRedefine/>
    <w:qFormat/>
    <w:uiPriority w:val="39"/>
    <w:pPr>
      <w:ind w:left="420" w:leftChars="200"/>
    </w:pPr>
  </w:style>
  <w:style w:type="paragraph" w:styleId="27">
    <w:name w:val="toc 9"/>
    <w:basedOn w:val="1"/>
    <w:next w:val="1"/>
    <w:autoRedefine/>
    <w:qFormat/>
    <w:uiPriority w:val="0"/>
    <w:pPr>
      <w:ind w:left="3360" w:leftChars="1600"/>
    </w:pPr>
  </w:style>
  <w:style w:type="paragraph" w:styleId="28">
    <w:name w:val="Body Text 2"/>
    <w:basedOn w:val="1"/>
    <w:qFormat/>
    <w:uiPriority w:val="0"/>
    <w:pPr>
      <w:spacing w:after="120" w:line="480" w:lineRule="auto"/>
    </w:pPr>
  </w:style>
  <w:style w:type="paragraph" w:styleId="2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unhideWhenUsed/>
    <w:qFormat/>
    <w:uiPriority w:val="99"/>
    <w:pPr>
      <w:jc w:val="left"/>
    </w:pPr>
    <w:rPr>
      <w:kern w:val="0"/>
      <w:sz w:val="24"/>
    </w:rPr>
  </w:style>
  <w:style w:type="paragraph" w:styleId="31">
    <w:name w:val="index 1"/>
    <w:basedOn w:val="1"/>
    <w:next w:val="1"/>
    <w:autoRedefine/>
    <w:semiHidden/>
    <w:qFormat/>
    <w:uiPriority w:val="0"/>
    <w:pPr>
      <w:jc w:val="center"/>
    </w:pPr>
    <w:rPr>
      <w:rFonts w:ascii="仿宋_GB2312" w:eastAsia="仿宋_GB2312"/>
      <w:b/>
      <w:bCs/>
      <w:sz w:val="28"/>
    </w:rPr>
  </w:style>
  <w:style w:type="paragraph" w:styleId="32">
    <w:name w:val="annotation subject"/>
    <w:basedOn w:val="8"/>
    <w:next w:val="8"/>
    <w:link w:val="69"/>
    <w:autoRedefine/>
    <w:semiHidden/>
    <w:qFormat/>
    <w:uiPriority w:val="99"/>
    <w:rPr>
      <w:b/>
      <w:bCs/>
    </w:rPr>
  </w:style>
  <w:style w:type="paragraph" w:styleId="33">
    <w:name w:val="Body Text First Indent"/>
    <w:basedOn w:val="10"/>
    <w:autoRedefine/>
    <w:unhideWhenUsed/>
    <w:qFormat/>
    <w:uiPriority w:val="99"/>
    <w:pPr>
      <w:spacing w:line="400" w:lineRule="atLeast"/>
      <w:ind w:firstLine="426"/>
    </w:pPr>
    <w:rPr>
      <w:sz w:val="24"/>
      <w:szCs w:val="20"/>
    </w:rPr>
  </w:style>
  <w:style w:type="paragraph" w:styleId="34">
    <w:name w:val="Body Text First Indent 2"/>
    <w:basedOn w:val="11"/>
    <w:next w:val="1"/>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Hyperlink"/>
    <w:basedOn w:val="37"/>
    <w:autoRedefine/>
    <w:qFormat/>
    <w:uiPriority w:val="99"/>
    <w:rPr>
      <w:color w:val="333333"/>
      <w:u w:val="none"/>
    </w:rPr>
  </w:style>
  <w:style w:type="character" w:styleId="42">
    <w:name w:val="annotation reference"/>
    <w:autoRedefine/>
    <w:semiHidden/>
    <w:qFormat/>
    <w:uiPriority w:val="99"/>
    <w:rPr>
      <w:sz w:val="21"/>
      <w:szCs w:val="21"/>
    </w:rPr>
  </w:style>
  <w:style w:type="paragraph" w:customStyle="1" w:styleId="43">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44">
    <w:name w:val="目录 71"/>
    <w:basedOn w:val="1"/>
    <w:next w:val="1"/>
    <w:autoRedefine/>
    <w:qFormat/>
    <w:uiPriority w:val="0"/>
    <w:pPr>
      <w:ind w:left="2520"/>
    </w:pPr>
    <w:rPr>
      <w:rFonts w:ascii="Calibri"/>
    </w:rPr>
  </w:style>
  <w:style w:type="character" w:customStyle="1" w:styleId="45">
    <w:name w:val="页眉 Char"/>
    <w:basedOn w:val="37"/>
    <w:link w:val="21"/>
    <w:autoRedefine/>
    <w:qFormat/>
    <w:uiPriority w:val="0"/>
    <w:rPr>
      <w:sz w:val="18"/>
      <w:szCs w:val="18"/>
    </w:rPr>
  </w:style>
  <w:style w:type="character" w:customStyle="1" w:styleId="46">
    <w:name w:val="页脚 Char"/>
    <w:basedOn w:val="37"/>
    <w:link w:val="19"/>
    <w:autoRedefine/>
    <w:qFormat/>
    <w:uiPriority w:val="99"/>
    <w:rPr>
      <w:sz w:val="18"/>
      <w:szCs w:val="18"/>
    </w:rPr>
  </w:style>
  <w:style w:type="character" w:customStyle="1" w:styleId="47">
    <w:name w:val="标题 1 Char"/>
    <w:basedOn w:val="37"/>
    <w:link w:val="2"/>
    <w:autoRedefine/>
    <w:qFormat/>
    <w:uiPriority w:val="0"/>
    <w:rPr>
      <w:rFonts w:ascii="Times New Roman" w:hAnsi="Times New Roman" w:eastAsia="宋体" w:cs="Times New Roman"/>
      <w:sz w:val="28"/>
      <w:szCs w:val="24"/>
    </w:rPr>
  </w:style>
  <w:style w:type="character" w:customStyle="1" w:styleId="48">
    <w:name w:val="标题 2 Char"/>
    <w:basedOn w:val="37"/>
    <w:link w:val="3"/>
    <w:autoRedefine/>
    <w:qFormat/>
    <w:uiPriority w:val="0"/>
    <w:rPr>
      <w:rFonts w:ascii="Arial" w:hAnsi="Arial" w:eastAsia="黑体" w:cs="Times New Roman"/>
      <w:b/>
      <w:kern w:val="0"/>
      <w:sz w:val="32"/>
      <w:szCs w:val="20"/>
    </w:rPr>
  </w:style>
  <w:style w:type="character" w:customStyle="1" w:styleId="49">
    <w:name w:val="标题 3 Char"/>
    <w:basedOn w:val="37"/>
    <w:link w:val="4"/>
    <w:autoRedefine/>
    <w:qFormat/>
    <w:uiPriority w:val="0"/>
    <w:rPr>
      <w:rFonts w:ascii="Times New Roman" w:hAnsi="Times New Roman" w:eastAsia="宋体" w:cs="Times New Roman"/>
      <w:b/>
      <w:bCs/>
      <w:sz w:val="32"/>
      <w:szCs w:val="32"/>
      <w:lang w:val="zh-CN" w:eastAsia="zh-CN"/>
    </w:rPr>
  </w:style>
  <w:style w:type="character" w:customStyle="1" w:styleId="50">
    <w:name w:val="标题 4 Char"/>
    <w:basedOn w:val="37"/>
    <w:link w:val="5"/>
    <w:autoRedefine/>
    <w:qFormat/>
    <w:uiPriority w:val="0"/>
    <w:rPr>
      <w:rFonts w:ascii="Arial" w:hAnsi="Arial" w:eastAsia="黑体" w:cs="Times New Roman"/>
      <w:b/>
      <w:kern w:val="0"/>
      <w:sz w:val="28"/>
      <w:szCs w:val="20"/>
    </w:rPr>
  </w:style>
  <w:style w:type="character" w:customStyle="1" w:styleId="51">
    <w:name w:val="日期 Char"/>
    <w:basedOn w:val="37"/>
    <w:link w:val="16"/>
    <w:autoRedefine/>
    <w:qFormat/>
    <w:uiPriority w:val="0"/>
    <w:rPr>
      <w:rFonts w:ascii="Arial" w:hAnsi="Arial" w:eastAsia="楷体_GB2312" w:cs="Times New Roman"/>
      <w:sz w:val="28"/>
      <w:szCs w:val="20"/>
    </w:rPr>
  </w:style>
  <w:style w:type="character" w:customStyle="1" w:styleId="52">
    <w:name w:val="正文文本缩进 Char"/>
    <w:basedOn w:val="37"/>
    <w:link w:val="11"/>
    <w:autoRedefine/>
    <w:qFormat/>
    <w:uiPriority w:val="0"/>
    <w:rPr>
      <w:rFonts w:ascii="Times New Roman" w:hAnsi="Times New Roman" w:eastAsia="仿宋_GB2312" w:cs="Times New Roman"/>
      <w:sz w:val="28"/>
      <w:szCs w:val="20"/>
    </w:rPr>
  </w:style>
  <w:style w:type="paragraph" w:customStyle="1" w:styleId="5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7"/>
    <w:link w:val="17"/>
    <w:autoRedefine/>
    <w:qFormat/>
    <w:uiPriority w:val="0"/>
    <w:rPr>
      <w:rFonts w:ascii="Times New Roman" w:hAnsi="Times New Roman" w:eastAsia="仿宋_GB2312" w:cs="Times New Roman"/>
      <w:sz w:val="28"/>
      <w:szCs w:val="20"/>
    </w:rPr>
  </w:style>
  <w:style w:type="paragraph" w:customStyle="1" w:styleId="5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8">
    <w:name w:val="Char Char Char Char Char"/>
    <w:basedOn w:val="1"/>
    <w:autoRedefine/>
    <w:qFormat/>
    <w:uiPriority w:val="0"/>
    <w:rPr>
      <w:rFonts w:ascii="Tahoma" w:hAnsi="Tahoma"/>
      <w:sz w:val="24"/>
    </w:rPr>
  </w:style>
  <w:style w:type="paragraph" w:customStyle="1" w:styleId="59">
    <w:name w:val="Char"/>
    <w:basedOn w:val="1"/>
    <w:autoRedefine/>
    <w:qFormat/>
    <w:uiPriority w:val="0"/>
    <w:rPr>
      <w:rFonts w:ascii="Tahoma" w:hAnsi="Tahoma"/>
      <w:sz w:val="24"/>
    </w:rPr>
  </w:style>
  <w:style w:type="character" w:customStyle="1" w:styleId="60">
    <w:name w:val="正文文本缩进 3 Char"/>
    <w:basedOn w:val="37"/>
    <w:link w:val="25"/>
    <w:autoRedefine/>
    <w:qFormat/>
    <w:uiPriority w:val="0"/>
    <w:rPr>
      <w:rFonts w:ascii="仿宋_GB2312" w:hAnsi="Arial" w:eastAsia="仿宋_GB2312" w:cs="Times New Roman"/>
      <w:sz w:val="28"/>
      <w:szCs w:val="24"/>
    </w:rPr>
  </w:style>
  <w:style w:type="paragraph" w:customStyle="1" w:styleId="61">
    <w:name w:val="Char1"/>
    <w:basedOn w:val="1"/>
    <w:autoRedefine/>
    <w:qFormat/>
    <w:uiPriority w:val="0"/>
    <w:rPr>
      <w:rFonts w:ascii="Tahoma" w:hAnsi="Tahoma" w:eastAsia="仿宋_GB2312"/>
      <w:sz w:val="24"/>
    </w:rPr>
  </w:style>
  <w:style w:type="paragraph" w:customStyle="1" w:styleId="62">
    <w:name w:val="Char Char Char Char Char Char Char1 Char"/>
    <w:basedOn w:val="1"/>
    <w:autoRedefine/>
    <w:qFormat/>
    <w:uiPriority w:val="0"/>
    <w:rPr>
      <w:rFonts w:ascii="Tahoma" w:hAnsi="Tahoma"/>
      <w:sz w:val="24"/>
    </w:rPr>
  </w:style>
  <w:style w:type="character" w:customStyle="1" w:styleId="63">
    <w:name w:val="正文文本 Char"/>
    <w:basedOn w:val="37"/>
    <w:link w:val="10"/>
    <w:autoRedefine/>
    <w:qFormat/>
    <w:uiPriority w:val="0"/>
    <w:rPr>
      <w:rFonts w:ascii="Times New Roman" w:hAnsi="Times New Roman" w:eastAsia="宋体" w:cs="Times New Roman"/>
      <w:szCs w:val="24"/>
    </w:rPr>
  </w:style>
  <w:style w:type="paragraph" w:customStyle="1" w:styleId="64">
    <w:name w:val="Char Char Char Char"/>
    <w:basedOn w:val="1"/>
    <w:next w:val="1"/>
    <w:autoRedefine/>
    <w:qFormat/>
    <w:uiPriority w:val="0"/>
    <w:pPr>
      <w:widowControl/>
      <w:spacing w:line="360" w:lineRule="auto"/>
      <w:jc w:val="left"/>
    </w:pPr>
  </w:style>
  <w:style w:type="character" w:customStyle="1" w:styleId="65">
    <w:name w:val="批注框文本 Char"/>
    <w:basedOn w:val="37"/>
    <w:link w:val="18"/>
    <w:autoRedefine/>
    <w:qFormat/>
    <w:uiPriority w:val="0"/>
    <w:rPr>
      <w:rFonts w:ascii="Times New Roman" w:hAnsi="Times New Roman" w:eastAsia="宋体" w:cs="Times New Roman"/>
      <w:sz w:val="18"/>
      <w:szCs w:val="18"/>
    </w:rPr>
  </w:style>
  <w:style w:type="paragraph" w:customStyle="1" w:styleId="66">
    <w:name w:val="Char Char Char"/>
    <w:basedOn w:val="1"/>
    <w:autoRedefine/>
    <w:qFormat/>
    <w:uiPriority w:val="0"/>
    <w:rPr>
      <w:rFonts w:ascii="Tahoma" w:hAnsi="Tahoma"/>
      <w:sz w:val="24"/>
    </w:rPr>
  </w:style>
  <w:style w:type="paragraph" w:customStyle="1" w:styleId="67">
    <w:name w:val="Char Char Char Char Char Char Char Char Char Char"/>
    <w:basedOn w:val="1"/>
    <w:autoRedefine/>
    <w:qFormat/>
    <w:uiPriority w:val="0"/>
    <w:rPr>
      <w:rFonts w:ascii="Tahoma" w:hAnsi="Tahoma" w:cs="仿宋_GB2312"/>
      <w:sz w:val="24"/>
    </w:rPr>
  </w:style>
  <w:style w:type="character" w:customStyle="1" w:styleId="68">
    <w:name w:val="批注文字 Char"/>
    <w:basedOn w:val="37"/>
    <w:link w:val="8"/>
    <w:autoRedefine/>
    <w:semiHidden/>
    <w:qFormat/>
    <w:uiPriority w:val="99"/>
    <w:rPr>
      <w:rFonts w:ascii="Times New Roman" w:hAnsi="Times New Roman" w:eastAsia="宋体" w:cs="Times New Roman"/>
      <w:szCs w:val="20"/>
    </w:rPr>
  </w:style>
  <w:style w:type="character" w:customStyle="1" w:styleId="69">
    <w:name w:val="批注主题 Char"/>
    <w:basedOn w:val="68"/>
    <w:link w:val="32"/>
    <w:autoRedefine/>
    <w:semiHidden/>
    <w:qFormat/>
    <w:uiPriority w:val="99"/>
    <w:rPr>
      <w:rFonts w:ascii="Times New Roman" w:hAnsi="Times New Roman" w:eastAsia="宋体" w:cs="Times New Roman"/>
      <w:b/>
      <w:bCs/>
      <w:szCs w:val="20"/>
    </w:rPr>
  </w:style>
  <w:style w:type="paragraph" w:customStyle="1" w:styleId="70">
    <w:name w:val="Char Char Char Char Char Char"/>
    <w:basedOn w:val="1"/>
    <w:autoRedefine/>
    <w:qFormat/>
    <w:uiPriority w:val="0"/>
  </w:style>
  <w:style w:type="character" w:customStyle="1" w:styleId="71">
    <w:name w:val="纯文本 Char"/>
    <w:link w:val="14"/>
    <w:autoRedefine/>
    <w:qFormat/>
    <w:uiPriority w:val="0"/>
    <w:rPr>
      <w:rFonts w:ascii="宋体" w:hAnsi="Courier New" w:eastAsia="宋体"/>
    </w:rPr>
  </w:style>
  <w:style w:type="character" w:customStyle="1" w:styleId="72">
    <w:name w:val="纯文本 Char1"/>
    <w:basedOn w:val="37"/>
    <w:autoRedefine/>
    <w:semiHidden/>
    <w:qFormat/>
    <w:uiPriority w:val="99"/>
    <w:rPr>
      <w:rFonts w:ascii="宋体" w:hAnsi="Courier New" w:eastAsia="宋体" w:cs="Courier New"/>
      <w:szCs w:val="21"/>
    </w:rPr>
  </w:style>
  <w:style w:type="paragraph" w:customStyle="1" w:styleId="73">
    <w:name w:val="Char12 Char Char Char"/>
    <w:basedOn w:val="1"/>
    <w:autoRedefine/>
    <w:qFormat/>
    <w:uiPriority w:val="0"/>
  </w:style>
  <w:style w:type="character" w:customStyle="1" w:styleId="74">
    <w:name w:val="文档结构图 Char"/>
    <w:basedOn w:val="37"/>
    <w:link w:val="7"/>
    <w:autoRedefine/>
    <w:qFormat/>
    <w:uiPriority w:val="0"/>
    <w:rPr>
      <w:rFonts w:ascii="Times New Roman" w:hAnsi="Times New Roman" w:eastAsia="宋体" w:cs="Times New Roman"/>
      <w:szCs w:val="20"/>
      <w:shd w:val="clear" w:color="auto" w:fill="000080"/>
    </w:rPr>
  </w:style>
  <w:style w:type="character" w:customStyle="1" w:styleId="75">
    <w:name w:val="style29"/>
    <w:autoRedefine/>
    <w:qFormat/>
    <w:uiPriority w:val="0"/>
  </w:style>
  <w:style w:type="character" w:customStyle="1" w:styleId="76">
    <w:name w:val="正文1"/>
    <w:autoRedefine/>
    <w:qFormat/>
    <w:uiPriority w:val="0"/>
  </w:style>
  <w:style w:type="character" w:customStyle="1" w:styleId="77">
    <w:name w:val="font11"/>
    <w:autoRedefine/>
    <w:qFormat/>
    <w:uiPriority w:val="0"/>
    <w:rPr>
      <w:rFonts w:hint="default" w:ascii="Times New Roman" w:hAnsi="Times New Roman" w:cs="Times New Roman"/>
      <w:color w:val="3366FF"/>
      <w:sz w:val="24"/>
      <w:szCs w:val="24"/>
      <w:u w:val="none"/>
    </w:rPr>
  </w:style>
  <w:style w:type="character" w:customStyle="1" w:styleId="78">
    <w:name w:val="font21"/>
    <w:autoRedefine/>
    <w:qFormat/>
    <w:uiPriority w:val="0"/>
    <w:rPr>
      <w:rFonts w:hint="eastAsia" w:ascii="宋体" w:hAnsi="宋体" w:eastAsia="宋体"/>
      <w:color w:val="3366FF"/>
      <w:sz w:val="24"/>
      <w:szCs w:val="24"/>
      <w:u w:val="none"/>
    </w:rPr>
  </w:style>
  <w:style w:type="paragraph" w:customStyle="1" w:styleId="79">
    <w:name w:val="Char Char15"/>
    <w:basedOn w:val="1"/>
    <w:autoRedefine/>
    <w:qFormat/>
    <w:uiPriority w:val="0"/>
    <w:rPr>
      <w:rFonts w:ascii="Tahoma" w:hAnsi="Tahoma" w:eastAsia="仿宋_GB2312"/>
      <w:sz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Char2"/>
    <w:basedOn w:val="1"/>
    <w:autoRedefine/>
    <w:qFormat/>
    <w:uiPriority w:val="0"/>
    <w:pPr>
      <w:tabs>
        <w:tab w:val="left" w:pos="360"/>
      </w:tabs>
    </w:pPr>
    <w:rPr>
      <w:sz w:val="24"/>
      <w:szCs w:val="24"/>
    </w:rPr>
  </w:style>
  <w:style w:type="paragraph" w:customStyle="1" w:styleId="82">
    <w:name w:val="Char16"/>
    <w:basedOn w:val="1"/>
    <w:autoRedefine/>
    <w:qFormat/>
    <w:uiPriority w:val="0"/>
    <w:rPr>
      <w:rFonts w:ascii="Tahoma" w:hAnsi="Tahoma" w:eastAsia="仿宋_GB2312"/>
      <w:sz w:val="24"/>
    </w:rPr>
  </w:style>
  <w:style w:type="paragraph" w:customStyle="1" w:styleId="83">
    <w:name w:val="Char Char1"/>
    <w:basedOn w:val="1"/>
    <w:autoRedefine/>
    <w:qFormat/>
    <w:uiPriority w:val="0"/>
    <w:rPr>
      <w:rFonts w:ascii="Tahoma" w:hAnsi="Tahoma"/>
      <w:sz w:val="24"/>
    </w:rPr>
  </w:style>
  <w:style w:type="paragraph" w:customStyle="1" w:styleId="84">
    <w:name w:val="Char Char Char Char Char Char Char"/>
    <w:basedOn w:val="1"/>
    <w:autoRedefine/>
    <w:qFormat/>
    <w:uiPriority w:val="0"/>
    <w:rPr>
      <w:szCs w:val="24"/>
    </w:rPr>
  </w:style>
  <w:style w:type="paragraph" w:customStyle="1" w:styleId="85">
    <w:name w:val="Char Char"/>
    <w:basedOn w:val="1"/>
    <w:autoRedefine/>
    <w:qFormat/>
    <w:uiPriority w:val="0"/>
    <w:rPr>
      <w:rFonts w:ascii="Tahoma" w:hAnsi="Tahoma" w:cs="仿宋_GB2312"/>
      <w:sz w:val="24"/>
    </w:rPr>
  </w:style>
  <w:style w:type="paragraph" w:customStyle="1" w:styleId="86">
    <w:name w:val="Char Char2"/>
    <w:basedOn w:val="1"/>
    <w:autoRedefine/>
    <w:qFormat/>
    <w:uiPriority w:val="0"/>
    <w:rPr>
      <w:rFonts w:ascii="Tahoma" w:hAnsi="Tahoma" w:cs="仿宋_GB2312"/>
      <w:sz w:val="24"/>
    </w:rPr>
  </w:style>
  <w:style w:type="paragraph" w:customStyle="1" w:styleId="87">
    <w:name w:val="Char Char Char1"/>
    <w:basedOn w:val="1"/>
    <w:autoRedefine/>
    <w:qFormat/>
    <w:uiPriority w:val="0"/>
    <w:rPr>
      <w:rFonts w:ascii="Tahoma" w:hAnsi="Tahoma"/>
      <w:sz w:val="24"/>
    </w:rPr>
  </w:style>
  <w:style w:type="paragraph" w:customStyle="1" w:styleId="88">
    <w:name w:val="D&amp;L"/>
    <w:basedOn w:val="21"/>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7"/>
    <w:link w:val="9"/>
    <w:autoRedefine/>
    <w:qFormat/>
    <w:uiPriority w:val="99"/>
    <w:rPr>
      <w:rFonts w:ascii="Calibri" w:hAnsi="Calibri" w:eastAsia="宋体" w:cs="Times New Roman"/>
      <w:sz w:val="16"/>
      <w:szCs w:val="16"/>
      <w:lang w:val="zh-CN" w:eastAsia="zh-CN"/>
    </w:rPr>
  </w:style>
  <w:style w:type="paragraph" w:customStyle="1" w:styleId="9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autoRedefine/>
    <w:qFormat/>
    <w:uiPriority w:val="0"/>
    <w:rPr>
      <w:rFonts w:ascii="Times New Roman" w:hAnsi="Times New Roman" w:eastAsia="宋体"/>
    </w:rPr>
  </w:style>
  <w:style w:type="paragraph" w:customStyle="1" w:styleId="93">
    <w:name w:val="p0"/>
    <w:basedOn w:val="1"/>
    <w:autoRedefine/>
    <w:qFormat/>
    <w:uiPriority w:val="0"/>
    <w:pPr>
      <w:widowControl/>
      <w:jc w:val="left"/>
    </w:pPr>
    <w:rPr>
      <w:rFonts w:ascii="等线" w:hAnsi="等线" w:eastAsia="等线" w:cs="等线"/>
      <w:kern w:val="0"/>
      <w:sz w:val="20"/>
      <w:szCs w:val="22"/>
    </w:rPr>
  </w:style>
  <w:style w:type="paragraph" w:customStyle="1" w:styleId="94">
    <w:name w:val="列表段落1"/>
    <w:basedOn w:val="1"/>
    <w:autoRedefine/>
    <w:qFormat/>
    <w:uiPriority w:val="34"/>
    <w:pPr>
      <w:ind w:firstLine="420" w:firstLineChars="200"/>
    </w:pPr>
    <w:rPr>
      <w:szCs w:val="24"/>
    </w:rPr>
  </w:style>
  <w:style w:type="paragraph" w:customStyle="1" w:styleId="9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6">
    <w:name w:val="List Paragraph"/>
    <w:basedOn w:val="1"/>
    <w:autoRedefine/>
    <w:qFormat/>
    <w:uiPriority w:val="99"/>
    <w:pPr>
      <w:ind w:firstLine="420" w:firstLineChars="200"/>
    </w:pPr>
  </w:style>
  <w:style w:type="table" w:customStyle="1" w:styleId="97">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8">
    <w:name w:val="Table Text"/>
    <w:basedOn w:val="1"/>
    <w:autoRedefine/>
    <w:semiHidden/>
    <w:qFormat/>
    <w:uiPriority w:val="0"/>
    <w:rPr>
      <w:rFonts w:ascii="仿宋" w:hAnsi="仿宋" w:eastAsia="仿宋" w:cs="仿宋"/>
      <w:sz w:val="22"/>
      <w:szCs w:val="22"/>
      <w:lang w:val="en-US" w:eastAsia="en-US" w:bidi="ar-SA"/>
    </w:rPr>
  </w:style>
  <w:style w:type="paragraph" w:customStyle="1" w:styleId="99">
    <w:name w:val="Table Paragraph"/>
    <w:basedOn w:val="1"/>
    <w:qFormat/>
    <w:uiPriority w:val="99"/>
    <w:pPr>
      <w:jc w:val="left"/>
    </w:pPr>
    <w:rPr>
      <w:rFonts w:ascii="宋体" w:hAnsi="宋体" w:cs="宋体"/>
      <w:kern w:val="0"/>
      <w:sz w:val="22"/>
      <w:szCs w:val="22"/>
      <w:lang w:eastAsia="en-US"/>
    </w:rPr>
  </w:style>
  <w:style w:type="character" w:customStyle="1" w:styleId="100">
    <w:name w:val="标题 2 字符"/>
    <w:link w:val="3"/>
    <w:autoRedefine/>
    <w:qFormat/>
    <w:uiPriority w:val="0"/>
    <w:rPr>
      <w:rFonts w:ascii="Arial" w:hAnsi="Arial" w:eastAsia="黑体"/>
      <w:b/>
      <w:bCs/>
      <w:sz w:val="32"/>
      <w:szCs w:val="32"/>
    </w:rPr>
  </w:style>
  <w:style w:type="paragraph" w:customStyle="1" w:styleId="101">
    <w:name w:val="样式 标题 2 + 段前: 1 行 段后: 1 行"/>
    <w:basedOn w:val="3"/>
    <w:qFormat/>
    <w:uiPriority w:val="0"/>
    <w:pPr>
      <w:spacing w:before="0" w:beforeLines="0" w:after="0" w:afterLines="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11044</Words>
  <Characters>11818</Characters>
  <Lines>173</Lines>
  <Paragraphs>48</Paragraphs>
  <TotalTime>29</TotalTime>
  <ScaleCrop>false</ScaleCrop>
  <LinksUpToDate>false</LinksUpToDate>
  <CharactersWithSpaces>12792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Administrator</cp:lastModifiedBy>
  <cp:lastPrinted>2023-10-28T03:27:00Z</cp:lastPrinted>
  <dcterms:modified xsi:type="dcterms:W3CDTF">2025-07-09T00:26:12Z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614EA318FE8640D6A2964C546A2BE3E3_13</vt:lpwstr>
  </property>
  <property fmtid="{D5CDD505-2E9C-101B-9397-08002B2CF9AE}" pid="4" name="KSOTemplateDocerSaveRecord">
    <vt:lpwstr>eyJoZGlkIjoiNWUwMWI5YmJmY2Y0NTYxYzI5ODYzNmM5YTg1ZWMyYWIiLCJ1c2VySWQiOiI0MzgwMjU5ODMifQ==</vt:lpwstr>
  </property>
</Properties>
</file>