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8064">
      <w:pPr>
        <w:jc w:val="center"/>
        <w:rPr>
          <w:rFonts w:ascii="宋体" w:hAnsi="宋体"/>
          <w:b/>
          <w:sz w:val="22"/>
          <w:szCs w:val="22"/>
        </w:rPr>
      </w:pPr>
    </w:p>
    <w:p w14:paraId="2F3349CD">
      <w:pPr>
        <w:jc w:val="center"/>
        <w:rPr>
          <w:rFonts w:hint="eastAsia" w:ascii="华文中宋" w:hAnsi="华文中宋" w:eastAsia="华文中宋" w:cs="华文中宋"/>
          <w:b w:val="0"/>
          <w:bCs/>
          <w:kern w:val="0"/>
          <w:sz w:val="48"/>
          <w:szCs w:val="48"/>
          <w:lang w:val="en-US" w:eastAsia="zh-CN" w:bidi="ar-SA"/>
        </w:rPr>
      </w:pPr>
      <w:r>
        <w:rPr>
          <w:rFonts w:hint="eastAsia" w:ascii="华文中宋" w:hAnsi="华文中宋" w:eastAsia="华文中宋" w:cs="华文中宋"/>
          <w:b w:val="0"/>
          <w:bCs/>
          <w:kern w:val="0"/>
          <w:sz w:val="48"/>
          <w:szCs w:val="48"/>
          <w:lang w:val="en-US" w:eastAsia="zh-CN" w:bidi="ar-SA"/>
        </w:rPr>
        <w:t>落儿岭村地灾点勘查设计项目</w:t>
      </w:r>
    </w:p>
    <w:p w14:paraId="01FA2D36">
      <w:pPr>
        <w:jc w:val="center"/>
        <w:rPr>
          <w:rFonts w:ascii="宋体" w:hAnsi="宋体"/>
          <w:b/>
          <w:sz w:val="32"/>
          <w:szCs w:val="32"/>
        </w:rPr>
      </w:pPr>
    </w:p>
    <w:p w14:paraId="0922A9EA">
      <w:pPr>
        <w:jc w:val="center"/>
        <w:rPr>
          <w:rFonts w:ascii="宋体" w:hAnsi="宋体"/>
          <w:b/>
          <w:sz w:val="32"/>
          <w:szCs w:val="32"/>
        </w:rPr>
      </w:pPr>
    </w:p>
    <w:p w14:paraId="2D777AF6">
      <w:pPr>
        <w:spacing w:line="720" w:lineRule="auto"/>
        <w:jc w:val="center"/>
        <w:rPr>
          <w:rFonts w:ascii="宋体" w:hAnsi="宋体"/>
          <w:b/>
          <w:sz w:val="48"/>
          <w:szCs w:val="48"/>
        </w:rPr>
      </w:pPr>
      <w:r>
        <w:rPr>
          <w:rFonts w:hint="eastAsia" w:ascii="宋体" w:hAnsi="宋体"/>
          <w:b/>
          <w:sz w:val="48"/>
          <w:szCs w:val="48"/>
        </w:rPr>
        <w:t>竞</w:t>
      </w:r>
    </w:p>
    <w:p w14:paraId="5A67E244">
      <w:pPr>
        <w:spacing w:line="720" w:lineRule="auto"/>
        <w:jc w:val="center"/>
        <w:rPr>
          <w:rFonts w:ascii="宋体" w:hAnsi="宋体"/>
          <w:b/>
          <w:sz w:val="48"/>
          <w:szCs w:val="48"/>
        </w:rPr>
      </w:pPr>
      <w:r>
        <w:rPr>
          <w:rFonts w:hint="eastAsia" w:ascii="宋体" w:hAnsi="宋体"/>
          <w:b/>
          <w:sz w:val="48"/>
          <w:szCs w:val="48"/>
        </w:rPr>
        <w:t>争</w:t>
      </w:r>
    </w:p>
    <w:p w14:paraId="73D1F6DA">
      <w:pPr>
        <w:spacing w:line="720" w:lineRule="auto"/>
        <w:jc w:val="center"/>
        <w:rPr>
          <w:rFonts w:ascii="宋体" w:hAnsi="宋体"/>
          <w:b/>
          <w:sz w:val="48"/>
          <w:szCs w:val="48"/>
        </w:rPr>
      </w:pPr>
      <w:r>
        <w:rPr>
          <w:rFonts w:hint="eastAsia" w:ascii="宋体" w:hAnsi="宋体"/>
          <w:b/>
          <w:sz w:val="48"/>
          <w:szCs w:val="48"/>
        </w:rPr>
        <w:t>性</w:t>
      </w:r>
    </w:p>
    <w:p w14:paraId="0ABD259A">
      <w:pPr>
        <w:spacing w:line="720" w:lineRule="auto"/>
        <w:jc w:val="center"/>
        <w:rPr>
          <w:rFonts w:ascii="宋体" w:hAnsi="宋体"/>
          <w:b/>
          <w:sz w:val="48"/>
          <w:szCs w:val="48"/>
        </w:rPr>
      </w:pPr>
      <w:r>
        <w:rPr>
          <w:rFonts w:hint="eastAsia" w:ascii="宋体" w:hAnsi="宋体"/>
          <w:b/>
          <w:sz w:val="48"/>
          <w:szCs w:val="48"/>
        </w:rPr>
        <w:t>谈</w:t>
      </w:r>
    </w:p>
    <w:p w14:paraId="244171C8">
      <w:pPr>
        <w:spacing w:line="720" w:lineRule="auto"/>
        <w:jc w:val="center"/>
        <w:rPr>
          <w:sz w:val="20"/>
          <w:szCs w:val="18"/>
        </w:rPr>
      </w:pPr>
      <w:r>
        <w:rPr>
          <w:rFonts w:hint="eastAsia" w:ascii="宋体" w:hAnsi="宋体"/>
          <w:b/>
          <w:sz w:val="48"/>
          <w:szCs w:val="48"/>
        </w:rPr>
        <w:t>判</w:t>
      </w:r>
    </w:p>
    <w:p w14:paraId="31222647">
      <w:pPr>
        <w:spacing w:line="720" w:lineRule="auto"/>
        <w:jc w:val="center"/>
        <w:rPr>
          <w:rFonts w:ascii="宋体" w:hAnsi="宋体"/>
          <w:b/>
          <w:sz w:val="48"/>
          <w:szCs w:val="48"/>
        </w:rPr>
      </w:pPr>
      <w:r>
        <w:rPr>
          <w:rFonts w:hint="eastAsia" w:ascii="宋体" w:hAnsi="宋体"/>
          <w:b/>
          <w:sz w:val="48"/>
          <w:szCs w:val="48"/>
        </w:rPr>
        <w:t>文</w:t>
      </w:r>
    </w:p>
    <w:p w14:paraId="2D41F3D3">
      <w:pPr>
        <w:spacing w:line="720" w:lineRule="auto"/>
        <w:jc w:val="center"/>
        <w:rPr>
          <w:rFonts w:ascii="宋体" w:hAnsi="宋体"/>
          <w:b/>
          <w:sz w:val="52"/>
          <w:szCs w:val="52"/>
        </w:rPr>
      </w:pPr>
      <w:r>
        <w:rPr>
          <w:rFonts w:hint="eastAsia" w:ascii="宋体" w:hAnsi="宋体"/>
          <w:b/>
          <w:sz w:val="48"/>
          <w:szCs w:val="48"/>
        </w:rPr>
        <w:t>件</w:t>
      </w:r>
    </w:p>
    <w:p w14:paraId="7F5B6E4D">
      <w:pPr>
        <w:pStyle w:val="34"/>
        <w:ind w:left="0" w:leftChars="0" w:firstLine="0" w:firstLineChars="0"/>
      </w:pPr>
    </w:p>
    <w:p w14:paraId="3829BB6D">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p>
    <w:p w14:paraId="4AB90B9C">
      <w:pPr>
        <w:tabs>
          <w:tab w:val="left" w:pos="2410"/>
        </w:tabs>
        <w:autoSpaceDE w:val="0"/>
        <w:autoSpaceDN w:val="0"/>
        <w:adjustRightInd w:val="0"/>
        <w:snapToGrid w:val="0"/>
        <w:spacing w:line="600" w:lineRule="exact"/>
        <w:ind w:left="1050" w:leftChars="500" w:firstLine="1030" w:firstLineChars="300"/>
        <w:jc w:val="left"/>
        <w:rPr>
          <w:rFonts w:hint="eastAsia" w:ascii="宋体" w:hAnsi="宋体" w:eastAsia="宋体" w:cs="宋体"/>
          <w:b/>
          <w:color w:val="000000"/>
          <w:spacing w:val="23"/>
          <w:sz w:val="32"/>
          <w:szCs w:val="32"/>
          <w:lang w:eastAsia="zh-CN"/>
        </w:rPr>
      </w:pPr>
      <w:r>
        <w:rPr>
          <w:rFonts w:hint="eastAsia" w:ascii="宋体" w:hAnsi="DotumChe" w:cs="宋体"/>
          <w:b/>
          <w:spacing w:val="11"/>
          <w:kern w:val="0"/>
          <w:sz w:val="32"/>
          <w:szCs w:val="32"/>
        </w:rPr>
        <w:t>项目编号：</w:t>
      </w:r>
      <w:r>
        <w:rPr>
          <w:rFonts w:hint="eastAsia" w:ascii="宋体" w:hAnsi="宋体" w:cs="宋体"/>
          <w:b/>
          <w:color w:val="000000"/>
          <w:spacing w:val="23"/>
          <w:sz w:val="32"/>
          <w:szCs w:val="32"/>
        </w:rPr>
        <w:t>HYCG-2024-01</w:t>
      </w:r>
      <w:r>
        <w:rPr>
          <w:rFonts w:hint="eastAsia" w:ascii="宋体" w:hAnsi="宋体" w:cs="宋体"/>
          <w:b/>
          <w:color w:val="000000"/>
          <w:spacing w:val="23"/>
          <w:sz w:val="32"/>
          <w:szCs w:val="32"/>
          <w:lang w:val="en-US" w:eastAsia="zh-CN"/>
        </w:rPr>
        <w:t>8</w:t>
      </w:r>
    </w:p>
    <w:p w14:paraId="1519A626">
      <w:pPr>
        <w:tabs>
          <w:tab w:val="left" w:pos="2410"/>
        </w:tabs>
        <w:autoSpaceDE w:val="0"/>
        <w:autoSpaceDN w:val="0"/>
        <w:adjustRightInd w:val="0"/>
        <w:snapToGrid w:val="0"/>
        <w:spacing w:line="600" w:lineRule="exact"/>
        <w:ind w:left="1050" w:leftChars="500" w:firstLine="1030" w:firstLineChars="300"/>
        <w:jc w:val="left"/>
        <w:rPr>
          <w:rFonts w:ascii="宋体" w:hAnsi="DotumChe" w:cs="宋体"/>
          <w:b/>
          <w:spacing w:val="11"/>
          <w:kern w:val="0"/>
          <w:sz w:val="32"/>
          <w:szCs w:val="32"/>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val="en-US" w:eastAsia="zh-CN"/>
        </w:rPr>
        <w:t>霍山县落儿岭镇人民政府</w:t>
      </w:r>
    </w:p>
    <w:p w14:paraId="6C84C85C">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z w:val="32"/>
          <w:szCs w:val="32"/>
        </w:rPr>
      </w:pPr>
      <w:r>
        <w:rPr>
          <w:rFonts w:hint="eastAsia" w:ascii="宋体" w:hAnsi="DotumChe" w:cs="宋体"/>
          <w:b/>
          <w:spacing w:val="11"/>
          <w:kern w:val="0"/>
          <w:sz w:val="32"/>
          <w:szCs w:val="32"/>
        </w:rPr>
        <w:t>采购代理机构：</w:t>
      </w:r>
      <w:r>
        <w:rPr>
          <w:rFonts w:hint="eastAsia" w:ascii="宋体" w:hAnsi="宋体" w:cs="宋体"/>
          <w:b/>
          <w:color w:val="000000"/>
          <w:sz w:val="32"/>
          <w:szCs w:val="32"/>
        </w:rPr>
        <w:t>安徽衡宇工程咨询有限公司</w:t>
      </w:r>
    </w:p>
    <w:p w14:paraId="431D8654">
      <w:pPr>
        <w:tabs>
          <w:tab w:val="left" w:pos="2410"/>
        </w:tabs>
        <w:autoSpaceDE w:val="0"/>
        <w:autoSpaceDN w:val="0"/>
        <w:adjustRightInd w:val="0"/>
        <w:snapToGrid w:val="0"/>
        <w:spacing w:line="600" w:lineRule="exact"/>
        <w:ind w:left="1050" w:leftChars="500" w:firstLine="1030" w:firstLineChars="300"/>
        <w:jc w:val="left"/>
        <w:rPr>
          <w:rFonts w:ascii="仿宋" w:hAnsi="仿宋" w:eastAsia="仿宋" w:cs="仿宋"/>
          <w:sz w:val="36"/>
          <w:szCs w:val="36"/>
        </w:rPr>
      </w:pPr>
      <w:r>
        <w:rPr>
          <w:rFonts w:hint="eastAsia" w:ascii="宋体" w:hAnsi="DotumChe" w:cs="宋体"/>
          <w:b/>
          <w:spacing w:val="11"/>
          <w:kern w:val="0"/>
          <w:sz w:val="32"/>
          <w:szCs w:val="32"/>
        </w:rPr>
        <w:t>采购时间：</w:t>
      </w:r>
      <w:r>
        <w:rPr>
          <w:rFonts w:hint="eastAsia" w:ascii="宋体" w:hAnsi="宋体" w:cs="宋体"/>
          <w:b/>
          <w:color w:val="000000"/>
          <w:sz w:val="32"/>
          <w:szCs w:val="32"/>
        </w:rPr>
        <w:t>2024年</w:t>
      </w:r>
      <w:r>
        <w:rPr>
          <w:rFonts w:hint="eastAsia" w:ascii="宋体" w:hAnsi="宋体" w:cs="宋体"/>
          <w:b/>
          <w:color w:val="000000"/>
          <w:sz w:val="32"/>
          <w:szCs w:val="32"/>
          <w:lang w:val="en-US" w:eastAsia="zh-CN"/>
        </w:rPr>
        <w:t>12</w:t>
      </w:r>
      <w:r>
        <w:rPr>
          <w:rFonts w:hint="eastAsia" w:ascii="宋体" w:hAnsi="宋体" w:cs="宋体"/>
          <w:b/>
          <w:color w:val="000000"/>
          <w:sz w:val="32"/>
          <w:szCs w:val="32"/>
        </w:rPr>
        <w:t>月</w:t>
      </w:r>
    </w:p>
    <w:p w14:paraId="5114CD0B">
      <w:pPr>
        <w:pStyle w:val="34"/>
      </w:pPr>
    </w:p>
    <w:p w14:paraId="7124F5AE">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5" w:type="first"/>
          <w:footerReference r:id="rId4" w:type="default"/>
          <w:pgSz w:w="11906" w:h="16838"/>
          <w:pgMar w:top="1440" w:right="1080" w:bottom="1440" w:left="1080" w:header="851" w:footer="992" w:gutter="0"/>
          <w:pgNumType w:fmt="decimal" w:start="1"/>
          <w:cols w:space="720" w:num="1"/>
          <w:titlePg/>
          <w:docGrid w:type="lines" w:linePitch="312" w:charSpace="0"/>
        </w:sectPr>
      </w:pPr>
    </w:p>
    <w:p w14:paraId="5DBC4EFD">
      <w:pPr>
        <w:pStyle w:val="6"/>
        <w:spacing w:before="120" w:beforeLines="50" w:after="120" w:afterLines="50" w:line="520" w:lineRule="exact"/>
        <w:jc w:val="center"/>
        <w:rPr>
          <w:rFonts w:ascii="华文中宋" w:hAnsi="华文中宋" w:eastAsia="华文中宋" w:cs="华文中宋"/>
          <w:b w:val="0"/>
          <w:bCs/>
          <w:sz w:val="40"/>
          <w:szCs w:val="40"/>
        </w:rPr>
      </w:pPr>
      <w:bookmarkStart w:id="0" w:name="_Toc30186"/>
      <w:bookmarkStart w:id="1" w:name="_Toc13779"/>
      <w:bookmarkStart w:id="2" w:name="_Toc216158623"/>
      <w:bookmarkStart w:id="3" w:name="_Toc363199264"/>
      <w:r>
        <w:rPr>
          <w:rFonts w:hint="eastAsia" w:ascii="华文中宋" w:hAnsi="华文中宋" w:eastAsia="华文中宋" w:cs="华文中宋"/>
          <w:b w:val="0"/>
          <w:bCs/>
          <w:sz w:val="40"/>
          <w:szCs w:val="40"/>
          <w:lang w:val="en-US" w:eastAsia="zh-CN"/>
        </w:rPr>
        <w:t>落儿岭村地灾点勘查设计项目</w:t>
      </w:r>
      <w:r>
        <w:rPr>
          <w:rFonts w:hint="eastAsia" w:ascii="华文中宋" w:hAnsi="华文中宋" w:eastAsia="华文中宋" w:cs="华文中宋"/>
          <w:b w:val="0"/>
          <w:bCs/>
          <w:sz w:val="40"/>
          <w:szCs w:val="40"/>
        </w:rPr>
        <w:t>竞争性谈判公告</w:t>
      </w:r>
      <w:bookmarkEnd w:id="0"/>
      <w:bookmarkEnd w:id="1"/>
    </w:p>
    <w:p w14:paraId="578F5FA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项目概况：</w:t>
      </w:r>
      <w:r>
        <w:rPr>
          <w:rFonts w:hint="eastAsia" w:ascii="宋体" w:hAnsi="宋体" w:cs="宋体"/>
          <w:sz w:val="24"/>
          <w:szCs w:val="24"/>
          <w:u w:val="single"/>
          <w:lang w:val="en-US" w:eastAsia="zh-CN"/>
        </w:rPr>
        <w:t>落儿岭村地灾点勘查设计项目</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项目编号：</w:t>
      </w:r>
      <w:r>
        <w:rPr>
          <w:rFonts w:hint="eastAsia" w:ascii="宋体" w:hAnsi="宋体" w:eastAsia="宋体" w:cs="宋体"/>
          <w:sz w:val="24"/>
          <w:szCs w:val="24"/>
          <w:u w:val="single"/>
        </w:rPr>
        <w:t>HYCG-2024-01</w:t>
      </w:r>
      <w:r>
        <w:rPr>
          <w:rFonts w:hint="eastAsia" w:ascii="宋体" w:hAnsi="宋体" w:cs="宋体"/>
          <w:sz w:val="24"/>
          <w:szCs w:val="24"/>
          <w:u w:val="single"/>
          <w:lang w:val="en-US" w:eastAsia="zh-CN"/>
        </w:rPr>
        <w:t>8</w:t>
      </w:r>
      <w:r>
        <w:rPr>
          <w:rFonts w:hint="eastAsia" w:ascii="宋体" w:hAnsi="宋体" w:eastAsia="宋体" w:cs="宋体"/>
          <w:sz w:val="24"/>
          <w:szCs w:val="24"/>
          <w:u w:val="single"/>
        </w:rPr>
        <w:t>）</w:t>
      </w:r>
      <w:r>
        <w:rPr>
          <w:rFonts w:hint="eastAsia" w:ascii="宋体" w:hAnsi="宋体" w:eastAsia="宋体" w:cs="宋体"/>
          <w:sz w:val="24"/>
          <w:szCs w:val="24"/>
          <w:lang w:eastAsia="zh-CN"/>
        </w:rPr>
        <w:t>收到</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邀请函的</w:t>
      </w:r>
      <w:r>
        <w:rPr>
          <w:rFonts w:hint="eastAsia" w:ascii="宋体" w:hAnsi="宋体" w:eastAsia="宋体" w:cs="宋体"/>
          <w:sz w:val="24"/>
          <w:szCs w:val="24"/>
        </w:rPr>
        <w:t>供应商应在六安市公共资源交易电子服务系统（</w:t>
      </w:r>
      <w:r>
        <w:rPr>
          <w:rFonts w:hint="eastAsia" w:ascii="宋体" w:hAnsi="宋体" w:eastAsia="宋体" w:cs="宋体"/>
          <w:color w:val="auto"/>
          <w:sz w:val="24"/>
          <w:szCs w:val="24"/>
          <w:u w:val="none"/>
        </w:rPr>
        <w:t>http://ggzy.luan.gov.cn）</w:t>
      </w:r>
      <w:r>
        <w:rPr>
          <w:rFonts w:hint="eastAsia" w:ascii="宋体" w:hAnsi="宋体" w:eastAsia="宋体" w:cs="宋体"/>
          <w:color w:val="auto"/>
          <w:sz w:val="24"/>
          <w:szCs w:val="24"/>
          <w:u w:val="none"/>
          <w:lang w:eastAsia="zh-CN"/>
        </w:rPr>
        <w:t>、</w:t>
      </w:r>
      <w:r>
        <w:rPr>
          <w:rFonts w:hint="eastAsia" w:ascii="宋体" w:hAnsi="宋体" w:eastAsia="宋体" w:cs="宋体"/>
          <w:sz w:val="24"/>
          <w:szCs w:val="24"/>
        </w:rPr>
        <w:t>安徽衡宇工程咨询有限公司网（http://www.ahhygczx.com）</w:t>
      </w:r>
      <w:r>
        <w:rPr>
          <w:rFonts w:hint="eastAsia" w:ascii="宋体" w:hAnsi="宋体" w:eastAsia="宋体" w:cs="宋体"/>
          <w:color w:val="auto"/>
          <w:sz w:val="24"/>
          <w:szCs w:val="24"/>
          <w:u w:val="none"/>
        </w:rPr>
        <w:t>获取采购文件，并于</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1</w:t>
      </w:r>
      <w:r>
        <w:rPr>
          <w:rFonts w:hint="eastAsia" w:ascii="宋体" w:hAnsi="宋体" w:cs="宋体"/>
          <w:sz w:val="24"/>
          <w:szCs w:val="24"/>
          <w:u w:val="single"/>
          <w:lang w:val="en-US" w:eastAsia="zh-CN"/>
        </w:rPr>
        <w:t>2</w:t>
      </w:r>
      <w:r>
        <w:rPr>
          <w:rFonts w:hint="eastAsia" w:ascii="宋体" w:hAnsi="宋体" w:eastAsia="宋体" w:cs="宋体"/>
          <w:sz w:val="24"/>
          <w:szCs w:val="24"/>
        </w:rPr>
        <w:t>月</w:t>
      </w:r>
      <w:r>
        <w:rPr>
          <w:rFonts w:hint="eastAsia" w:ascii="宋体" w:hAnsi="宋体" w:cs="宋体"/>
          <w:sz w:val="24"/>
          <w:szCs w:val="24"/>
          <w:u w:val="single"/>
          <w:lang w:val="en-US" w:eastAsia="zh-CN"/>
        </w:rPr>
        <w:t>9</w:t>
      </w:r>
      <w:r>
        <w:rPr>
          <w:rFonts w:hint="eastAsia" w:ascii="宋体" w:hAnsi="宋体" w:eastAsia="宋体" w:cs="宋体"/>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分（北</w:t>
      </w:r>
      <w:r>
        <w:rPr>
          <w:rFonts w:hint="eastAsia" w:ascii="宋体" w:hAnsi="宋体" w:eastAsia="宋体" w:cs="宋体"/>
          <w:sz w:val="24"/>
          <w:szCs w:val="24"/>
        </w:rPr>
        <w:t>京时间）前提交响应文件。</w:t>
      </w:r>
    </w:p>
    <w:p w14:paraId="6C9F569C">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4" w:name="_Toc35393629"/>
      <w:bookmarkStart w:id="5" w:name="_Toc25634"/>
      <w:bookmarkStart w:id="6" w:name="_Toc28359012"/>
      <w:bookmarkStart w:id="7" w:name="_Toc32104"/>
      <w:bookmarkStart w:id="8" w:name="_Toc35393798"/>
      <w:bookmarkStart w:id="9" w:name="_Toc28359089"/>
      <w:r>
        <w:rPr>
          <w:rFonts w:hint="eastAsia" w:ascii="宋体" w:hAnsi="宋体" w:eastAsia="宋体" w:cs="宋体"/>
          <w:b/>
          <w:bCs w:val="0"/>
          <w:sz w:val="24"/>
          <w:szCs w:val="24"/>
        </w:rPr>
        <w:t>一、项目基本情况</w:t>
      </w:r>
      <w:bookmarkEnd w:id="4"/>
      <w:bookmarkEnd w:id="5"/>
      <w:bookmarkEnd w:id="6"/>
      <w:bookmarkEnd w:id="7"/>
      <w:bookmarkEnd w:id="8"/>
      <w:bookmarkEnd w:id="9"/>
    </w:p>
    <w:p w14:paraId="34BF9CF1">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1、项目编号：HYCG-2024-01</w:t>
      </w:r>
      <w:r>
        <w:rPr>
          <w:rFonts w:hint="eastAsia" w:ascii="宋体" w:hAnsi="宋体" w:cs="宋体"/>
          <w:sz w:val="24"/>
          <w:szCs w:val="24"/>
          <w:lang w:val="en-US" w:eastAsia="zh-CN"/>
        </w:rPr>
        <w:t>8</w:t>
      </w:r>
      <w:r>
        <w:rPr>
          <w:rFonts w:hint="eastAsia" w:ascii="宋体" w:hAnsi="宋体" w:eastAsia="宋体" w:cs="宋体"/>
          <w:sz w:val="24"/>
          <w:szCs w:val="24"/>
        </w:rPr>
        <w:t xml:space="preserve"> </w:t>
      </w:r>
      <w:bookmarkStart w:id="160" w:name="_GoBack"/>
      <w:bookmarkEnd w:id="160"/>
    </w:p>
    <w:p w14:paraId="6A101D1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cs="宋体"/>
          <w:sz w:val="24"/>
          <w:szCs w:val="24"/>
          <w:lang w:val="en-US" w:eastAsia="zh-CN"/>
        </w:rPr>
        <w:t>落儿岭村地灾点勘查设计项目</w:t>
      </w:r>
    </w:p>
    <w:p w14:paraId="7601C3E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3、项目类型：服务类</w:t>
      </w:r>
    </w:p>
    <w:p w14:paraId="01EA16D9">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4、采购方式：竞争性谈判</w:t>
      </w:r>
    </w:p>
    <w:p w14:paraId="3F7692D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FF0000"/>
          <w:sz w:val="24"/>
          <w:szCs w:val="24"/>
          <w:lang w:val="en-US"/>
        </w:rPr>
      </w:pPr>
      <w:r>
        <w:rPr>
          <w:rFonts w:hint="eastAsia" w:ascii="宋体" w:hAnsi="宋体" w:eastAsia="宋体" w:cs="宋体"/>
          <w:sz w:val="24"/>
          <w:szCs w:val="24"/>
        </w:rPr>
        <w:t>5、预算金</w:t>
      </w:r>
      <w:r>
        <w:rPr>
          <w:rFonts w:hint="eastAsia" w:ascii="宋体" w:hAnsi="宋体" w:eastAsia="宋体" w:cs="宋体"/>
          <w:color w:val="auto"/>
          <w:sz w:val="24"/>
          <w:szCs w:val="24"/>
        </w:rPr>
        <w:t>额：</w:t>
      </w:r>
      <w:r>
        <w:rPr>
          <w:rFonts w:hint="eastAsia" w:ascii="宋体" w:hAnsi="宋体" w:cs="宋体"/>
          <w:color w:val="auto"/>
          <w:sz w:val="24"/>
          <w:szCs w:val="24"/>
          <w:u w:val="single"/>
          <w:lang w:val="en-US" w:eastAsia="zh-CN"/>
        </w:rPr>
        <w:t>批复项目总投资的9%</w:t>
      </w:r>
    </w:p>
    <w:p w14:paraId="6B6943B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6、最高限价：</w:t>
      </w:r>
      <w:r>
        <w:rPr>
          <w:rFonts w:hint="eastAsia" w:ascii="宋体" w:hAnsi="宋体" w:cs="宋体"/>
          <w:color w:val="auto"/>
          <w:sz w:val="24"/>
          <w:szCs w:val="24"/>
          <w:u w:val="single"/>
          <w:lang w:val="en-US" w:eastAsia="zh-CN"/>
        </w:rPr>
        <w:t>批复项目总投资的9%</w:t>
      </w:r>
    </w:p>
    <w:p w14:paraId="074DE8E1">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7、采购需求：</w:t>
      </w:r>
      <w:r>
        <w:rPr>
          <w:rFonts w:hint="eastAsia" w:ascii="宋体" w:hAnsi="宋体" w:eastAsia="宋体" w:cs="宋体"/>
          <w:sz w:val="24"/>
          <w:szCs w:val="24"/>
          <w:highlight w:val="none"/>
          <w:lang w:val="en-US" w:eastAsia="zh-CN"/>
        </w:rPr>
        <w:t>霍山县落儿岭镇落儿岭村三道河组崩塌工程治理工程实施前</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通过现场调查与测绘等工作</w:t>
      </w:r>
      <w:r>
        <w:rPr>
          <w:rFonts w:hint="eastAsia" w:ascii="宋体" w:hAnsi="宋体" w:cs="宋体"/>
          <w:sz w:val="24"/>
          <w:szCs w:val="24"/>
          <w:highlight w:val="none"/>
          <w:lang w:val="en-US" w:eastAsia="zh-CN"/>
        </w:rPr>
        <w:t>，拟</w:t>
      </w:r>
      <w:r>
        <w:rPr>
          <w:rFonts w:hint="eastAsia" w:ascii="宋体" w:hAnsi="宋体" w:eastAsia="宋体" w:cs="宋体"/>
          <w:sz w:val="24"/>
          <w:szCs w:val="24"/>
          <w:highlight w:val="none"/>
          <w:lang w:val="en-US" w:eastAsia="zh-CN"/>
        </w:rPr>
        <w:t>进行勘查设计工作，具体详见采购需求。</w:t>
      </w:r>
    </w:p>
    <w:p w14:paraId="0E8EFEFD">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8、合同履行期限：</w:t>
      </w:r>
      <w:r>
        <w:rPr>
          <w:rFonts w:hint="eastAsia" w:ascii="宋体" w:hAnsi="宋体" w:cs="宋体"/>
          <w:sz w:val="24"/>
          <w:szCs w:val="24"/>
          <w:highlight w:val="none"/>
          <w:lang w:val="en-US" w:eastAsia="zh-CN"/>
        </w:rPr>
        <w:t>30日历天</w:t>
      </w:r>
    </w:p>
    <w:p w14:paraId="565915D4">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9、是否接受联合体：本项目不接受联合体。</w:t>
      </w:r>
    </w:p>
    <w:p w14:paraId="2154F386">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10" w:name="_Toc35393799"/>
      <w:bookmarkStart w:id="11" w:name="_Toc28359090"/>
      <w:bookmarkStart w:id="12" w:name="_Toc28359013"/>
      <w:bookmarkStart w:id="13" w:name="_Toc5548"/>
      <w:bookmarkStart w:id="14" w:name="_Toc8072"/>
      <w:bookmarkStart w:id="15" w:name="_Toc35393630"/>
      <w:r>
        <w:rPr>
          <w:rFonts w:hint="eastAsia" w:ascii="宋体" w:hAnsi="宋体" w:eastAsia="宋体" w:cs="宋体"/>
          <w:b/>
          <w:bCs w:val="0"/>
          <w:sz w:val="24"/>
          <w:szCs w:val="24"/>
        </w:rPr>
        <w:t>二、申请人的资格要求</w:t>
      </w:r>
      <w:bookmarkEnd w:id="10"/>
      <w:bookmarkEnd w:id="11"/>
      <w:bookmarkEnd w:id="12"/>
      <w:bookmarkEnd w:id="13"/>
      <w:bookmarkEnd w:id="14"/>
      <w:bookmarkEnd w:id="15"/>
    </w:p>
    <w:p w14:paraId="728BF29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bookmarkStart w:id="16" w:name="_Toc28359014"/>
      <w:bookmarkStart w:id="17" w:name="_Toc28359091"/>
      <w:r>
        <w:rPr>
          <w:rFonts w:hint="eastAsia" w:ascii="宋体" w:hAnsi="宋体" w:eastAsia="宋体" w:cs="宋体"/>
          <w:sz w:val="24"/>
          <w:szCs w:val="24"/>
        </w:rPr>
        <w:t>1、满足《中华人民共和国政府采购法》第二十二条规定；</w:t>
      </w:r>
    </w:p>
    <w:p w14:paraId="43FE380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2、本项目的特定资格要求：</w:t>
      </w:r>
      <w:r>
        <w:rPr>
          <w:rFonts w:hint="eastAsia" w:ascii="宋体" w:hAnsi="宋体" w:cs="宋体"/>
          <w:sz w:val="24"/>
          <w:szCs w:val="24"/>
          <w:lang w:eastAsia="zh-CN"/>
        </w:rPr>
        <w:t>供应商应具有有效的营业执照，</w:t>
      </w:r>
      <w:r>
        <w:rPr>
          <w:rFonts w:hint="eastAsia" w:ascii="宋体" w:hAnsi="宋体" w:cs="宋体"/>
          <w:sz w:val="24"/>
          <w:szCs w:val="24"/>
          <w:lang w:val="en-US" w:eastAsia="zh-CN"/>
        </w:rPr>
        <w:t>具备</w:t>
      </w:r>
      <w:r>
        <w:rPr>
          <w:rFonts w:hint="eastAsia" w:ascii="宋体" w:hAnsi="宋体" w:cs="宋体"/>
          <w:sz w:val="24"/>
          <w:szCs w:val="24"/>
          <w:lang w:eastAsia="zh-CN"/>
        </w:rPr>
        <w:t>地质灾害评估和治</w:t>
      </w:r>
      <w:r>
        <w:rPr>
          <w:rFonts w:hint="eastAsia" w:ascii="宋体" w:hAnsi="宋体" w:cs="宋体"/>
          <w:sz w:val="24"/>
          <w:szCs w:val="24"/>
          <w:lang w:val="en-US" w:eastAsia="zh-CN"/>
        </w:rPr>
        <w:t>理</w:t>
      </w:r>
      <w:r>
        <w:rPr>
          <w:rFonts w:hint="eastAsia" w:ascii="宋体" w:hAnsi="宋体" w:cs="宋体"/>
          <w:sz w:val="24"/>
          <w:szCs w:val="24"/>
          <w:lang w:eastAsia="zh-CN"/>
        </w:rPr>
        <w:t>工程勘查设计</w:t>
      </w:r>
      <w:r>
        <w:rPr>
          <w:rFonts w:hint="eastAsia" w:ascii="宋体" w:hAnsi="宋体" w:cs="宋体"/>
          <w:sz w:val="24"/>
          <w:szCs w:val="24"/>
          <w:lang w:val="en-US" w:eastAsia="zh-CN"/>
        </w:rPr>
        <w:t>乙级及以上资质。</w:t>
      </w:r>
    </w:p>
    <w:bookmarkEnd w:id="16"/>
    <w:bookmarkEnd w:id="17"/>
    <w:p w14:paraId="6E2F93DD">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18" w:name="_Toc35393800"/>
      <w:bookmarkStart w:id="19" w:name="_Toc15371"/>
      <w:bookmarkStart w:id="20" w:name="_Toc35393631"/>
      <w:bookmarkStart w:id="21" w:name="_Toc15899"/>
      <w:r>
        <w:rPr>
          <w:rFonts w:hint="eastAsia" w:ascii="宋体" w:hAnsi="宋体" w:eastAsia="宋体" w:cs="宋体"/>
          <w:b/>
          <w:bCs w:val="0"/>
          <w:sz w:val="24"/>
          <w:szCs w:val="24"/>
        </w:rPr>
        <w:t>三、获取采购文件</w:t>
      </w:r>
      <w:bookmarkEnd w:id="18"/>
      <w:bookmarkEnd w:id="19"/>
      <w:bookmarkEnd w:id="20"/>
      <w:bookmarkEnd w:id="21"/>
    </w:p>
    <w:p w14:paraId="726DFE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4</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9</w:t>
      </w:r>
      <w:r>
        <w:rPr>
          <w:rFonts w:hint="eastAsia" w:ascii="宋体" w:hAnsi="宋体" w:eastAsia="宋体" w:cs="宋体"/>
          <w:bCs/>
          <w:sz w:val="24"/>
          <w:szCs w:val="24"/>
          <w:highlight w:val="none"/>
        </w:rPr>
        <w:t>日</w:t>
      </w:r>
      <w:r>
        <w:rPr>
          <w:rFonts w:hint="eastAsia" w:ascii="宋体" w:hAnsi="宋体" w:cs="宋体"/>
          <w:bCs/>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 xml:space="preserve">分（北京时间） </w:t>
      </w:r>
    </w:p>
    <w:p w14:paraId="6DCB7BE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六安市公共资源交易电子服务系统（http://ggzy.luan.gov.cn）、安徽衡宇工程咨询有限公司网（http://www.ahhygczx.com）。</w:t>
      </w:r>
    </w:p>
    <w:p w14:paraId="315F4C0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3、获取方式：</w:t>
      </w:r>
      <w:r>
        <w:rPr>
          <w:rFonts w:hint="eastAsia" w:ascii="宋体" w:hAnsi="宋体" w:eastAsia="宋体" w:cs="宋体"/>
          <w:sz w:val="24"/>
          <w:szCs w:val="24"/>
          <w:highlight w:val="none"/>
          <w:lang w:val="en-US" w:eastAsia="zh-CN"/>
        </w:rPr>
        <w:t>请收到采购人邀请函的供应商自行到安徽衡宇工程咨询有限公司</w:t>
      </w:r>
      <w:r>
        <w:rPr>
          <w:rFonts w:hint="eastAsia" w:ascii="宋体" w:hAnsi="宋体" w:eastAsia="宋体" w:cs="宋体"/>
          <w:sz w:val="24"/>
          <w:szCs w:val="24"/>
          <w:lang w:val="en-US" w:eastAsia="zh-CN"/>
        </w:rPr>
        <w:t>网站（http://www.ahhygczx.com/)下载本项目谈判文件（答疑澄清等相关文件资料），未收到邀请函的供应商，响应无效。</w:t>
      </w:r>
    </w:p>
    <w:p w14:paraId="5EB90F15">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4、售</w:t>
      </w:r>
      <w:r>
        <w:rPr>
          <w:rFonts w:hint="eastAsia" w:ascii="宋体" w:hAnsi="宋体" w:eastAsia="宋体" w:cs="宋体"/>
          <w:sz w:val="24"/>
          <w:szCs w:val="24"/>
          <w:highlight w:val="none"/>
        </w:rPr>
        <w:t>价：零元</w:t>
      </w:r>
    </w:p>
    <w:p w14:paraId="61534AC1">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2" w:name="_Toc35393632"/>
      <w:bookmarkStart w:id="23" w:name="_Toc35393801"/>
      <w:bookmarkStart w:id="24" w:name="_Toc28359092"/>
      <w:bookmarkStart w:id="25" w:name="_Toc28359015"/>
      <w:bookmarkStart w:id="26" w:name="_Toc1753"/>
      <w:bookmarkStart w:id="27" w:name="_Toc13207"/>
      <w:r>
        <w:rPr>
          <w:rFonts w:hint="eastAsia" w:ascii="宋体" w:hAnsi="宋体" w:eastAsia="宋体" w:cs="宋体"/>
          <w:b/>
          <w:bCs w:val="0"/>
          <w:sz w:val="24"/>
          <w:szCs w:val="24"/>
          <w:highlight w:val="none"/>
        </w:rPr>
        <w:t>四、响应文件</w:t>
      </w:r>
      <w:bookmarkEnd w:id="22"/>
      <w:bookmarkEnd w:id="23"/>
      <w:bookmarkEnd w:id="24"/>
      <w:bookmarkEnd w:id="25"/>
      <w:r>
        <w:rPr>
          <w:rFonts w:hint="eastAsia" w:ascii="宋体" w:hAnsi="宋体" w:eastAsia="宋体" w:cs="宋体"/>
          <w:b/>
          <w:bCs w:val="0"/>
          <w:sz w:val="24"/>
          <w:szCs w:val="24"/>
          <w:highlight w:val="none"/>
        </w:rPr>
        <w:t>提交</w:t>
      </w:r>
      <w:bookmarkEnd w:id="26"/>
      <w:bookmarkEnd w:id="27"/>
    </w:p>
    <w:p w14:paraId="74538F7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1、截止时间：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4</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9</w:t>
      </w:r>
      <w:r>
        <w:rPr>
          <w:rFonts w:hint="eastAsia" w:ascii="宋体" w:hAnsi="宋体" w:eastAsia="宋体" w:cs="宋体"/>
          <w:bCs/>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rPr>
        <w:t>（北京时间）</w:t>
      </w:r>
    </w:p>
    <w:p w14:paraId="1EE9541C">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2、提交方式：</w:t>
      </w:r>
      <w:r>
        <w:rPr>
          <w:rFonts w:hint="eastAsia" w:ascii="宋体" w:hAnsi="宋体" w:eastAsia="宋体" w:cs="宋体"/>
          <w:sz w:val="24"/>
          <w:szCs w:val="24"/>
          <w:highlight w:val="none"/>
          <w:lang w:val="en-US" w:eastAsia="zh-CN"/>
        </w:rPr>
        <w:t>现场递交</w:t>
      </w:r>
    </w:p>
    <w:p w14:paraId="5978FED4">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3、递交地点：安徽衡宇工程咨询有限公司二楼开标厅</w:t>
      </w:r>
      <w:r>
        <w:rPr>
          <w:rFonts w:hint="eastAsia" w:ascii="宋体" w:hAnsi="宋体" w:eastAsia="宋体" w:cs="宋体"/>
          <w:sz w:val="24"/>
          <w:szCs w:val="24"/>
          <w:highlight w:val="none"/>
          <w:lang w:eastAsia="zh-CN"/>
        </w:rPr>
        <w:t>（霍山县衡山镇中兴南路16号（老建设局大院</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楼））</w:t>
      </w:r>
    </w:p>
    <w:p w14:paraId="787B36A0">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highlight w:val="none"/>
        </w:rPr>
      </w:pPr>
      <w:bookmarkStart w:id="28" w:name="_Toc2653"/>
      <w:bookmarkStart w:id="29" w:name="_Toc35393633"/>
      <w:bookmarkStart w:id="30" w:name="_Toc31128"/>
      <w:bookmarkStart w:id="31" w:name="_Toc28359016"/>
      <w:bookmarkStart w:id="32" w:name="_Toc35393802"/>
      <w:bookmarkStart w:id="33" w:name="_Toc28359093"/>
      <w:r>
        <w:rPr>
          <w:rFonts w:hint="eastAsia" w:ascii="宋体" w:hAnsi="宋体" w:eastAsia="宋体" w:cs="宋体"/>
          <w:b/>
          <w:bCs w:val="0"/>
          <w:sz w:val="24"/>
          <w:szCs w:val="24"/>
          <w:highlight w:val="none"/>
        </w:rPr>
        <w:t>五、响应文件开启</w:t>
      </w:r>
      <w:bookmarkEnd w:id="28"/>
      <w:bookmarkEnd w:id="29"/>
      <w:bookmarkEnd w:id="30"/>
      <w:bookmarkEnd w:id="31"/>
      <w:bookmarkEnd w:id="32"/>
      <w:bookmarkEnd w:id="33"/>
    </w:p>
    <w:p w14:paraId="35D61A8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1、时间：</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lang w:val="en-US" w:eastAsia="zh-CN"/>
        </w:rPr>
        <w:t>1</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4</w:t>
      </w:r>
      <w:r>
        <w:rPr>
          <w:rFonts w:hint="eastAsia" w:ascii="宋体" w:hAnsi="宋体" w:eastAsia="宋体" w:cs="宋体"/>
          <w:bCs/>
          <w:sz w:val="24"/>
          <w:szCs w:val="24"/>
          <w:highlight w:val="none"/>
        </w:rPr>
        <w:t>日至</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12</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9</w:t>
      </w:r>
      <w:r>
        <w:rPr>
          <w:rFonts w:hint="eastAsia" w:ascii="宋体" w:hAnsi="宋体" w:eastAsia="宋体" w:cs="宋体"/>
          <w:bCs/>
          <w:sz w:val="24"/>
          <w:szCs w:val="24"/>
          <w:highlight w:val="none"/>
        </w:rPr>
        <w:t>日</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rPr>
        <w:t>分（北京时间）</w:t>
      </w:r>
    </w:p>
    <w:p w14:paraId="2C7DA599">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2、地点：</w:t>
      </w:r>
      <w:r>
        <w:rPr>
          <w:rFonts w:hint="eastAsia" w:ascii="宋体" w:hAnsi="宋体" w:eastAsia="宋体" w:cs="宋体"/>
          <w:sz w:val="24"/>
          <w:szCs w:val="24"/>
          <w:highlight w:val="none"/>
          <w:lang w:val="en-US" w:eastAsia="zh-CN"/>
        </w:rPr>
        <w:t>安徽衡宇工程咨询有限公司二楼开标厅</w:t>
      </w:r>
      <w:r>
        <w:rPr>
          <w:rFonts w:hint="eastAsia" w:ascii="宋体" w:hAnsi="宋体" w:eastAsia="宋体" w:cs="宋体"/>
          <w:sz w:val="24"/>
          <w:szCs w:val="24"/>
          <w:highlight w:val="none"/>
          <w:lang w:eastAsia="zh-CN"/>
        </w:rPr>
        <w:t>（霍山县衡山镇中兴南路16号</w:t>
      </w:r>
      <w:r>
        <w:rPr>
          <w:rFonts w:hint="eastAsia" w:ascii="宋体" w:hAnsi="宋体" w:eastAsia="宋体" w:cs="宋体"/>
          <w:sz w:val="24"/>
          <w:szCs w:val="24"/>
          <w:lang w:eastAsia="zh-CN"/>
        </w:rPr>
        <w:t>（老建设局大院</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楼））</w:t>
      </w:r>
    </w:p>
    <w:p w14:paraId="39B3EB57">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bCs w:val="0"/>
          <w:sz w:val="24"/>
          <w:szCs w:val="24"/>
        </w:rPr>
      </w:pPr>
      <w:bookmarkStart w:id="34" w:name="_Toc35393803"/>
      <w:bookmarkStart w:id="35" w:name="_Toc28359017"/>
      <w:bookmarkStart w:id="36" w:name="_Toc15099"/>
      <w:bookmarkStart w:id="37" w:name="_Toc28359094"/>
      <w:bookmarkStart w:id="38" w:name="_Toc35393634"/>
      <w:bookmarkStart w:id="39" w:name="_Toc25132"/>
      <w:r>
        <w:rPr>
          <w:rFonts w:hint="eastAsia" w:ascii="宋体" w:hAnsi="宋体" w:eastAsia="宋体" w:cs="宋体"/>
          <w:b/>
          <w:bCs w:val="0"/>
          <w:sz w:val="24"/>
          <w:szCs w:val="24"/>
        </w:rPr>
        <w:t>六、公告期限</w:t>
      </w:r>
      <w:bookmarkEnd w:id="34"/>
      <w:bookmarkEnd w:id="35"/>
      <w:bookmarkEnd w:id="36"/>
      <w:bookmarkEnd w:id="37"/>
      <w:bookmarkEnd w:id="38"/>
      <w:bookmarkEnd w:id="39"/>
    </w:p>
    <w:p w14:paraId="3DA722C2">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21EAD721">
      <w:pPr>
        <w:pageBreakBefore w:val="0"/>
        <w:kinsoku/>
        <w:wordWrap/>
        <w:overflowPunct/>
        <w:topLinePunct w:val="0"/>
        <w:autoSpaceDE/>
        <w:autoSpaceDN/>
        <w:bidi w:val="0"/>
        <w:adjustRightInd/>
        <w:snapToGrid/>
        <w:spacing w:line="500" w:lineRule="exact"/>
        <w:ind w:left="0" w:lef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w:t>
      </w:r>
      <w:bookmarkStart w:id="40" w:name="_Toc35393804"/>
      <w:bookmarkStart w:id="41" w:name="_Toc35393635"/>
      <w:r>
        <w:rPr>
          <w:rFonts w:hint="eastAsia" w:ascii="宋体" w:hAnsi="宋体" w:eastAsia="宋体" w:cs="宋体"/>
          <w:b/>
          <w:bCs/>
          <w:sz w:val="24"/>
          <w:szCs w:val="24"/>
        </w:rPr>
        <w:t>其他事宜</w:t>
      </w:r>
      <w:bookmarkEnd w:id="40"/>
      <w:bookmarkEnd w:id="41"/>
      <w:bookmarkStart w:id="42" w:name="_Toc28359095"/>
      <w:bookmarkStart w:id="43" w:name="_Toc28359018"/>
      <w:bookmarkStart w:id="44" w:name="_Toc35393805"/>
      <w:bookmarkStart w:id="45" w:name="_Toc35393636"/>
    </w:p>
    <w:p w14:paraId="5D082CA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r>
        <w:rPr>
          <w:rFonts w:hint="eastAsia" w:ascii="宋体" w:hAnsi="宋体" w:eastAsia="宋体" w:cs="宋体"/>
          <w:sz w:val="24"/>
          <w:szCs w:val="24"/>
          <w:lang w:val="en-US" w:eastAsia="zh-CN"/>
        </w:rPr>
        <w:t>。</w:t>
      </w:r>
    </w:p>
    <w:p w14:paraId="740BF2F2">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2、答疑：供应商如果对本项目内容有相关疑问，可以以邮件形式提出，对采购文件进行的澄清、更正或更改，将在六安市公共资源交易电子服务系统（http://ggzy.luan.gov.cn）网站“交易信息”、“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（http://www.ahhygczx.com）及时发布，该公告内容为采购文件的组成部分，对供应商具有同样约束力效力。供应商应主动上网查询，供应商须自行承担因未及时关注相关信息而引发的相关责任。</w:t>
      </w:r>
    </w:p>
    <w:p w14:paraId="1BEA225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3、本项目相关公告在六安市公共资源交易电子服务系统（http://ggzy.luan.gov.cn）网站“交易信息”、“</w:t>
      </w:r>
      <w:r>
        <w:rPr>
          <w:rFonts w:hint="eastAsia" w:ascii="宋体" w:hAnsi="宋体" w:cs="宋体"/>
          <w:sz w:val="24"/>
          <w:szCs w:val="24"/>
          <w:lang w:val="en-US" w:eastAsia="zh-CN"/>
        </w:rPr>
        <w:t>非进场交易</w:t>
      </w: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、“乡镇（县直）自行发包公告”</w:t>
      </w:r>
      <w:r>
        <w:rPr>
          <w:rFonts w:hint="eastAsia" w:ascii="宋体" w:hAnsi="宋体" w:eastAsia="宋体" w:cs="宋体"/>
          <w:sz w:val="24"/>
          <w:szCs w:val="24"/>
          <w:lang w:val="en-US" w:eastAsia="zh-CN"/>
        </w:rPr>
        <w:t>版块上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安徽衡宇工程咨询有限公司网</w:t>
      </w:r>
      <w:r>
        <w:rPr>
          <w:rFonts w:hint="eastAsia" w:ascii="宋体" w:hAnsi="宋体" w:cs="宋体"/>
          <w:sz w:val="24"/>
          <w:szCs w:val="24"/>
          <w:lang w:val="en-US" w:eastAsia="zh-CN"/>
        </w:rPr>
        <w:t>站</w:t>
      </w:r>
      <w:r>
        <w:rPr>
          <w:rFonts w:hint="eastAsia" w:ascii="宋体" w:hAnsi="宋体" w:eastAsia="宋体" w:cs="宋体"/>
          <w:sz w:val="24"/>
          <w:szCs w:val="24"/>
          <w:lang w:val="en-US" w:eastAsia="zh-CN"/>
        </w:rPr>
        <w:t>（http://www.ahhygczx.com）发布，请各位供应商注意查看有关竞争性谈判公告、答疑澄清等相关文件资料，如不及时查看造成后果由供应商自负。</w:t>
      </w:r>
    </w:p>
    <w:p w14:paraId="609A9677">
      <w:pPr>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4、严禁恶意低价或恶意高价竞标，对恶意低价或恶意高价竞标的，采购人有权进行调查处理，经查证属实的，其响应资格无效，同时给予限制投标资格等处理。 </w:t>
      </w:r>
    </w:p>
    <w:p w14:paraId="6D44419A">
      <w:pPr>
        <w:pageBreakBefore w:val="0"/>
        <w:widowControl/>
        <w:shd w:val="clear" w:color="auto" w:fill="FFFFFF"/>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响应保证金：本项目无需提供。</w:t>
      </w:r>
    </w:p>
    <w:p w14:paraId="37CE7D61">
      <w:pPr>
        <w:pStyle w:val="6"/>
        <w:pageBreakBefore w:val="0"/>
        <w:kinsoku/>
        <w:wordWrap/>
        <w:overflowPunct/>
        <w:topLinePunct w:val="0"/>
        <w:autoSpaceDE/>
        <w:autoSpaceDN/>
        <w:bidi w:val="0"/>
        <w:adjustRightInd/>
        <w:snapToGrid/>
        <w:spacing w:before="0" w:after="0" w:line="500" w:lineRule="exact"/>
        <w:ind w:left="0" w:leftChars="0"/>
        <w:jc w:val="both"/>
        <w:textAlignment w:val="auto"/>
        <w:rPr>
          <w:rFonts w:hint="eastAsia" w:ascii="宋体" w:hAnsi="宋体" w:eastAsia="宋体" w:cs="宋体"/>
          <w:b w:val="0"/>
          <w:bCs/>
          <w:sz w:val="24"/>
          <w:szCs w:val="24"/>
        </w:rPr>
      </w:pPr>
      <w:bookmarkStart w:id="46" w:name="_Toc726"/>
      <w:bookmarkStart w:id="47" w:name="_Toc21256"/>
      <w:r>
        <w:rPr>
          <w:rFonts w:hint="eastAsia" w:ascii="宋体" w:hAnsi="宋体" w:eastAsia="宋体" w:cs="宋体"/>
          <w:b w:val="0"/>
          <w:bCs/>
          <w:sz w:val="24"/>
          <w:szCs w:val="24"/>
        </w:rPr>
        <w:t>八、凡对本次采购提出询问，请按以下方式联系。</w:t>
      </w:r>
      <w:bookmarkEnd w:id="42"/>
      <w:bookmarkEnd w:id="43"/>
      <w:bookmarkEnd w:id="44"/>
      <w:bookmarkEnd w:id="45"/>
      <w:bookmarkEnd w:id="46"/>
      <w:bookmarkEnd w:id="47"/>
    </w:p>
    <w:p w14:paraId="763E4583">
      <w:pPr>
        <w:pageBreakBefore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bCs/>
          <w:sz w:val="24"/>
          <w:szCs w:val="24"/>
        </w:rPr>
      </w:pPr>
      <w:bookmarkStart w:id="48" w:name="_Toc35393806"/>
      <w:bookmarkStart w:id="49" w:name="_Toc35393637"/>
      <w:bookmarkStart w:id="50" w:name="_Toc12167"/>
      <w:bookmarkStart w:id="51" w:name="_Toc28359096"/>
      <w:bookmarkStart w:id="52" w:name="_Toc15509"/>
      <w:bookmarkStart w:id="53" w:name="_Toc28359019"/>
      <w:r>
        <w:rPr>
          <w:rFonts w:hint="eastAsia" w:ascii="宋体" w:hAnsi="宋体" w:eastAsia="宋体" w:cs="宋体"/>
          <w:bCs/>
          <w:sz w:val="24"/>
          <w:szCs w:val="24"/>
        </w:rPr>
        <w:t>1、采购人信息</w:t>
      </w:r>
      <w:bookmarkEnd w:id="48"/>
      <w:bookmarkEnd w:id="49"/>
      <w:bookmarkEnd w:id="50"/>
      <w:bookmarkEnd w:id="51"/>
      <w:bookmarkEnd w:id="52"/>
      <w:bookmarkEnd w:id="53"/>
    </w:p>
    <w:p w14:paraId="77A6A407">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cs="宋体"/>
          <w:bCs/>
          <w:sz w:val="24"/>
          <w:szCs w:val="24"/>
          <w:lang w:val="en-US" w:eastAsia="zh-CN"/>
        </w:rPr>
        <w:t>霍山县落儿岭镇人民政府</w:t>
      </w:r>
    </w:p>
    <w:p w14:paraId="5919E82C">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cs="宋体"/>
          <w:color w:val="000000" w:themeColor="text1"/>
          <w:sz w:val="24"/>
          <w:szCs w:val="24"/>
          <w:highlight w:val="none"/>
          <w:lang w:val="en-US" w:eastAsia="zh-CN"/>
          <w14:textFill>
            <w14:solidFill>
              <w14:schemeClr w14:val="tx1"/>
            </w14:solidFill>
          </w14:textFill>
        </w:rPr>
        <w:t>霍山县落儿岭镇街道</w:t>
      </w:r>
    </w:p>
    <w:p w14:paraId="35DD613B">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联系方式：</w:t>
      </w:r>
      <w:bookmarkStart w:id="54" w:name="_Toc28359097"/>
      <w:bookmarkStart w:id="55" w:name="_Toc35393638"/>
      <w:bookmarkStart w:id="56" w:name="_Toc28359020"/>
      <w:bookmarkStart w:id="57" w:name="_Toc35393807"/>
      <w:r>
        <w:rPr>
          <w:rFonts w:hint="eastAsia" w:ascii="宋体" w:hAnsi="宋体" w:eastAsia="宋体" w:cs="宋体"/>
          <w:bCs/>
          <w:sz w:val="24"/>
          <w:szCs w:val="24"/>
          <w:highlight w:val="none"/>
        </w:rPr>
        <w:t>0564-5566001</w:t>
      </w:r>
    </w:p>
    <w:p w14:paraId="74DEB93B">
      <w:pPr>
        <w:pageBreakBefore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采购代理机构信息</w:t>
      </w:r>
      <w:bookmarkEnd w:id="54"/>
      <w:bookmarkEnd w:id="55"/>
      <w:bookmarkEnd w:id="56"/>
      <w:bookmarkEnd w:id="57"/>
      <w:bookmarkStart w:id="58" w:name="_Toc35393808"/>
      <w:bookmarkStart w:id="59" w:name="_Toc35393639"/>
      <w:bookmarkStart w:id="60" w:name="_Toc28359098"/>
      <w:bookmarkStart w:id="61" w:name="_Toc28359021"/>
    </w:p>
    <w:p w14:paraId="557D341E">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名 称：</w:t>
      </w:r>
      <w:r>
        <w:rPr>
          <w:rFonts w:hint="eastAsia" w:ascii="宋体" w:hAnsi="宋体" w:eastAsia="宋体" w:cs="宋体"/>
          <w:bCs/>
          <w:sz w:val="24"/>
          <w:szCs w:val="24"/>
          <w:lang w:eastAsia="zh-CN"/>
        </w:rPr>
        <w:t>安徽衡宇工程咨询有限公司</w:t>
      </w:r>
      <w:r>
        <w:rPr>
          <w:rFonts w:hint="eastAsia" w:ascii="宋体" w:hAnsi="宋体" w:eastAsia="宋体" w:cs="宋体"/>
          <w:bCs/>
          <w:sz w:val="24"/>
          <w:szCs w:val="24"/>
        </w:rPr>
        <w:t xml:space="preserve"> </w:t>
      </w:r>
    </w:p>
    <w:p w14:paraId="0486829D">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地　址：</w:t>
      </w:r>
      <w:r>
        <w:rPr>
          <w:rFonts w:hint="eastAsia" w:ascii="宋体" w:hAnsi="宋体" w:eastAsia="宋体" w:cs="宋体"/>
          <w:bCs/>
          <w:sz w:val="24"/>
          <w:szCs w:val="24"/>
          <w:lang w:eastAsia="zh-CN"/>
        </w:rPr>
        <w:t>霍山县衡山镇中兴南路</w:t>
      </w:r>
      <w:r>
        <w:rPr>
          <w:rFonts w:hint="eastAsia" w:ascii="宋体" w:hAnsi="宋体" w:eastAsia="宋体" w:cs="宋体"/>
          <w:bCs/>
          <w:sz w:val="24"/>
          <w:szCs w:val="24"/>
          <w:lang w:val="en-US" w:eastAsia="zh-CN"/>
        </w:rPr>
        <w:t>16号（老建设局大院三楼）</w:t>
      </w:r>
      <w:r>
        <w:rPr>
          <w:rFonts w:hint="eastAsia" w:ascii="宋体" w:hAnsi="宋体" w:eastAsia="宋体" w:cs="宋体"/>
          <w:bCs/>
          <w:sz w:val="24"/>
          <w:szCs w:val="24"/>
        </w:rPr>
        <w:t xml:space="preserve"> </w:t>
      </w:r>
    </w:p>
    <w:p w14:paraId="5BDEC103">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联系方式：0564-5029965/18726959693</w:t>
      </w:r>
    </w:p>
    <w:p w14:paraId="25E4BF70">
      <w:pPr>
        <w:pageBreakBefore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3、项目联系方式</w:t>
      </w:r>
      <w:bookmarkEnd w:id="58"/>
      <w:bookmarkEnd w:id="59"/>
      <w:bookmarkEnd w:id="60"/>
      <w:bookmarkEnd w:id="61"/>
    </w:p>
    <w:p w14:paraId="14929836">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项目联系人：</w:t>
      </w:r>
      <w:r>
        <w:rPr>
          <w:rFonts w:hint="eastAsia" w:ascii="宋体" w:hAnsi="宋体" w:eastAsia="宋体" w:cs="宋体"/>
          <w:bCs/>
          <w:sz w:val="24"/>
          <w:szCs w:val="24"/>
          <w:lang w:eastAsia="zh-CN"/>
        </w:rPr>
        <w:t>朱工</w:t>
      </w:r>
    </w:p>
    <w:p w14:paraId="0FAD6F61">
      <w:pPr>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电　   话：0564-5029965/18726959693</w:t>
      </w:r>
    </w:p>
    <w:p w14:paraId="06BE5CBE">
      <w:pPr>
        <w:pStyle w:val="34"/>
        <w:pageBreakBefore w:val="0"/>
        <w:kinsoku/>
        <w:wordWrap/>
        <w:overflowPunct/>
        <w:topLinePunct w:val="0"/>
        <w:autoSpaceDE/>
        <w:autoSpaceDN/>
        <w:bidi w:val="0"/>
        <w:adjustRightInd/>
        <w:snapToGrid/>
        <w:spacing w:after="0" w:line="500" w:lineRule="exact"/>
        <w:ind w:left="0" w:leftChars="0" w:firstLine="0"/>
        <w:jc w:val="both"/>
        <w:textAlignment w:val="auto"/>
        <w:rPr>
          <w:rFonts w:hint="eastAsia" w:ascii="宋体" w:hAnsi="宋体" w:eastAsia="宋体" w:cs="宋体"/>
          <w:bCs/>
          <w:sz w:val="24"/>
          <w:szCs w:val="24"/>
        </w:rPr>
      </w:pPr>
    </w:p>
    <w:p w14:paraId="76D7B2B7">
      <w:pPr>
        <w:pStyle w:val="34"/>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霍山县落儿岭镇人民政府</w:t>
      </w:r>
    </w:p>
    <w:p w14:paraId="7742EA19">
      <w:pPr>
        <w:pStyle w:val="34"/>
        <w:pageBreakBefore w:val="0"/>
        <w:kinsoku/>
        <w:wordWrap/>
        <w:overflowPunct/>
        <w:topLinePunct w:val="0"/>
        <w:autoSpaceDE/>
        <w:autoSpaceDN/>
        <w:bidi w:val="0"/>
        <w:adjustRightInd/>
        <w:snapToGrid/>
        <w:spacing w:line="500" w:lineRule="exact"/>
        <w:ind w:firstLine="0"/>
        <w:jc w:val="righ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eastAsia="zh-CN"/>
        </w:rPr>
        <w:t>安徽衡宇工程咨询有限公司</w:t>
      </w:r>
      <w:r>
        <w:rPr>
          <w:rFonts w:hint="eastAsia" w:ascii="宋体" w:hAnsi="宋体" w:eastAsia="宋体" w:cs="宋体"/>
          <w:bCs/>
          <w:sz w:val="24"/>
          <w:szCs w:val="24"/>
        </w:rPr>
        <w:t xml:space="preserve"> </w:t>
      </w:r>
    </w:p>
    <w:p w14:paraId="15F95492">
      <w:pPr>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1</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月</w:t>
      </w:r>
      <w:r>
        <w:rPr>
          <w:rFonts w:hint="eastAsia" w:ascii="宋体" w:hAnsi="宋体" w:cs="宋体"/>
          <w:bCs/>
          <w:sz w:val="24"/>
          <w:szCs w:val="24"/>
          <w:highlight w:val="none"/>
          <w:lang w:val="en-US" w:eastAsia="zh-CN"/>
        </w:rPr>
        <w:t>4</w:t>
      </w:r>
      <w:r>
        <w:rPr>
          <w:rFonts w:hint="eastAsia" w:ascii="宋体" w:hAnsi="宋体" w:eastAsia="宋体" w:cs="宋体"/>
          <w:bCs/>
          <w:sz w:val="24"/>
          <w:szCs w:val="24"/>
          <w:highlight w:val="none"/>
        </w:rPr>
        <w:t>日</w:t>
      </w:r>
    </w:p>
    <w:p w14:paraId="461ABEEF">
      <w:pPr>
        <w:rPr>
          <w:rFonts w:ascii="宋体" w:hAnsi="宋体" w:cs="宋体"/>
          <w:sz w:val="28"/>
          <w:szCs w:val="28"/>
        </w:rPr>
      </w:pPr>
      <w:r>
        <w:rPr>
          <w:rFonts w:hint="eastAsia" w:ascii="宋体" w:hAnsi="宋体" w:cs="宋体"/>
          <w:sz w:val="28"/>
          <w:szCs w:val="28"/>
        </w:rPr>
        <w:br w:type="page"/>
      </w:r>
    </w:p>
    <w:p w14:paraId="61B96D7F">
      <w:pPr>
        <w:pStyle w:val="6"/>
        <w:spacing w:before="120" w:beforeLines="50" w:after="120" w:afterLines="50" w:line="560" w:lineRule="exact"/>
        <w:jc w:val="center"/>
        <w:rPr>
          <w:rFonts w:ascii="宋体" w:hAnsi="宋体" w:eastAsia="宋体" w:cs="宋体"/>
          <w:sz w:val="28"/>
          <w:szCs w:val="28"/>
        </w:rPr>
      </w:pPr>
      <w:bookmarkStart w:id="62" w:name="_Toc16403"/>
      <w:r>
        <w:rPr>
          <w:rFonts w:hint="eastAsia" w:ascii="宋体" w:hAnsi="宋体" w:eastAsia="宋体" w:cs="宋体"/>
          <w:sz w:val="28"/>
          <w:szCs w:val="28"/>
        </w:rPr>
        <w:t>一、供应商须知</w:t>
      </w:r>
      <w:bookmarkEnd w:id="2"/>
      <w:bookmarkEnd w:id="3"/>
      <w:bookmarkEnd w:id="62"/>
    </w:p>
    <w:p w14:paraId="5C3DA27F">
      <w:pPr>
        <w:pStyle w:val="6"/>
        <w:pageBreakBefore w:val="0"/>
        <w:kinsoku/>
        <w:wordWrap/>
        <w:overflowPunct/>
        <w:topLinePunct w:val="0"/>
        <w:autoSpaceDE/>
        <w:autoSpaceDN/>
        <w:bidi w:val="0"/>
        <w:spacing w:before="0" w:after="0" w:line="500" w:lineRule="exact"/>
        <w:jc w:val="center"/>
        <w:rPr>
          <w:rFonts w:hint="eastAsia" w:ascii="宋体" w:hAnsi="宋体" w:eastAsia="宋体" w:cs="宋体"/>
          <w:sz w:val="24"/>
          <w:szCs w:val="24"/>
        </w:rPr>
      </w:pPr>
      <w:bookmarkStart w:id="63" w:name="_Toc13653"/>
      <w:r>
        <w:rPr>
          <w:rFonts w:hint="eastAsia" w:ascii="宋体" w:hAnsi="宋体" w:eastAsia="宋体" w:cs="宋体"/>
          <w:sz w:val="24"/>
          <w:szCs w:val="24"/>
        </w:rPr>
        <w:t>（一）须知前附表</w:t>
      </w:r>
      <w:bookmarkEnd w:id="63"/>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680"/>
        <w:gridCol w:w="7130"/>
      </w:tblGrid>
      <w:tr w14:paraId="754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2FC95EC">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bookmarkStart w:id="64" w:name="_Toc438107743"/>
            <w:bookmarkStart w:id="65" w:name="_Toc216158627"/>
            <w:bookmarkStart w:id="66" w:name="_Toc363199267"/>
            <w:r>
              <w:rPr>
                <w:rFonts w:hint="eastAsia" w:ascii="宋体" w:hAnsi="宋体" w:eastAsia="宋体" w:cs="宋体"/>
                <w:b/>
                <w:sz w:val="24"/>
                <w:szCs w:val="24"/>
              </w:rPr>
              <w:t>序号</w:t>
            </w:r>
          </w:p>
        </w:tc>
        <w:tc>
          <w:tcPr>
            <w:tcW w:w="1680" w:type="dxa"/>
            <w:vAlign w:val="center"/>
          </w:tcPr>
          <w:p w14:paraId="18D7E7DA">
            <w:pPr>
              <w:pageBreakBefore w:val="0"/>
              <w:kinsoku/>
              <w:wordWrap/>
              <w:overflowPunct/>
              <w:topLinePunct w:val="0"/>
              <w:autoSpaceDE/>
              <w:autoSpaceDN/>
              <w:bidi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130" w:type="dxa"/>
            <w:vAlign w:val="center"/>
          </w:tcPr>
          <w:p w14:paraId="698A3105">
            <w:pPr>
              <w:pStyle w:val="90"/>
              <w:pageBreakBefore w:val="0"/>
              <w:widowControl w:val="0"/>
              <w:kinsoku/>
              <w:wordWrap/>
              <w:overflowPunct/>
              <w:topLinePunct w:val="0"/>
              <w:autoSpaceDE/>
              <w:autoSpaceDN/>
              <w:bidi w:val="0"/>
              <w:spacing w:before="0" w:beforeAutospacing="0" w:after="0" w:afterAutospacing="0" w:line="500" w:lineRule="exact"/>
              <w:rPr>
                <w:rFonts w:hint="eastAsia" w:ascii="宋体" w:hAnsi="宋体" w:eastAsia="宋体" w:cs="宋体"/>
                <w:bCs w:val="0"/>
                <w:kern w:val="2"/>
                <w:sz w:val="24"/>
                <w:szCs w:val="24"/>
              </w:rPr>
            </w:pPr>
            <w:r>
              <w:rPr>
                <w:rFonts w:hint="eastAsia" w:ascii="宋体" w:hAnsi="宋体" w:eastAsia="宋体" w:cs="宋体"/>
                <w:bCs w:val="0"/>
                <w:kern w:val="2"/>
                <w:sz w:val="24"/>
                <w:szCs w:val="24"/>
              </w:rPr>
              <w:t>说明与要求</w:t>
            </w:r>
          </w:p>
        </w:tc>
      </w:tr>
      <w:tr w14:paraId="305C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A9EC9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w:t>
            </w:r>
          </w:p>
        </w:tc>
        <w:tc>
          <w:tcPr>
            <w:tcW w:w="1680" w:type="dxa"/>
            <w:vAlign w:val="center"/>
          </w:tcPr>
          <w:p w14:paraId="6A6253D9">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Cs/>
                <w:sz w:val="24"/>
                <w:szCs w:val="24"/>
              </w:rPr>
              <w:t>采购人</w:t>
            </w:r>
          </w:p>
        </w:tc>
        <w:tc>
          <w:tcPr>
            <w:tcW w:w="7130" w:type="dxa"/>
            <w:vAlign w:val="center"/>
          </w:tcPr>
          <w:p w14:paraId="4DE141E3">
            <w:pPr>
              <w:pageBreakBefore w:val="0"/>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cs="宋体"/>
                <w:sz w:val="24"/>
                <w:szCs w:val="24"/>
                <w:lang w:val="en-US" w:eastAsia="zh-CN"/>
              </w:rPr>
              <w:t>霍山县落儿岭镇人民政府</w:t>
            </w:r>
          </w:p>
        </w:tc>
      </w:tr>
      <w:tr w14:paraId="3294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3EC8D1D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2</w:t>
            </w:r>
          </w:p>
        </w:tc>
        <w:tc>
          <w:tcPr>
            <w:tcW w:w="1680" w:type="dxa"/>
            <w:vAlign w:val="center"/>
          </w:tcPr>
          <w:p w14:paraId="4942FF9F">
            <w:pPr>
              <w:pageBreakBefore w:val="0"/>
              <w:kinsoku/>
              <w:wordWrap/>
              <w:overflowPunct/>
              <w:topLinePunct w:val="0"/>
              <w:autoSpaceDE/>
              <w:autoSpaceDN/>
              <w:bidi w:val="0"/>
              <w:spacing w:line="500" w:lineRule="exact"/>
              <w:jc w:val="center"/>
              <w:rPr>
                <w:rFonts w:hint="eastAsia" w:ascii="宋体" w:hAnsi="宋体" w:eastAsia="宋体" w:cs="宋体"/>
                <w:bCs/>
                <w:sz w:val="24"/>
                <w:szCs w:val="24"/>
              </w:rPr>
            </w:pPr>
            <w:r>
              <w:rPr>
                <w:rFonts w:hint="eastAsia" w:ascii="宋体" w:hAnsi="宋体" w:eastAsia="宋体" w:cs="宋体"/>
                <w:sz w:val="24"/>
                <w:szCs w:val="24"/>
              </w:rPr>
              <w:t>采购代理机构</w:t>
            </w:r>
          </w:p>
        </w:tc>
        <w:tc>
          <w:tcPr>
            <w:tcW w:w="7130" w:type="dxa"/>
            <w:vAlign w:val="center"/>
          </w:tcPr>
          <w:p w14:paraId="4B5CAB52">
            <w:pPr>
              <w:pageBreakBefore w:val="0"/>
              <w:kinsoku/>
              <w:wordWrap/>
              <w:overflowPunct/>
              <w:topLinePunct w:val="0"/>
              <w:autoSpaceDE/>
              <w:autoSpaceDN/>
              <w:bidi w:val="0"/>
              <w:spacing w:line="500" w:lineRule="exact"/>
              <w:jc w:val="left"/>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bCs/>
                <w:sz w:val="24"/>
                <w:szCs w:val="24"/>
                <w:lang w:eastAsia="zh-CN"/>
              </w:rPr>
              <w:t>安徽衡宇工程咨询有限公司</w:t>
            </w:r>
            <w:r>
              <w:rPr>
                <w:rFonts w:hint="eastAsia" w:ascii="宋体" w:hAnsi="宋体" w:eastAsia="宋体" w:cs="宋体"/>
                <w:sz w:val="24"/>
                <w:szCs w:val="24"/>
              </w:rPr>
              <w:t xml:space="preserve"> </w:t>
            </w:r>
          </w:p>
          <w:p w14:paraId="5BAEF393">
            <w:pPr>
              <w:pageBreakBefore w:val="0"/>
              <w:kinsoku/>
              <w:wordWrap/>
              <w:overflowPunct/>
              <w:topLinePunct w:val="0"/>
              <w:autoSpaceDE/>
              <w:autoSpaceDN/>
              <w:bidi w:val="0"/>
              <w:spacing w:line="500" w:lineRule="exact"/>
              <w:jc w:val="left"/>
              <w:rPr>
                <w:rFonts w:hint="eastAsia" w:ascii="宋体" w:hAnsi="宋体" w:eastAsia="宋体" w:cs="宋体"/>
                <w:b/>
                <w:bCs/>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霍山县衡山镇中兴南路</w:t>
            </w:r>
            <w:r>
              <w:rPr>
                <w:rFonts w:hint="eastAsia" w:ascii="宋体" w:hAnsi="宋体" w:eastAsia="宋体" w:cs="宋体"/>
                <w:sz w:val="24"/>
                <w:szCs w:val="24"/>
                <w:lang w:val="en-US" w:eastAsia="zh-CN"/>
              </w:rPr>
              <w:t>16号（老建设局大院三楼）</w:t>
            </w:r>
            <w:r>
              <w:rPr>
                <w:rFonts w:hint="eastAsia" w:ascii="宋体" w:hAnsi="宋体" w:eastAsia="宋体" w:cs="宋体"/>
                <w:b/>
                <w:bCs/>
                <w:sz w:val="24"/>
                <w:szCs w:val="24"/>
              </w:rPr>
              <w:t xml:space="preserve"> </w:t>
            </w:r>
          </w:p>
        </w:tc>
      </w:tr>
      <w:tr w14:paraId="7D8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B66EF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3</w:t>
            </w:r>
          </w:p>
        </w:tc>
        <w:tc>
          <w:tcPr>
            <w:tcW w:w="1680" w:type="dxa"/>
            <w:vAlign w:val="center"/>
          </w:tcPr>
          <w:p w14:paraId="47245A6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谈判有效期</w:t>
            </w:r>
          </w:p>
        </w:tc>
        <w:tc>
          <w:tcPr>
            <w:tcW w:w="7130" w:type="dxa"/>
            <w:vAlign w:val="center"/>
          </w:tcPr>
          <w:p w14:paraId="41D7007E">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响应文件提交截止日后30天</w:t>
            </w:r>
          </w:p>
        </w:tc>
      </w:tr>
      <w:tr w14:paraId="01F4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5C6DF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4</w:t>
            </w:r>
          </w:p>
        </w:tc>
        <w:tc>
          <w:tcPr>
            <w:tcW w:w="1680" w:type="dxa"/>
            <w:vAlign w:val="center"/>
          </w:tcPr>
          <w:p w14:paraId="62453DEE">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项目类型</w:t>
            </w:r>
          </w:p>
        </w:tc>
        <w:tc>
          <w:tcPr>
            <w:tcW w:w="7130" w:type="dxa"/>
            <w:vAlign w:val="center"/>
          </w:tcPr>
          <w:p w14:paraId="3A346660">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服务类</w:t>
            </w:r>
          </w:p>
        </w:tc>
      </w:tr>
      <w:tr w14:paraId="20B1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241E12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5</w:t>
            </w:r>
          </w:p>
        </w:tc>
        <w:tc>
          <w:tcPr>
            <w:tcW w:w="1680" w:type="dxa"/>
            <w:vAlign w:val="center"/>
          </w:tcPr>
          <w:p w14:paraId="59351A53">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30" w:type="dxa"/>
            <w:vAlign w:val="center"/>
          </w:tcPr>
          <w:p w14:paraId="54E842C6">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cs="宋体"/>
                <w:b w:val="0"/>
                <w:bCs w:val="0"/>
                <w:sz w:val="24"/>
                <w:szCs w:val="24"/>
                <w:lang w:val="en-US" w:eastAsia="zh-CN"/>
              </w:rPr>
              <w:t>落儿岭村地灾点勘查设计项目</w:t>
            </w:r>
          </w:p>
        </w:tc>
      </w:tr>
      <w:tr w14:paraId="6066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2F9F787">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6</w:t>
            </w:r>
          </w:p>
        </w:tc>
        <w:tc>
          <w:tcPr>
            <w:tcW w:w="1680" w:type="dxa"/>
            <w:vAlign w:val="center"/>
          </w:tcPr>
          <w:p w14:paraId="528366E1">
            <w:pPr>
              <w:pageBreakBefore w:val="0"/>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130" w:type="dxa"/>
            <w:vAlign w:val="center"/>
          </w:tcPr>
          <w:p w14:paraId="4D2C9707">
            <w:pPr>
              <w:pStyle w:val="90"/>
              <w:pageBreakBefore w:val="0"/>
              <w:widowControl w:val="0"/>
              <w:kinsoku/>
              <w:wordWrap/>
              <w:overflowPunct/>
              <w:topLinePunct w:val="0"/>
              <w:autoSpaceDE/>
              <w:autoSpaceDN/>
              <w:bidi w:val="0"/>
              <w:spacing w:before="0" w:beforeAutospacing="0" w:after="0" w:afterAutospacing="0" w:line="50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HYCG-2024-01</w:t>
            </w:r>
            <w:r>
              <w:rPr>
                <w:rFonts w:hint="eastAsia" w:cs="宋体"/>
                <w:b w:val="0"/>
                <w:bCs w:val="0"/>
                <w:sz w:val="24"/>
                <w:szCs w:val="24"/>
                <w:lang w:val="en-US" w:eastAsia="zh-CN"/>
              </w:rPr>
              <w:t>8</w:t>
            </w:r>
          </w:p>
        </w:tc>
      </w:tr>
      <w:tr w14:paraId="5EA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1" w:hRule="atLeast"/>
          <w:jc w:val="center"/>
        </w:trPr>
        <w:tc>
          <w:tcPr>
            <w:tcW w:w="804" w:type="dxa"/>
            <w:vAlign w:val="center"/>
          </w:tcPr>
          <w:p w14:paraId="6174F80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7</w:t>
            </w:r>
          </w:p>
        </w:tc>
        <w:tc>
          <w:tcPr>
            <w:tcW w:w="1680" w:type="dxa"/>
            <w:vAlign w:val="center"/>
          </w:tcPr>
          <w:p w14:paraId="426D1647">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付款方式</w:t>
            </w:r>
          </w:p>
        </w:tc>
        <w:tc>
          <w:tcPr>
            <w:tcW w:w="7130" w:type="dxa"/>
            <w:vAlign w:val="center"/>
          </w:tcPr>
          <w:p w14:paraId="69981563">
            <w:pPr>
              <w:spacing w:before="234" w:line="400" w:lineRule="auto"/>
              <w:jc w:val="both"/>
              <w:rPr>
                <w:rFonts w:hint="eastAsia" w:ascii="宋体" w:hAnsi="宋体" w:eastAsia="宋体" w:cs="宋体"/>
                <w:b w:val="0"/>
                <w:bCs w:val="0"/>
                <w:sz w:val="24"/>
                <w:szCs w:val="24"/>
              </w:rPr>
            </w:pPr>
            <w:r>
              <w:rPr>
                <w:rFonts w:hint="eastAsia" w:ascii="宋体" w:hAnsi="宋体" w:eastAsia="宋体" w:cs="宋体"/>
                <w:color w:val="auto"/>
                <w:kern w:val="0"/>
                <w:sz w:val="24"/>
                <w:highlight w:val="none"/>
                <w:lang w:eastAsia="zh-CN"/>
              </w:rPr>
              <w:t>按期提交设计成果性文件并经采购人及相关部门审查通过，</w:t>
            </w:r>
            <w:r>
              <w:rPr>
                <w:rFonts w:hint="eastAsia" w:ascii="宋体" w:hAnsi="宋体" w:eastAsia="宋体" w:cs="宋体"/>
                <w:color w:val="auto"/>
                <w:kern w:val="0"/>
                <w:sz w:val="24"/>
                <w:highlight w:val="none"/>
                <w:lang w:val="en-US" w:eastAsia="zh-CN"/>
              </w:rPr>
              <w:t>待上级资金落实到位后</w:t>
            </w:r>
            <w:r>
              <w:rPr>
                <w:rFonts w:hint="eastAsia" w:ascii="宋体" w:hAnsi="宋体" w:eastAsia="宋体" w:cs="宋体"/>
                <w:color w:val="auto"/>
                <w:kern w:val="0"/>
                <w:sz w:val="24"/>
                <w:highlight w:val="none"/>
                <w:lang w:eastAsia="zh-CN"/>
              </w:rPr>
              <w:t>一次性支付合同价款（具体以签订合同为准）。</w:t>
            </w:r>
          </w:p>
        </w:tc>
      </w:tr>
      <w:tr w14:paraId="1910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C9637D6">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8</w:t>
            </w:r>
          </w:p>
        </w:tc>
        <w:tc>
          <w:tcPr>
            <w:tcW w:w="1680" w:type="dxa"/>
            <w:vAlign w:val="center"/>
          </w:tcPr>
          <w:p w14:paraId="06308402">
            <w:pPr>
              <w:pageBreakBefore w:val="0"/>
              <w:kinsoku/>
              <w:wordWrap/>
              <w:overflowPunct/>
              <w:topLinePunct w:val="0"/>
              <w:autoSpaceDE/>
              <w:autoSpaceDN/>
              <w:bidi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7130" w:type="dxa"/>
            <w:vAlign w:val="center"/>
          </w:tcPr>
          <w:p w14:paraId="225C7B0E">
            <w:pPr>
              <w:pStyle w:val="90"/>
              <w:pageBreakBefore w:val="0"/>
              <w:widowControl w:val="0"/>
              <w:kinsoku/>
              <w:wordWrap/>
              <w:overflowPunct/>
              <w:topLinePunct w:val="0"/>
              <w:autoSpaceDE/>
              <w:autoSpaceDN/>
              <w:bidi w:val="0"/>
              <w:spacing w:before="0" w:beforeAutospacing="0" w:after="0" w:afterAutospacing="0" w:line="500" w:lineRule="exact"/>
              <w:jc w:val="both"/>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30日历天</w:t>
            </w:r>
          </w:p>
        </w:tc>
      </w:tr>
      <w:tr w14:paraId="205F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EB9D6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9</w:t>
            </w:r>
          </w:p>
        </w:tc>
        <w:tc>
          <w:tcPr>
            <w:tcW w:w="1680" w:type="dxa"/>
            <w:vAlign w:val="center"/>
          </w:tcPr>
          <w:p w14:paraId="1C12AC7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r>
              <w:rPr>
                <w:rFonts w:hint="eastAsia" w:ascii="宋体" w:hAnsi="宋体" w:eastAsia="宋体" w:cs="宋体"/>
                <w:bCs/>
                <w:kern w:val="2"/>
                <w:sz w:val="24"/>
                <w:szCs w:val="24"/>
              </w:rPr>
              <w:t>中标服务费</w:t>
            </w:r>
          </w:p>
        </w:tc>
        <w:tc>
          <w:tcPr>
            <w:tcW w:w="7130" w:type="dxa"/>
            <w:vAlign w:val="center"/>
          </w:tcPr>
          <w:p w14:paraId="15970FB4">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spacing w:val="-5"/>
                <w:sz w:val="24"/>
                <w:szCs w:val="24"/>
                <w:lang w:val="en-US" w:eastAsia="zh-CN"/>
              </w:rPr>
            </w:pPr>
            <w:r>
              <w:rPr>
                <w:rFonts w:hint="eastAsia" w:ascii="宋体" w:hAnsi="宋体" w:cs="宋体"/>
                <w:color w:val="auto"/>
                <w:szCs w:val="24"/>
                <w:highlight w:val="none"/>
              </w:rPr>
              <w:t>在领取成交通知书时，成交供应商须向采购代理机构交纳</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代理服务费、专家评审费</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代理服务费计算基数为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w:t>
            </w:r>
            <w:r>
              <w:rPr>
                <w:rFonts w:hint="eastAsia" w:ascii="宋体" w:hAnsi="宋体" w:cs="宋体"/>
                <w:color w:val="auto"/>
                <w:szCs w:val="24"/>
                <w:highlight w:val="none"/>
                <w:lang w:eastAsia="zh-CN"/>
              </w:rPr>
              <w:t>，</w:t>
            </w:r>
            <w:r>
              <w:rPr>
                <w:rFonts w:hint="eastAsia" w:ascii="宋体" w:hAnsi="宋体" w:cs="宋体"/>
                <w:color w:val="auto"/>
                <w:szCs w:val="24"/>
                <w:highlight w:val="none"/>
              </w:rPr>
              <w:t>按</w:t>
            </w:r>
            <w:r>
              <w:rPr>
                <w:rFonts w:hint="eastAsia" w:ascii="宋体" w:hAnsi="宋体" w:eastAsia="宋体" w:cs="宋体"/>
                <w:spacing w:val="-5"/>
                <w:sz w:val="24"/>
                <w:szCs w:val="24"/>
                <w:lang w:val="en-US" w:eastAsia="zh-CN"/>
              </w:rPr>
              <w:t>按下列标准的100%收取：代理服务费的收取采用差额定率累进计费方式，具体收费标准为下表：</w:t>
            </w:r>
          </w:p>
          <w:tbl>
            <w:tblPr>
              <w:tblStyle w:val="37"/>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73"/>
              <w:gridCol w:w="1773"/>
              <w:gridCol w:w="1773"/>
            </w:tblGrid>
            <w:tr w14:paraId="60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194906A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ascii="宋体" w:hAnsi="宋体" w:eastAsia="宋体" w:cs="宋体"/>
                      <w:spacing w:val="-4"/>
                      <w:sz w:val="24"/>
                      <w:szCs w:val="24"/>
                    </w:rPr>
                    <w:t>中标（成交）金额</w:t>
                  </w:r>
                  <w:r>
                    <w:rPr>
                      <w:rFonts w:ascii="宋体" w:hAnsi="宋体" w:eastAsia="宋体" w:cs="宋体"/>
                      <w:sz w:val="24"/>
                      <w:szCs w:val="24"/>
                    </w:rPr>
                    <w:t xml:space="preserve"> </w:t>
                  </w:r>
                  <w:r>
                    <w:rPr>
                      <w:rFonts w:ascii="宋体" w:hAnsi="宋体" w:eastAsia="宋体" w:cs="宋体"/>
                      <w:spacing w:val="-6"/>
                      <w:sz w:val="24"/>
                      <w:szCs w:val="24"/>
                    </w:rPr>
                    <w:t>（万元）</w:t>
                  </w:r>
                </w:p>
              </w:tc>
              <w:tc>
                <w:tcPr>
                  <w:tcW w:w="1773" w:type="dxa"/>
                  <w:shd w:val="clear" w:color="auto" w:fill="auto"/>
                  <w:vAlign w:val="center"/>
                </w:tcPr>
                <w:p w14:paraId="6BDE3E9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货物类项目</w:t>
                  </w:r>
                </w:p>
              </w:tc>
              <w:tc>
                <w:tcPr>
                  <w:tcW w:w="1773" w:type="dxa"/>
                  <w:shd w:val="clear" w:color="auto" w:fill="auto"/>
                  <w:vAlign w:val="center"/>
                </w:tcPr>
                <w:p w14:paraId="221142E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服务类项目</w:t>
                  </w:r>
                </w:p>
              </w:tc>
              <w:tc>
                <w:tcPr>
                  <w:tcW w:w="1773" w:type="dxa"/>
                  <w:shd w:val="clear" w:color="auto" w:fill="auto"/>
                  <w:vAlign w:val="center"/>
                </w:tcPr>
                <w:p w14:paraId="755E79B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6"/>
                      <w:sz w:val="24"/>
                      <w:szCs w:val="24"/>
                      <w:lang w:val="en-US" w:eastAsia="zh-CN"/>
                    </w:rPr>
                  </w:pPr>
                  <w:r>
                    <w:rPr>
                      <w:rFonts w:ascii="宋体" w:hAnsi="宋体" w:eastAsia="宋体" w:cs="宋体"/>
                      <w:spacing w:val="-6"/>
                      <w:sz w:val="24"/>
                      <w:szCs w:val="24"/>
                    </w:rPr>
                    <w:t>工程类项目</w:t>
                  </w:r>
                </w:p>
              </w:tc>
            </w:tr>
            <w:tr w14:paraId="11B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5B2535F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100以下</w:t>
                  </w:r>
                </w:p>
              </w:tc>
              <w:tc>
                <w:tcPr>
                  <w:tcW w:w="1773" w:type="dxa"/>
                  <w:vAlign w:val="center"/>
                </w:tcPr>
                <w:p w14:paraId="5A4A64D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2CD86FF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1.5%</w:t>
                  </w:r>
                </w:p>
              </w:tc>
              <w:tc>
                <w:tcPr>
                  <w:tcW w:w="1773" w:type="dxa"/>
                  <w:vAlign w:val="center"/>
                </w:tcPr>
                <w:p w14:paraId="5AB7962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w:t>
                  </w:r>
                </w:p>
              </w:tc>
            </w:tr>
            <w:tr w14:paraId="055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3C4A4D3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100-500</w:t>
                  </w:r>
                </w:p>
              </w:tc>
              <w:tc>
                <w:tcPr>
                  <w:tcW w:w="1773" w:type="dxa"/>
                  <w:vAlign w:val="center"/>
                </w:tcPr>
                <w:p w14:paraId="64EDF0EB">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1.1%</w:t>
                  </w:r>
                </w:p>
              </w:tc>
              <w:tc>
                <w:tcPr>
                  <w:tcW w:w="1773" w:type="dxa"/>
                  <w:vAlign w:val="center"/>
                </w:tcPr>
                <w:p w14:paraId="6A82D12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361D8E6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0.7%</w:t>
                  </w:r>
                </w:p>
              </w:tc>
            </w:tr>
            <w:tr w14:paraId="5FB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7FA60D2">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500-1000</w:t>
                  </w:r>
                </w:p>
              </w:tc>
              <w:tc>
                <w:tcPr>
                  <w:tcW w:w="1773" w:type="dxa"/>
                  <w:vAlign w:val="center"/>
                </w:tcPr>
                <w:p w14:paraId="6DFA325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0.8%</w:t>
                  </w:r>
                </w:p>
              </w:tc>
              <w:tc>
                <w:tcPr>
                  <w:tcW w:w="1773" w:type="dxa"/>
                  <w:vAlign w:val="center"/>
                </w:tcPr>
                <w:p w14:paraId="7D217C1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w:t>
                  </w:r>
                  <w:r>
                    <w:rPr>
                      <w:rFonts w:hint="eastAsia" w:ascii="宋体" w:hAnsi="宋体" w:cs="宋体"/>
                      <w:spacing w:val="-5"/>
                      <w:sz w:val="24"/>
                      <w:szCs w:val="24"/>
                      <w:vertAlign w:val="baseline"/>
                      <w:lang w:val="en-US" w:eastAsia="zh-CN"/>
                    </w:rPr>
                    <w:t>4</w:t>
                  </w:r>
                  <w:r>
                    <w:rPr>
                      <w:rFonts w:hint="eastAsia" w:ascii="宋体" w:hAnsi="宋体" w:eastAsia="宋体" w:cs="宋体"/>
                      <w:spacing w:val="-5"/>
                      <w:sz w:val="24"/>
                      <w:szCs w:val="24"/>
                      <w:vertAlign w:val="baseline"/>
                      <w:lang w:val="en-US" w:eastAsia="zh-CN"/>
                    </w:rPr>
                    <w:t>5%</w:t>
                  </w:r>
                </w:p>
              </w:tc>
              <w:tc>
                <w:tcPr>
                  <w:tcW w:w="1773" w:type="dxa"/>
                  <w:vAlign w:val="center"/>
                </w:tcPr>
                <w:p w14:paraId="0CF5544D">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0.55%</w:t>
                  </w:r>
                </w:p>
              </w:tc>
            </w:tr>
            <w:tr w14:paraId="287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65ED6AB8">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1000-5000</w:t>
                  </w:r>
                </w:p>
              </w:tc>
              <w:tc>
                <w:tcPr>
                  <w:tcW w:w="1773" w:type="dxa"/>
                  <w:vAlign w:val="center"/>
                </w:tcPr>
                <w:p w14:paraId="0C825A6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0.5%</w:t>
                  </w:r>
                </w:p>
              </w:tc>
              <w:tc>
                <w:tcPr>
                  <w:tcW w:w="1773" w:type="dxa"/>
                  <w:vAlign w:val="center"/>
                </w:tcPr>
                <w:p w14:paraId="41D7B48A">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2313CE5">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0.35%</w:t>
                  </w:r>
                </w:p>
              </w:tc>
            </w:tr>
            <w:tr w14:paraId="181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351F3E3">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5000-10000</w:t>
                  </w:r>
                </w:p>
              </w:tc>
              <w:tc>
                <w:tcPr>
                  <w:tcW w:w="1773" w:type="dxa"/>
                  <w:vAlign w:val="center"/>
                </w:tcPr>
                <w:p w14:paraId="2A54CD54">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0.25%</w:t>
                  </w:r>
                </w:p>
              </w:tc>
              <w:tc>
                <w:tcPr>
                  <w:tcW w:w="1773" w:type="dxa"/>
                  <w:vAlign w:val="center"/>
                </w:tcPr>
                <w:p w14:paraId="446672A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0.1%</w:t>
                  </w:r>
                </w:p>
              </w:tc>
              <w:tc>
                <w:tcPr>
                  <w:tcW w:w="1773" w:type="dxa"/>
                  <w:vAlign w:val="center"/>
                </w:tcPr>
                <w:p w14:paraId="06AF547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0.2%</w:t>
                  </w:r>
                </w:p>
              </w:tc>
            </w:tr>
            <w:tr w14:paraId="59B5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720BE5CE">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10000-100000</w:t>
                  </w:r>
                </w:p>
              </w:tc>
              <w:tc>
                <w:tcPr>
                  <w:tcW w:w="1773" w:type="dxa"/>
                  <w:vAlign w:val="center"/>
                </w:tcPr>
                <w:p w14:paraId="2EE27929">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094A778E">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c>
                <w:tcPr>
                  <w:tcW w:w="1773" w:type="dxa"/>
                  <w:vAlign w:val="center"/>
                </w:tcPr>
                <w:p w14:paraId="64171FFB">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0.05%</w:t>
                  </w:r>
                </w:p>
              </w:tc>
            </w:tr>
            <w:tr w14:paraId="501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vAlign w:val="center"/>
                </w:tcPr>
                <w:p w14:paraId="44BE2AA7">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100000以上</w:t>
                  </w:r>
                </w:p>
              </w:tc>
              <w:tc>
                <w:tcPr>
                  <w:tcW w:w="1773" w:type="dxa"/>
                  <w:vAlign w:val="center"/>
                </w:tcPr>
                <w:p w14:paraId="026422B1">
                  <w:pPr>
                    <w:pStyle w:val="88"/>
                    <w:numPr>
                      <w:ilvl w:val="0"/>
                      <w:numId w:val="0"/>
                    </w:numPr>
                    <w:pBdr>
                      <w:bottom w:val="none" w:color="auto" w:sz="0" w:space="0"/>
                    </w:pBdr>
                    <w:tabs>
                      <w:tab w:val="clear" w:pos="4153"/>
                      <w:tab w:val="clear" w:pos="8306"/>
                    </w:tabs>
                    <w:adjustRightInd/>
                    <w:spacing w:line="440" w:lineRule="exact"/>
                    <w:jc w:val="center"/>
                    <w:textAlignment w:val="auto"/>
                    <w:rPr>
                      <w:rFonts w:hint="default"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384EA32A">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c>
                <w:tcPr>
                  <w:tcW w:w="1773" w:type="dxa"/>
                  <w:vAlign w:val="center"/>
                </w:tcPr>
                <w:p w14:paraId="0D450C96">
                  <w:pPr>
                    <w:pStyle w:val="88"/>
                    <w:numPr>
                      <w:ilvl w:val="0"/>
                      <w:numId w:val="0"/>
                    </w:numPr>
                    <w:pBdr>
                      <w:bottom w:val="none" w:color="auto" w:sz="0" w:space="0"/>
                    </w:pBdr>
                    <w:tabs>
                      <w:tab w:val="clear" w:pos="4153"/>
                      <w:tab w:val="clear" w:pos="8306"/>
                    </w:tabs>
                    <w:adjustRightInd/>
                    <w:spacing w:line="440" w:lineRule="exact"/>
                    <w:ind w:left="0" w:leftChars="0" w:firstLine="0" w:firstLineChars="0"/>
                    <w:jc w:val="center"/>
                    <w:textAlignment w:val="auto"/>
                    <w:rPr>
                      <w:rFonts w:hint="eastAsia" w:ascii="宋体" w:hAnsi="宋体" w:eastAsia="宋体" w:cs="宋体"/>
                      <w:spacing w:val="-5"/>
                      <w:sz w:val="24"/>
                      <w:szCs w:val="24"/>
                      <w:vertAlign w:val="baseline"/>
                      <w:lang w:val="en-US" w:eastAsia="zh-CN"/>
                    </w:rPr>
                  </w:pPr>
                  <w:r>
                    <w:rPr>
                      <w:rFonts w:hint="eastAsia" w:ascii="宋体" w:hAnsi="宋体" w:eastAsia="宋体" w:cs="宋体"/>
                      <w:spacing w:val="-5"/>
                      <w:sz w:val="24"/>
                      <w:szCs w:val="24"/>
                      <w:vertAlign w:val="baseline"/>
                      <w:lang w:val="en-US" w:eastAsia="zh-CN"/>
                    </w:rPr>
                    <w:t>0.01%</w:t>
                  </w:r>
                </w:p>
              </w:tc>
            </w:tr>
          </w:tbl>
          <w:p w14:paraId="60CBC4FE">
            <w:pPr>
              <w:pageBreakBefore w:val="0"/>
              <w:kinsoku/>
              <w:wordWrap/>
              <w:overflowPunct/>
              <w:topLinePunct w:val="0"/>
              <w:autoSpaceDE/>
              <w:autoSpaceDN/>
              <w:bidi w:val="0"/>
              <w:spacing w:line="500" w:lineRule="exact"/>
              <w:rPr>
                <w:rFonts w:hint="eastAsia" w:ascii="宋体" w:hAnsi="宋体" w:eastAsia="宋体" w:cs="宋体"/>
                <w:bCs/>
                <w:sz w:val="24"/>
                <w:szCs w:val="24"/>
                <w:lang w:val="zh-CN" w:eastAsia="zh-CN"/>
              </w:rPr>
            </w:pPr>
            <w:r>
              <w:rPr>
                <w:rFonts w:hint="eastAsia" w:ascii="宋体" w:hAnsi="宋体" w:eastAsia="宋体" w:cs="宋体"/>
                <w:bCs/>
                <w:sz w:val="24"/>
                <w:szCs w:val="24"/>
                <w:lang w:val="zh-CN" w:eastAsia="zh-CN"/>
              </w:rPr>
              <w:t>注：代理服务费按差额定率累进法计算（</w:t>
            </w:r>
            <w:r>
              <w:rPr>
                <w:rFonts w:hint="eastAsia" w:ascii="宋体" w:hAnsi="宋体" w:eastAsia="宋体" w:cs="宋体"/>
                <w:bCs/>
                <w:sz w:val="24"/>
                <w:szCs w:val="24"/>
                <w:lang w:val="en-US" w:eastAsia="zh-CN"/>
              </w:rPr>
              <w:t>代理费不足2000元的按2000 元计取</w:t>
            </w:r>
            <w:r>
              <w:rPr>
                <w:rFonts w:hint="eastAsia" w:ascii="宋体" w:hAnsi="宋体" w:eastAsia="宋体" w:cs="宋体"/>
                <w:bCs/>
                <w:sz w:val="24"/>
                <w:szCs w:val="24"/>
                <w:lang w:val="zh-CN" w:eastAsia="zh-CN"/>
              </w:rPr>
              <w:t>）。专家评审费（具体以实际支付金额为准）由成交供应商在领取成交通知书时另行支付。</w:t>
            </w:r>
          </w:p>
          <w:p w14:paraId="6AC3CC82">
            <w:pPr>
              <w:pageBreakBefore w:val="0"/>
              <w:kinsoku/>
              <w:wordWrap/>
              <w:overflowPunct/>
              <w:topLinePunct w:val="0"/>
              <w:autoSpaceDE/>
              <w:autoSpaceDN/>
              <w:bidi w:val="0"/>
              <w:spacing w:line="50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供应商在报价时应充分考虑上述费用，并包含在投标报价的单价、合价与总价中，不单独进行报价。</w:t>
            </w:r>
          </w:p>
        </w:tc>
      </w:tr>
      <w:tr w14:paraId="30B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2F3E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10</w:t>
            </w:r>
          </w:p>
        </w:tc>
        <w:tc>
          <w:tcPr>
            <w:tcW w:w="1680" w:type="dxa"/>
            <w:vAlign w:val="center"/>
          </w:tcPr>
          <w:p w14:paraId="162ACC50">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履约保证金</w:t>
            </w:r>
          </w:p>
        </w:tc>
        <w:tc>
          <w:tcPr>
            <w:tcW w:w="7130" w:type="dxa"/>
            <w:vAlign w:val="center"/>
          </w:tcPr>
          <w:p w14:paraId="38872793">
            <w:pPr>
              <w:pageBreakBefore w:val="0"/>
              <w:kinsoku/>
              <w:wordWrap/>
              <w:overflowPunct/>
              <w:topLinePunct w:val="0"/>
              <w:autoSpaceDE/>
              <w:autoSpaceDN/>
              <w:bidi w:val="0"/>
              <w:spacing w:line="500" w:lineRule="exact"/>
              <w:rPr>
                <w:rFonts w:hint="eastAsia" w:ascii="宋体" w:hAnsi="宋体" w:eastAsia="宋体" w:cs="宋体"/>
                <w:bCs/>
                <w:sz w:val="24"/>
                <w:szCs w:val="24"/>
              </w:rPr>
            </w:pPr>
            <w:r>
              <w:rPr>
                <w:rFonts w:hint="eastAsia" w:ascii="宋体" w:hAnsi="宋体" w:eastAsia="宋体" w:cs="宋体"/>
                <w:bCs/>
                <w:sz w:val="24"/>
                <w:szCs w:val="24"/>
              </w:rPr>
              <w:t>1、成交供应商在签订合同时应向采购人提交合同总价</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%的履约保证金（最高缴纳比例不得超过合同金额的2.5%）。</w:t>
            </w:r>
          </w:p>
          <w:p w14:paraId="6D78E101">
            <w:pPr>
              <w:pageBreakBefore w:val="0"/>
              <w:kinsoku/>
              <w:wordWrap/>
              <w:overflowPunct/>
              <w:topLinePunct w:val="0"/>
              <w:autoSpaceDE/>
              <w:autoSpaceDN/>
              <w:bidi w:val="0"/>
              <w:spacing w:line="500" w:lineRule="exact"/>
              <w:rPr>
                <w:rFonts w:hint="eastAsia" w:ascii="宋体" w:hAnsi="宋体" w:eastAsia="宋体" w:cs="宋体"/>
                <w:bCs/>
                <w:sz w:val="24"/>
                <w:szCs w:val="24"/>
              </w:rPr>
            </w:pPr>
            <w:r>
              <w:rPr>
                <w:rFonts w:hint="eastAsia" w:ascii="宋体" w:hAnsi="宋体" w:eastAsia="宋体" w:cs="宋体"/>
                <w:bCs/>
                <w:sz w:val="24"/>
                <w:szCs w:val="24"/>
              </w:rPr>
              <w:t>2、成交供应商可以通过转账、网银支付、汇票、支票、保证保险、担保保函、银行履约保函等方式提交履约保证金。</w:t>
            </w:r>
          </w:p>
          <w:p w14:paraId="050F63DF">
            <w:pPr>
              <w:pStyle w:val="34"/>
              <w:pageBreakBefore w:val="0"/>
              <w:kinsoku/>
              <w:wordWrap/>
              <w:overflowPunct/>
              <w:topLinePunct w:val="0"/>
              <w:autoSpaceDE/>
              <w:autoSpaceDN/>
              <w:bidi w:val="0"/>
              <w:spacing w:line="500" w:lineRule="exact"/>
              <w:ind w:firstLine="0"/>
              <w:rPr>
                <w:rFonts w:hint="eastAsia" w:ascii="宋体" w:hAnsi="宋体" w:eastAsia="宋体" w:cs="宋体"/>
                <w:sz w:val="24"/>
                <w:szCs w:val="24"/>
              </w:rPr>
            </w:pPr>
            <w:r>
              <w:rPr>
                <w:rFonts w:hint="eastAsia" w:ascii="宋体" w:hAnsi="宋体" w:eastAsia="宋体" w:cs="宋体"/>
                <w:sz w:val="24"/>
                <w:szCs w:val="24"/>
              </w:rPr>
              <w:t>3、项目验收结束后应及时退还履约保证金。</w:t>
            </w:r>
          </w:p>
        </w:tc>
      </w:tr>
      <w:tr w14:paraId="6757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403D23B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11</w:t>
            </w:r>
          </w:p>
        </w:tc>
        <w:tc>
          <w:tcPr>
            <w:tcW w:w="1680" w:type="dxa"/>
            <w:vAlign w:val="center"/>
          </w:tcPr>
          <w:p w14:paraId="5E66EB2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勘察及对接</w:t>
            </w:r>
          </w:p>
        </w:tc>
        <w:tc>
          <w:tcPr>
            <w:tcW w:w="7130" w:type="dxa"/>
            <w:vAlign w:val="center"/>
          </w:tcPr>
          <w:p w14:paraId="5D04740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both"/>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请各供应商自行勘踏。</w:t>
            </w:r>
          </w:p>
        </w:tc>
      </w:tr>
      <w:tr w14:paraId="3364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5B907823">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12</w:t>
            </w:r>
          </w:p>
        </w:tc>
        <w:tc>
          <w:tcPr>
            <w:tcW w:w="1680" w:type="dxa"/>
            <w:vAlign w:val="center"/>
          </w:tcPr>
          <w:p w14:paraId="75F03BC9">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提问与回复</w:t>
            </w:r>
          </w:p>
        </w:tc>
        <w:tc>
          <w:tcPr>
            <w:tcW w:w="7130" w:type="dxa"/>
            <w:vAlign w:val="center"/>
          </w:tcPr>
          <w:p w14:paraId="65A1102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cs="宋体"/>
                <w:bCs/>
                <w:kern w:val="2"/>
                <w:szCs w:val="24"/>
              </w:rPr>
              <w:t>供应商若对采购文件有关内容存在理解障碍，或认为采购文件表述有模糊不清之处，可通过</w:t>
            </w:r>
            <w:r>
              <w:rPr>
                <w:rFonts w:hint="eastAsia" w:ascii="宋体" w:hAnsi="宋体" w:cs="宋体"/>
                <w:bCs/>
                <w:kern w:val="2"/>
                <w:szCs w:val="24"/>
                <w:lang w:val="en-US"/>
              </w:rPr>
              <w:t>电子邮箱（</w:t>
            </w:r>
            <w:r>
              <w:rPr>
                <w:rFonts w:hint="eastAsia" w:ascii="宋体" w:hAnsi="宋体" w:cs="宋体"/>
                <w:szCs w:val="24"/>
              </w:rPr>
              <w:t>递交至</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提出，采购人（采购代理机构）收到供应商提问后将及时通过</w:t>
            </w:r>
            <w:r>
              <w:rPr>
                <w:rFonts w:hint="eastAsia" w:ascii="宋体" w:hAnsi="宋体" w:cs="宋体"/>
                <w:bCs/>
                <w:kern w:val="2"/>
                <w:szCs w:val="24"/>
                <w:lang w:val="en-US"/>
              </w:rPr>
              <w:t>邮箱</w:t>
            </w:r>
            <w:r>
              <w:rPr>
                <w:rFonts w:hint="eastAsia" w:ascii="宋体" w:hAnsi="宋体" w:cs="宋体"/>
                <w:bCs/>
                <w:kern w:val="2"/>
                <w:szCs w:val="24"/>
              </w:rPr>
              <w:t>回复。供应商提问（</w:t>
            </w:r>
            <w:r>
              <w:rPr>
                <w:rFonts w:hint="eastAsia" w:ascii="宋体" w:hAnsi="宋体" w:cs="宋体"/>
                <w:bCs/>
                <w:kern w:val="2"/>
                <w:szCs w:val="24"/>
                <w:lang w:val="en-US"/>
              </w:rPr>
              <w:t>非质疑的一般性问题</w:t>
            </w:r>
            <w:r>
              <w:rPr>
                <w:rFonts w:hint="eastAsia" w:ascii="宋体" w:hAnsi="宋体" w:cs="宋体"/>
                <w:bCs/>
                <w:kern w:val="2"/>
                <w:szCs w:val="24"/>
              </w:rPr>
              <w:t>）时应当隐藏自身信息，直接提出针对项目的相关疑问即可。提交成功后请供应商及时通过</w:t>
            </w:r>
            <w:r>
              <w:rPr>
                <w:rFonts w:hint="eastAsia" w:ascii="宋体" w:hAnsi="宋体" w:cs="宋体"/>
                <w:bCs/>
                <w:kern w:val="2"/>
                <w:szCs w:val="24"/>
                <w:lang w:val="en-US"/>
              </w:rPr>
              <w:t>发出质疑的邮箱</w:t>
            </w:r>
            <w:r>
              <w:rPr>
                <w:rFonts w:hint="eastAsia" w:ascii="宋体" w:hAnsi="宋体" w:cs="宋体"/>
                <w:bCs/>
                <w:kern w:val="2"/>
                <w:szCs w:val="24"/>
              </w:rPr>
              <w:t>查看回复内容。</w:t>
            </w:r>
          </w:p>
        </w:tc>
      </w:tr>
      <w:tr w14:paraId="6D1B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65655418">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13</w:t>
            </w:r>
          </w:p>
        </w:tc>
        <w:tc>
          <w:tcPr>
            <w:tcW w:w="1680" w:type="dxa"/>
            <w:vAlign w:val="center"/>
          </w:tcPr>
          <w:p w14:paraId="1B008DA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质疑与答疑</w:t>
            </w:r>
          </w:p>
        </w:tc>
        <w:tc>
          <w:tcPr>
            <w:tcW w:w="7130" w:type="dxa"/>
            <w:vAlign w:val="center"/>
          </w:tcPr>
          <w:p w14:paraId="2E3157B5">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1、质疑提出</w:t>
            </w:r>
            <w:r>
              <w:rPr>
                <w:rFonts w:hint="eastAsia" w:ascii="宋体" w:hAnsi="宋体" w:eastAsia="宋体" w:cs="宋体"/>
                <w:bCs/>
                <w:kern w:val="2"/>
                <w:sz w:val="24"/>
                <w:szCs w:val="24"/>
                <w:lang w:val="en-US"/>
              </w:rPr>
              <w:t>具体步骤</w:t>
            </w:r>
            <w:r>
              <w:rPr>
                <w:rFonts w:hint="eastAsia" w:ascii="宋体" w:hAnsi="宋体" w:eastAsia="宋体" w:cs="宋体"/>
                <w:bCs/>
                <w:kern w:val="2"/>
                <w:sz w:val="24"/>
                <w:szCs w:val="24"/>
              </w:rPr>
              <w:t>：供应商若对采购文件有关内容存在质疑，可通过</w:t>
            </w:r>
            <w:r>
              <w:rPr>
                <w:rFonts w:hint="eastAsia" w:ascii="宋体" w:hAnsi="宋体" w:eastAsia="宋体" w:cs="宋体"/>
                <w:bCs/>
                <w:kern w:val="2"/>
                <w:sz w:val="24"/>
                <w:szCs w:val="24"/>
                <w:lang w:val="en-US"/>
              </w:rPr>
              <w:t>电子邮箱（</w:t>
            </w:r>
            <w:r>
              <w:rPr>
                <w:rFonts w:hint="eastAsia" w:ascii="宋体" w:hAnsi="宋体" w:eastAsia="宋体" w:cs="宋体"/>
                <w:bCs/>
                <w:kern w:val="2"/>
                <w:sz w:val="24"/>
                <w:szCs w:val="24"/>
              </w:rPr>
              <w:t>递交至邮箱</w:t>
            </w:r>
            <w:r>
              <w:rPr>
                <w:rFonts w:hint="eastAsia" w:ascii="宋体" w:hAnsi="宋体" w:eastAsia="宋体" w:cs="宋体"/>
                <w:bCs/>
                <w:kern w:val="2"/>
                <w:sz w:val="24"/>
                <w:szCs w:val="24"/>
                <w:lang w:val="en-US"/>
              </w:rPr>
              <w:t>943084965</w:t>
            </w:r>
            <w:r>
              <w:rPr>
                <w:rFonts w:hint="eastAsia" w:ascii="宋体" w:hAnsi="宋体" w:eastAsia="宋体" w:cs="宋体"/>
                <w:bCs/>
                <w:kern w:val="2"/>
                <w:sz w:val="24"/>
                <w:szCs w:val="24"/>
              </w:rPr>
              <w:t>@qq.com</w:t>
            </w:r>
            <w:r>
              <w:rPr>
                <w:rFonts w:hint="eastAsia" w:ascii="宋体" w:hAnsi="宋体" w:eastAsia="宋体" w:cs="宋体"/>
                <w:bCs/>
                <w:kern w:val="2"/>
                <w:sz w:val="24"/>
                <w:szCs w:val="24"/>
                <w:lang w:val="en-US"/>
              </w:rPr>
              <w:t>）</w:t>
            </w:r>
            <w:r>
              <w:rPr>
                <w:rFonts w:hint="eastAsia" w:ascii="宋体" w:hAnsi="宋体" w:eastAsia="宋体" w:cs="宋体"/>
                <w:bCs/>
                <w:kern w:val="2"/>
                <w:sz w:val="24"/>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eastAsia="宋体" w:cs="宋体"/>
                <w:bCs/>
                <w:kern w:val="2"/>
                <w:sz w:val="24"/>
                <w:szCs w:val="24"/>
                <w:lang w:val="en-US"/>
              </w:rPr>
              <w:t>公章</w:t>
            </w:r>
            <w:r>
              <w:rPr>
                <w:rFonts w:hint="eastAsia" w:ascii="宋体" w:hAnsi="宋体" w:eastAsia="宋体" w:cs="宋体"/>
                <w:bCs/>
                <w:kern w:val="2"/>
                <w:sz w:val="24"/>
                <w:szCs w:val="24"/>
              </w:rPr>
              <w:t>签章后</w:t>
            </w:r>
            <w:r>
              <w:rPr>
                <w:rFonts w:hint="eastAsia" w:ascii="宋体" w:hAnsi="宋体" w:eastAsia="宋体" w:cs="宋体"/>
                <w:bCs/>
                <w:kern w:val="2"/>
                <w:sz w:val="24"/>
                <w:szCs w:val="24"/>
                <w:lang w:val="en-US"/>
              </w:rPr>
              <w:t>扫描</w:t>
            </w:r>
            <w:r>
              <w:rPr>
                <w:rFonts w:hint="eastAsia" w:ascii="宋体" w:hAnsi="宋体" w:eastAsia="宋体" w:cs="宋体"/>
                <w:bCs/>
                <w:kern w:val="2"/>
                <w:sz w:val="24"/>
                <w:szCs w:val="24"/>
              </w:rPr>
              <w:t>提交。</w:t>
            </w:r>
          </w:p>
          <w:p w14:paraId="6794CB7A">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2、质疑答</w:t>
            </w:r>
            <w:r>
              <w:rPr>
                <w:rFonts w:hint="eastAsia" w:ascii="宋体" w:hAnsi="宋体" w:eastAsia="宋体" w:cs="宋体"/>
                <w:bCs/>
                <w:kern w:val="2"/>
                <w:sz w:val="24"/>
                <w:szCs w:val="24"/>
                <w:lang w:val="en-US"/>
              </w:rPr>
              <w:t>复</w:t>
            </w:r>
            <w:r>
              <w:rPr>
                <w:rFonts w:hint="eastAsia" w:ascii="宋体" w:hAnsi="宋体" w:eastAsia="宋体" w:cs="宋体"/>
                <w:bCs/>
                <w:kern w:val="2"/>
                <w:sz w:val="24"/>
                <w:szCs w:val="24"/>
              </w:rPr>
              <w:t>获取具体步骤：采购人（采购代理机构）将通过</w:t>
            </w:r>
            <w:r>
              <w:rPr>
                <w:rFonts w:hint="eastAsia" w:ascii="宋体" w:hAnsi="宋体" w:eastAsia="宋体" w:cs="宋体"/>
                <w:bCs/>
                <w:kern w:val="2"/>
                <w:sz w:val="24"/>
                <w:szCs w:val="24"/>
                <w:lang w:val="en-US"/>
              </w:rPr>
              <w:t>邮箱</w:t>
            </w:r>
            <w:r>
              <w:rPr>
                <w:rFonts w:hint="eastAsia" w:ascii="宋体" w:hAnsi="宋体" w:eastAsia="宋体" w:cs="宋体"/>
                <w:bCs/>
                <w:kern w:val="2"/>
                <w:sz w:val="24"/>
                <w:szCs w:val="24"/>
              </w:rPr>
              <w:t>于收到质疑文件后七个工作日内答复，请质疑人及时</w:t>
            </w:r>
            <w:r>
              <w:rPr>
                <w:rFonts w:hint="eastAsia" w:ascii="宋体" w:hAnsi="宋体" w:eastAsia="宋体" w:cs="宋体"/>
                <w:bCs/>
                <w:kern w:val="2"/>
                <w:sz w:val="24"/>
                <w:szCs w:val="24"/>
                <w:lang w:val="en-US"/>
              </w:rPr>
              <w:t>通过发出质疑的邮箱</w:t>
            </w:r>
            <w:r>
              <w:rPr>
                <w:rFonts w:hint="eastAsia" w:ascii="宋体" w:hAnsi="宋体" w:eastAsia="宋体" w:cs="宋体"/>
                <w:bCs/>
                <w:kern w:val="2"/>
                <w:sz w:val="24"/>
                <w:szCs w:val="24"/>
              </w:rPr>
              <w:t>查收答疑文件。</w:t>
            </w:r>
          </w:p>
          <w:p w14:paraId="10157A7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请各潜在供应商在响应截止时间前，务必登录安徽衡宇工程咨询有限公司网（http://www.ahhygczx.com），查看是否发布有关该项目更正公告或澄清。更正公告或或澄清为采购文件的有效组成部分，一经发布即为视同已通知所有潜在供应商，若因未及时关注而造成的一切后果，由供应商自行承担。</w:t>
            </w:r>
          </w:p>
        </w:tc>
      </w:tr>
      <w:tr w14:paraId="2F41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0D5522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14</w:t>
            </w:r>
          </w:p>
        </w:tc>
        <w:tc>
          <w:tcPr>
            <w:tcW w:w="1680" w:type="dxa"/>
            <w:vAlign w:val="center"/>
          </w:tcPr>
          <w:p w14:paraId="3C95993B">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响应文件份数及要求</w:t>
            </w:r>
          </w:p>
        </w:tc>
        <w:tc>
          <w:tcPr>
            <w:tcW w:w="7130" w:type="dxa"/>
            <w:vAlign w:val="center"/>
          </w:tcPr>
          <w:p w14:paraId="10FA0D15">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14:paraId="576478C6">
            <w:pPr>
              <w:pStyle w:val="88"/>
              <w:pBdr>
                <w:bottom w:val="none" w:color="auto" w:sz="0" w:space="0"/>
              </w:pBdr>
              <w:tabs>
                <w:tab w:val="clear" w:pos="4153"/>
                <w:tab w:val="clear" w:pos="8306"/>
              </w:tabs>
              <w:adjustRightInd/>
              <w:spacing w:line="500" w:lineRule="exact"/>
              <w:jc w:val="left"/>
              <w:textAlignment w:val="auto"/>
              <w:rPr>
                <w:rFonts w:ascii="宋体" w:hAnsi="宋体"/>
                <w:szCs w:val="24"/>
                <w:lang w:val="en-US"/>
              </w:rPr>
            </w:pPr>
            <w:r>
              <w:rPr>
                <w:rFonts w:hint="eastAsia" w:ascii="宋体" w:hAnsi="宋体"/>
                <w:szCs w:val="24"/>
                <w:lang w:val="en-US"/>
              </w:rPr>
              <w:t>要求：</w:t>
            </w:r>
          </w:p>
          <w:p w14:paraId="20721CC2">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4EF60509">
            <w:pPr>
              <w:pStyle w:val="88"/>
              <w:numPr>
                <w:ilvl w:val="0"/>
                <w:numId w:val="2"/>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741F4B4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szCs w:val="24"/>
              </w:rPr>
              <w:t>响应文件正本与副本可以包装在一起密封提交，也可以分开包装密封提交。</w:t>
            </w:r>
          </w:p>
        </w:tc>
      </w:tr>
      <w:tr w14:paraId="6F72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60894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15</w:t>
            </w:r>
          </w:p>
        </w:tc>
        <w:tc>
          <w:tcPr>
            <w:tcW w:w="1680" w:type="dxa"/>
            <w:vAlign w:val="center"/>
          </w:tcPr>
          <w:p w14:paraId="6DF1446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递交响应文件注意事项</w:t>
            </w:r>
          </w:p>
        </w:tc>
        <w:tc>
          <w:tcPr>
            <w:tcW w:w="7130" w:type="dxa"/>
            <w:vAlign w:val="center"/>
          </w:tcPr>
          <w:p w14:paraId="41EA6B1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响应文件必须在响应截止时间前</w:t>
            </w:r>
            <w:r>
              <w:rPr>
                <w:rFonts w:hint="eastAsia" w:ascii="宋体" w:hAnsi="宋体" w:eastAsia="宋体" w:cs="宋体"/>
                <w:kern w:val="2"/>
                <w:sz w:val="24"/>
                <w:szCs w:val="24"/>
                <w:lang w:eastAsia="zh-CN"/>
              </w:rPr>
              <w:t>现场</w:t>
            </w:r>
            <w:r>
              <w:rPr>
                <w:rFonts w:hint="eastAsia" w:ascii="宋体" w:hAnsi="宋体" w:eastAsia="宋体" w:cs="宋体"/>
                <w:kern w:val="2"/>
                <w:sz w:val="24"/>
                <w:szCs w:val="24"/>
              </w:rPr>
              <w:t>递交</w:t>
            </w:r>
          </w:p>
        </w:tc>
      </w:tr>
      <w:tr w14:paraId="7C5F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4799F23C">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16</w:t>
            </w:r>
          </w:p>
        </w:tc>
        <w:tc>
          <w:tcPr>
            <w:tcW w:w="1680" w:type="dxa"/>
            <w:vAlign w:val="center"/>
          </w:tcPr>
          <w:p w14:paraId="5E3B6F17">
            <w:pPr>
              <w:pStyle w:val="88"/>
              <w:pBdr>
                <w:bottom w:val="none" w:color="auto" w:sz="0" w:space="0"/>
              </w:pBdr>
              <w:tabs>
                <w:tab w:val="clear" w:pos="4153"/>
                <w:tab w:val="clear" w:pos="8306"/>
              </w:tabs>
              <w:adjustRightInd/>
              <w:spacing w:line="500" w:lineRule="exact"/>
              <w:textAlignment w:val="auto"/>
              <w:rPr>
                <w:rFonts w:hint="eastAsia" w:ascii="宋体" w:hAnsi="宋体" w:eastAsia="宋体" w:cs="宋体"/>
                <w:bCs/>
                <w:kern w:val="2"/>
                <w:sz w:val="24"/>
                <w:szCs w:val="24"/>
              </w:rPr>
            </w:pPr>
            <w:r>
              <w:rPr>
                <w:rFonts w:hint="eastAsia" w:ascii="宋体" w:hAnsi="宋体"/>
                <w:szCs w:val="24"/>
              </w:rPr>
              <w:t>封套上应载明的信息</w:t>
            </w:r>
          </w:p>
        </w:tc>
        <w:tc>
          <w:tcPr>
            <w:tcW w:w="7130" w:type="dxa"/>
            <w:vAlign w:val="center"/>
          </w:tcPr>
          <w:p w14:paraId="69687AE0">
            <w:pPr>
              <w:spacing w:line="50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301F4BDF">
            <w:pPr>
              <w:pStyle w:val="99"/>
              <w:spacing w:line="50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20189F73">
            <w:pPr>
              <w:spacing w:line="50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5395D6F6">
            <w:pPr>
              <w:pStyle w:val="99"/>
              <w:spacing w:line="50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10329CDC">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kern w:val="2"/>
                <w:szCs w:val="24"/>
              </w:rPr>
              <w:t>供应商地址：</w:t>
            </w:r>
          </w:p>
        </w:tc>
      </w:tr>
      <w:tr w14:paraId="0E3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028B471">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rPr>
              <w:t>1</w:t>
            </w:r>
            <w:r>
              <w:rPr>
                <w:rFonts w:hint="eastAsia" w:ascii="宋体" w:hAnsi="宋体" w:eastAsia="宋体" w:cs="宋体"/>
                <w:b/>
                <w:kern w:val="2"/>
                <w:sz w:val="24"/>
                <w:szCs w:val="24"/>
                <w:lang w:val="en-US" w:eastAsia="zh-CN"/>
              </w:rPr>
              <w:t>7</w:t>
            </w:r>
          </w:p>
        </w:tc>
        <w:tc>
          <w:tcPr>
            <w:tcW w:w="1680" w:type="dxa"/>
            <w:vAlign w:val="center"/>
          </w:tcPr>
          <w:p w14:paraId="27668202">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备注</w:t>
            </w:r>
          </w:p>
        </w:tc>
        <w:tc>
          <w:tcPr>
            <w:tcW w:w="7130" w:type="dxa"/>
            <w:vAlign w:val="center"/>
          </w:tcPr>
          <w:p w14:paraId="331B4C8D">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0A58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E2D858E">
            <w:pPr>
              <w:pStyle w:val="88"/>
              <w:pageBreakBefore w:val="0"/>
              <w:pBdr>
                <w:bottom w:val="none" w:color="auto" w:sz="0" w:space="0"/>
              </w:pBdr>
              <w:tabs>
                <w:tab w:val="clear" w:pos="4153"/>
                <w:tab w:val="clear" w:pos="8306"/>
              </w:tabs>
              <w:kinsoku/>
              <w:wordWrap/>
              <w:overflowPunct/>
              <w:topLinePunct w:val="0"/>
              <w:autoSpaceDE/>
              <w:autoSpaceDN/>
              <w:bidi w:val="0"/>
              <w:adjustRightInd/>
              <w:spacing w:line="500" w:lineRule="exact"/>
              <w:textAlignment w:val="auto"/>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18</w:t>
            </w:r>
          </w:p>
        </w:tc>
        <w:tc>
          <w:tcPr>
            <w:tcW w:w="1680" w:type="dxa"/>
            <w:vAlign w:val="center"/>
          </w:tcPr>
          <w:p w14:paraId="58480693">
            <w:pPr>
              <w:pStyle w:val="88"/>
              <w:pBdr>
                <w:bottom w:val="none" w:color="auto" w:sz="0" w:space="0"/>
              </w:pBdr>
              <w:tabs>
                <w:tab w:val="clear" w:pos="4153"/>
                <w:tab w:val="clear" w:pos="8306"/>
              </w:tabs>
              <w:adjustRightInd/>
              <w:spacing w:line="500" w:lineRule="exact"/>
              <w:jc w:val="left"/>
              <w:textAlignment w:val="auto"/>
              <w:rPr>
                <w:rFonts w:hint="eastAsia" w:ascii="宋体" w:hAnsi="宋体" w:eastAsia="宋体" w:cs="宋体"/>
                <w:bCs/>
                <w:kern w:val="2"/>
                <w:sz w:val="24"/>
                <w:szCs w:val="24"/>
              </w:rPr>
            </w:pPr>
            <w:r>
              <w:rPr>
                <w:rFonts w:hint="eastAsia" w:ascii="宋体" w:hAnsi="宋体"/>
                <w:bCs/>
                <w:kern w:val="2"/>
                <w:szCs w:val="24"/>
                <w:lang w:val="en-US"/>
              </w:rPr>
              <w:t>谈判文件解释权</w:t>
            </w:r>
          </w:p>
        </w:tc>
        <w:tc>
          <w:tcPr>
            <w:tcW w:w="7130" w:type="dxa"/>
            <w:vAlign w:val="center"/>
          </w:tcPr>
          <w:p w14:paraId="3D3FD134">
            <w:pPr>
              <w:pStyle w:val="88"/>
              <w:pBdr>
                <w:bottom w:val="none" w:color="auto" w:sz="0" w:space="0"/>
              </w:pBdr>
              <w:tabs>
                <w:tab w:val="clear" w:pos="4153"/>
                <w:tab w:val="clear" w:pos="8306"/>
              </w:tabs>
              <w:adjustRightInd/>
              <w:spacing w:line="500" w:lineRule="exact"/>
              <w:jc w:val="both"/>
              <w:textAlignment w:val="auto"/>
              <w:rPr>
                <w:rFonts w:hint="eastAsia" w:ascii="宋体" w:hAnsi="宋体" w:eastAsia="宋体" w:cs="宋体"/>
                <w:bCs/>
                <w:kern w:val="2"/>
                <w:sz w:val="24"/>
                <w:szCs w:val="24"/>
              </w:rPr>
            </w:pPr>
            <w:r>
              <w:rPr>
                <w:rFonts w:ascii="宋体" w:hAnsi="宋体" w:cs="宋体"/>
                <w:szCs w:val="24"/>
              </w:rPr>
              <w:t>本谈判文件的解释权归采购人。</w:t>
            </w:r>
          </w:p>
        </w:tc>
      </w:tr>
      <w:bookmarkEnd w:id="64"/>
      <w:bookmarkEnd w:id="65"/>
      <w:bookmarkEnd w:id="66"/>
    </w:tbl>
    <w:p w14:paraId="101967AD">
      <w:pPr>
        <w:pStyle w:val="6"/>
        <w:pageBreakBefore w:val="0"/>
        <w:kinsoku/>
        <w:wordWrap/>
        <w:overflowPunct/>
        <w:topLinePunct w:val="0"/>
        <w:autoSpaceDE/>
        <w:autoSpaceDN/>
        <w:bidi w:val="0"/>
        <w:snapToGrid/>
        <w:spacing w:before="0" w:after="0" w:line="500" w:lineRule="exact"/>
        <w:jc w:val="both"/>
        <w:rPr>
          <w:rFonts w:hint="eastAsia" w:ascii="宋体" w:hAnsi="宋体" w:eastAsia="宋体" w:cs="宋体"/>
          <w:sz w:val="24"/>
          <w:szCs w:val="24"/>
        </w:rPr>
      </w:pPr>
      <w:bookmarkStart w:id="67" w:name="_Toc24713"/>
      <w:bookmarkStart w:id="68" w:name="_Toc7878"/>
      <w:bookmarkStart w:id="69" w:name="_Toc216158630"/>
    </w:p>
    <w:p w14:paraId="17DF6DDB">
      <w:pPr>
        <w:rPr>
          <w:rFonts w:hint="eastAsia" w:ascii="宋体" w:hAnsi="宋体" w:eastAsia="宋体" w:cs="宋体"/>
          <w:sz w:val="24"/>
          <w:szCs w:val="24"/>
        </w:rPr>
      </w:pPr>
    </w:p>
    <w:p w14:paraId="34CA8F4F">
      <w:pPr>
        <w:rPr>
          <w:rFonts w:hint="eastAsia" w:ascii="宋体" w:hAnsi="宋体" w:eastAsia="宋体" w:cs="宋体"/>
          <w:sz w:val="24"/>
          <w:szCs w:val="24"/>
        </w:rPr>
      </w:pPr>
    </w:p>
    <w:p w14:paraId="5354636D">
      <w:pPr>
        <w:pStyle w:val="6"/>
        <w:pageBreakBefore w:val="0"/>
        <w:kinsoku/>
        <w:wordWrap/>
        <w:overflowPunct/>
        <w:topLinePunct w:val="0"/>
        <w:autoSpaceDE/>
        <w:autoSpaceDN/>
        <w:bidi w:val="0"/>
        <w:snapToGrid/>
        <w:spacing w:before="0" w:after="0" w:line="500" w:lineRule="exact"/>
        <w:ind w:firstLine="241" w:firstLineChars="100"/>
        <w:jc w:val="center"/>
        <w:rPr>
          <w:rFonts w:hint="eastAsia" w:ascii="宋体" w:hAnsi="宋体" w:eastAsia="宋体" w:cs="宋体"/>
          <w:sz w:val="24"/>
          <w:szCs w:val="24"/>
        </w:rPr>
      </w:pPr>
      <w:r>
        <w:rPr>
          <w:rFonts w:hint="eastAsia" w:ascii="宋体" w:hAnsi="宋体" w:eastAsia="宋体" w:cs="宋体"/>
          <w:sz w:val="24"/>
          <w:szCs w:val="24"/>
        </w:rPr>
        <w:t>（二）供应商资格</w:t>
      </w:r>
      <w:bookmarkEnd w:id="67"/>
      <w:bookmarkEnd w:id="68"/>
    </w:p>
    <w:p w14:paraId="1C7E917D">
      <w:pPr>
        <w:pStyle w:val="34"/>
        <w:pageBreakBefore w:val="0"/>
        <w:kinsoku/>
        <w:wordWrap/>
        <w:overflowPunct/>
        <w:topLinePunct w:val="0"/>
        <w:autoSpaceDE/>
        <w:autoSpaceDN/>
        <w:bidi w:val="0"/>
        <w:snapToGrid/>
        <w:spacing w:after="0" w:line="500" w:lineRule="exact"/>
        <w:ind w:firstLine="480" w:firstLineChars="200"/>
        <w:jc w:val="left"/>
        <w:rPr>
          <w:rFonts w:hint="eastAsia" w:ascii="宋体" w:hAnsi="宋体" w:eastAsia="宋体" w:cs="宋体"/>
          <w:sz w:val="24"/>
          <w:szCs w:val="24"/>
        </w:rPr>
      </w:pPr>
      <w:bookmarkStart w:id="70" w:name="_Toc363199266"/>
      <w:bookmarkStart w:id="71" w:name="_Toc216158625"/>
      <w:bookmarkStart w:id="72" w:name="_Toc438648662"/>
      <w:r>
        <w:rPr>
          <w:rFonts w:hint="eastAsia" w:ascii="宋体" w:hAnsi="宋体" w:eastAsia="宋体" w:cs="宋体"/>
          <w:sz w:val="24"/>
          <w:szCs w:val="24"/>
        </w:rPr>
        <w:t>见本项目采购公告</w:t>
      </w:r>
    </w:p>
    <w:p w14:paraId="4EA5100D">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3" w:name="_Toc24432"/>
      <w:bookmarkStart w:id="74" w:name="_Toc27352"/>
      <w:r>
        <w:rPr>
          <w:rFonts w:hint="eastAsia" w:ascii="宋体" w:hAnsi="宋体" w:eastAsia="宋体" w:cs="宋体"/>
          <w:sz w:val="24"/>
          <w:szCs w:val="24"/>
        </w:rPr>
        <w:t>（三）供应商必须提交的响应文件内容</w:t>
      </w:r>
      <w:bookmarkEnd w:id="70"/>
      <w:bookmarkEnd w:id="71"/>
      <w:bookmarkEnd w:id="72"/>
      <w:bookmarkEnd w:id="73"/>
      <w:bookmarkEnd w:id="74"/>
    </w:p>
    <w:p w14:paraId="75E7BFF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1、报价单；</w:t>
      </w:r>
    </w:p>
    <w:p w14:paraId="76B2A3E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2、供应商基本信息；</w:t>
      </w:r>
    </w:p>
    <w:p w14:paraId="75CEE79C">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3、谈判授权书；</w:t>
      </w:r>
    </w:p>
    <w:p w14:paraId="4F114DF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4、谈判响应函；</w:t>
      </w:r>
    </w:p>
    <w:p w14:paraId="1CAA4D4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5、无重大违法记录声明函、无不良信用记录承诺函；</w:t>
      </w:r>
    </w:p>
    <w:p w14:paraId="6FA17618">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6、响应情况表；</w:t>
      </w:r>
    </w:p>
    <w:p w14:paraId="5F142E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Style w:val="48"/>
          <w:rFonts w:hint="eastAsia" w:ascii="宋体" w:hAnsi="宋体" w:eastAsia="宋体" w:cs="宋体"/>
          <w:b w:val="0"/>
          <w:bCs/>
          <w:sz w:val="24"/>
          <w:szCs w:val="24"/>
        </w:rPr>
        <w:t>中小企业声明函、</w:t>
      </w:r>
      <w:r>
        <w:rPr>
          <w:rFonts w:hint="eastAsia" w:ascii="宋体" w:hAnsi="宋体" w:eastAsia="宋体" w:cs="宋体"/>
          <w:bCs/>
          <w:sz w:val="24"/>
          <w:szCs w:val="24"/>
        </w:rPr>
        <w:t>残疾人福利性单位声明函；</w:t>
      </w:r>
    </w:p>
    <w:p w14:paraId="452B1F20">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、谈判文件要求和供应商认为需要提供的其它说明和资料。 </w:t>
      </w:r>
    </w:p>
    <w:p w14:paraId="217855AA">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75" w:name="_Toc15586"/>
      <w:bookmarkStart w:id="76" w:name="_Toc21125"/>
      <w:bookmarkStart w:id="77" w:name="（四）响应文件的提交"/>
      <w:bookmarkStart w:id="78" w:name="（三）供应商必须提交的响应文件内容"/>
      <w:r>
        <w:rPr>
          <w:rFonts w:hint="eastAsia" w:ascii="宋体" w:hAnsi="宋体" w:eastAsia="宋体" w:cs="宋体"/>
          <w:sz w:val="24"/>
          <w:szCs w:val="24"/>
        </w:rPr>
        <w:t>（四）响应文件的提交</w:t>
      </w:r>
      <w:bookmarkEnd w:id="75"/>
      <w:bookmarkEnd w:id="76"/>
    </w:p>
    <w:bookmarkEnd w:id="77"/>
    <w:bookmarkEnd w:id="78"/>
    <w:p w14:paraId="0BE21A41">
      <w:pPr>
        <w:spacing w:line="500" w:lineRule="exact"/>
        <w:ind w:firstLine="480" w:firstLineChars="200"/>
        <w:rPr>
          <w:rFonts w:ascii="宋体" w:hAnsi="宋体" w:cs="宋体"/>
          <w:sz w:val="24"/>
          <w:szCs w:val="24"/>
        </w:rPr>
      </w:pPr>
      <w:bookmarkStart w:id="79" w:name="_Toc15127"/>
      <w:bookmarkStart w:id="80" w:name="_Toc9203"/>
      <w:bookmarkStart w:id="81" w:name="（五）谈判程序"/>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响应文件密封</w:t>
      </w:r>
    </w:p>
    <w:p w14:paraId="6A4D70B9">
      <w:pPr>
        <w:spacing w:line="500" w:lineRule="exact"/>
        <w:ind w:firstLine="480" w:firstLineChars="200"/>
        <w:rPr>
          <w:rFonts w:ascii="宋体" w:hAnsi="宋体" w:cs="宋体"/>
          <w:sz w:val="24"/>
          <w:szCs w:val="24"/>
        </w:rPr>
      </w:pPr>
      <w:r>
        <w:rPr>
          <w:rFonts w:hint="eastAsia" w:ascii="宋体" w:hAnsi="宋体" w:cs="宋体"/>
          <w:sz w:val="24"/>
          <w:szCs w:val="24"/>
        </w:rPr>
        <w:t>1.1响应文件应密封包装，并在封套的封口处加盖供应商单位章或由供应商的法定代表人（单位负责人）或其授权的代理人签字。</w:t>
      </w:r>
    </w:p>
    <w:p w14:paraId="1C65FD5C">
      <w:pPr>
        <w:spacing w:line="500" w:lineRule="exact"/>
        <w:ind w:firstLine="480" w:firstLineChars="200"/>
        <w:rPr>
          <w:rFonts w:ascii="宋体" w:hAnsi="宋体" w:cs="宋体"/>
          <w:sz w:val="24"/>
          <w:szCs w:val="24"/>
        </w:rPr>
      </w:pPr>
      <w:r>
        <w:rPr>
          <w:rFonts w:hint="eastAsia" w:ascii="宋体" w:hAnsi="宋体" w:cs="宋体"/>
          <w:sz w:val="24"/>
          <w:szCs w:val="24"/>
        </w:rPr>
        <w:t>1.2 响应文件封套上应写明的内容见供应商须知前附表。</w:t>
      </w:r>
    </w:p>
    <w:p w14:paraId="5AC3C78B">
      <w:pPr>
        <w:spacing w:line="500" w:lineRule="exact"/>
        <w:ind w:firstLine="480" w:firstLineChars="200"/>
        <w:rPr>
          <w:rFonts w:ascii="宋体" w:hAnsi="宋体" w:cs="宋体"/>
          <w:sz w:val="24"/>
          <w:szCs w:val="24"/>
        </w:rPr>
      </w:pPr>
      <w:r>
        <w:rPr>
          <w:rFonts w:hint="eastAsia" w:ascii="宋体" w:hAnsi="宋体" w:cs="宋体"/>
          <w:sz w:val="24"/>
          <w:szCs w:val="24"/>
        </w:rPr>
        <w:t>1.3 如果未按规定封装或加写标记，采购代理机构将不承担响应文件错放或提前开封的责任，并可能导致响应无效。</w:t>
      </w:r>
    </w:p>
    <w:p w14:paraId="662256E5">
      <w:pPr>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 xml:space="preserve">响应文件的提交 </w:t>
      </w:r>
    </w:p>
    <w:p w14:paraId="514428B0">
      <w:pPr>
        <w:spacing w:line="500" w:lineRule="exact"/>
        <w:ind w:firstLine="480" w:firstLineChars="200"/>
        <w:rPr>
          <w:rFonts w:ascii="宋体" w:hAnsi="宋体" w:cs="宋体"/>
          <w:sz w:val="24"/>
          <w:szCs w:val="24"/>
        </w:rPr>
      </w:pPr>
      <w:r>
        <w:rPr>
          <w:rFonts w:hint="eastAsia" w:ascii="宋体" w:hAnsi="宋体" w:cs="宋体"/>
          <w:sz w:val="24"/>
          <w:szCs w:val="24"/>
        </w:rPr>
        <w:t>2.1 供应商应在供应商须知前附表规定的响应文件递交截止时间前递交响应文件。</w:t>
      </w:r>
    </w:p>
    <w:p w14:paraId="126C4CB7">
      <w:pPr>
        <w:spacing w:line="500" w:lineRule="exact"/>
        <w:ind w:firstLine="480" w:firstLineChars="200"/>
        <w:rPr>
          <w:rFonts w:ascii="宋体" w:hAnsi="宋体" w:cs="宋体"/>
          <w:sz w:val="24"/>
          <w:szCs w:val="24"/>
        </w:rPr>
      </w:pPr>
      <w:r>
        <w:rPr>
          <w:rFonts w:hint="eastAsia" w:ascii="宋体" w:hAnsi="宋体" w:cs="宋体"/>
          <w:sz w:val="24"/>
          <w:szCs w:val="24"/>
        </w:rPr>
        <w:t>2.2 供应商递交响应文件的地点：见供应商须知前附表。</w:t>
      </w:r>
    </w:p>
    <w:p w14:paraId="08863920">
      <w:pPr>
        <w:spacing w:line="500" w:lineRule="exact"/>
        <w:ind w:firstLine="480" w:firstLineChars="200"/>
        <w:rPr>
          <w:rFonts w:ascii="宋体" w:hAnsi="宋体" w:cs="宋体"/>
          <w:sz w:val="24"/>
          <w:szCs w:val="24"/>
        </w:rPr>
      </w:pPr>
      <w:r>
        <w:rPr>
          <w:rFonts w:hint="eastAsia" w:ascii="宋体" w:hAnsi="宋体" w:cs="宋体"/>
          <w:sz w:val="24"/>
          <w:szCs w:val="24"/>
        </w:rPr>
        <w:t>2.3 除供应商须知前附表另有规定外，供应商所递交的响应文件不予退还。</w:t>
      </w:r>
    </w:p>
    <w:p w14:paraId="34E8E167">
      <w:pPr>
        <w:spacing w:line="500" w:lineRule="exact"/>
        <w:ind w:firstLine="480" w:firstLineChars="200"/>
        <w:rPr>
          <w:rFonts w:ascii="宋体" w:hAnsi="宋体" w:cs="宋体"/>
          <w:sz w:val="24"/>
          <w:szCs w:val="24"/>
        </w:rPr>
      </w:pPr>
      <w:r>
        <w:rPr>
          <w:rFonts w:hint="eastAsia" w:ascii="宋体" w:hAnsi="宋体" w:cs="宋体"/>
          <w:sz w:val="24"/>
          <w:szCs w:val="24"/>
        </w:rPr>
        <w:t>2.4逾期送达的或者未送达指定地点的响应文件，采购人将予以拒收。</w:t>
      </w:r>
    </w:p>
    <w:p w14:paraId="0A54D725">
      <w:pPr>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响应文件的修改和撤回</w:t>
      </w:r>
    </w:p>
    <w:p w14:paraId="4B4EC178">
      <w:pPr>
        <w:spacing w:line="500" w:lineRule="exact"/>
        <w:ind w:firstLine="480" w:firstLineChars="200"/>
        <w:rPr>
          <w:rFonts w:ascii="宋体" w:hAnsi="宋体" w:cs="宋体"/>
          <w:sz w:val="24"/>
          <w:szCs w:val="24"/>
        </w:rPr>
      </w:pPr>
      <w:r>
        <w:rPr>
          <w:rFonts w:hint="eastAsia" w:ascii="宋体" w:hAnsi="宋体" w:cs="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7A01D4D">
      <w:pPr>
        <w:spacing w:line="500" w:lineRule="exact"/>
        <w:ind w:firstLine="480" w:firstLineChars="200"/>
        <w:rPr>
          <w:rFonts w:ascii="宋体" w:hAnsi="宋体" w:cs="宋体"/>
          <w:sz w:val="24"/>
          <w:szCs w:val="24"/>
        </w:rPr>
      </w:pPr>
      <w:r>
        <w:rPr>
          <w:rFonts w:hint="eastAsia" w:ascii="宋体" w:hAnsi="宋体" w:cs="宋体"/>
          <w:sz w:val="24"/>
          <w:szCs w:val="24"/>
        </w:rPr>
        <w:t>3.2供应商的修改书或撤回通知书，应按规定进行编制、密封、标记和提交，且标明“修改”或“撤回”字样。</w:t>
      </w:r>
    </w:p>
    <w:p w14:paraId="06D27650">
      <w:pPr>
        <w:pStyle w:val="6"/>
        <w:spacing w:before="0" w:after="0" w:line="500" w:lineRule="exact"/>
        <w:ind w:firstLine="480" w:firstLineChars="200"/>
        <w:rPr>
          <w:rFonts w:ascii="宋体" w:hAnsi="宋体" w:eastAsia="宋体" w:cs="宋体"/>
          <w:b w:val="0"/>
          <w:bCs/>
          <w:sz w:val="24"/>
          <w:szCs w:val="24"/>
        </w:rPr>
      </w:pPr>
      <w:r>
        <w:rPr>
          <w:rFonts w:hint="eastAsia" w:ascii="宋体" w:hAnsi="宋体" w:eastAsia="宋体" w:cs="宋体"/>
          <w:b w:val="0"/>
          <w:kern w:val="2"/>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4571316E">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（五）谈判程序</w:t>
      </w:r>
      <w:bookmarkEnd w:id="79"/>
      <w:bookmarkEnd w:id="80"/>
    </w:p>
    <w:bookmarkEnd w:id="81"/>
    <w:p w14:paraId="3562CF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1、谈判人员是按规定组成的三人或三人以上的谈判小组。</w:t>
      </w:r>
      <w:r>
        <w:rPr>
          <w:rFonts w:hint="eastAsia" w:ascii="宋体" w:hAnsi="宋体" w:eastAsia="宋体" w:cs="宋体"/>
          <w:sz w:val="24"/>
          <w:szCs w:val="24"/>
          <w:lang w:val="en-US" w:eastAsia="zh-CN"/>
        </w:rPr>
        <w:t>采购人（代理机构）确定本项目谈判小组</w:t>
      </w:r>
      <w:r>
        <w:rPr>
          <w:rFonts w:hint="eastAsia" w:ascii="宋体" w:hAnsi="宋体" w:eastAsia="宋体" w:cs="宋体"/>
          <w:sz w:val="24"/>
          <w:szCs w:val="24"/>
          <w:u w:val="single"/>
          <w:lang w:val="en-US" w:eastAsia="zh-CN"/>
        </w:rPr>
        <w:t xml:space="preserve">  3  </w:t>
      </w:r>
      <w:r>
        <w:rPr>
          <w:rFonts w:hint="eastAsia" w:ascii="宋体" w:hAnsi="宋体" w:eastAsia="宋体" w:cs="宋体"/>
          <w:sz w:val="24"/>
          <w:szCs w:val="24"/>
          <w:lang w:val="en-US" w:eastAsia="zh-CN"/>
        </w:rPr>
        <w:t>人。</w:t>
      </w:r>
    </w:p>
    <w:p w14:paraId="4A7F5595">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2、在掌握了供应商的基本情况后，谈判小组将与供应商分别进行谈判。</w:t>
      </w:r>
    </w:p>
    <w:p w14:paraId="5AEDBCCA">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3、谈判是分别单独进行的。供应商不得与其他参与谈判的供应商相互串通；谈判小组也不得将与某一供应商的谈判情况向其他供应商及其关系人透露。</w:t>
      </w:r>
    </w:p>
    <w:p w14:paraId="11F34FDD">
      <w:pPr>
        <w:pageBreakBefore w:val="0"/>
        <w:tabs>
          <w:tab w:val="left" w:pos="900"/>
        </w:tabs>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4、谈判采用一轮谈判、两轮报价的方式进行。但最终采取多少轮谈判，由谈判小组视情况而定。</w:t>
      </w:r>
    </w:p>
    <w:p w14:paraId="5441C957">
      <w:pPr>
        <w:tabs>
          <w:tab w:val="left" w:pos="900"/>
        </w:tabs>
        <w:spacing w:line="500" w:lineRule="exact"/>
        <w:ind w:firstLine="480" w:firstLineChars="200"/>
        <w:rPr>
          <w:rFonts w:ascii="宋体" w:hAnsi="宋体" w:cs="宋体"/>
          <w:sz w:val="24"/>
          <w:szCs w:val="24"/>
        </w:rPr>
      </w:pPr>
      <w:bookmarkStart w:id="82" w:name="_Toc6912"/>
      <w:bookmarkStart w:id="83" w:name="_Toc9855"/>
      <w:bookmarkStart w:id="84" w:name="_Toc1437"/>
      <w:r>
        <w:rPr>
          <w:rFonts w:hint="eastAsia" w:ascii="宋体" w:hAnsi="宋体" w:eastAsia="宋体" w:cs="宋体"/>
          <w:b w:val="0"/>
          <w:bCs/>
          <w:sz w:val="24"/>
          <w:szCs w:val="24"/>
        </w:rPr>
        <w:t>5、</w:t>
      </w:r>
      <w:bookmarkEnd w:id="82"/>
      <w:bookmarkEnd w:id="83"/>
      <w:bookmarkEnd w:id="84"/>
      <w:bookmarkStart w:id="85" w:name="_Toc15851"/>
      <w:bookmarkStart w:id="86" w:name="_Toc110"/>
      <w:bookmarkStart w:id="87" w:name="_Toc9547"/>
      <w:r>
        <w:rPr>
          <w:rFonts w:hint="eastAsia" w:ascii="宋体" w:hAnsi="宋体" w:cs="宋体"/>
          <w:sz w:val="24"/>
          <w:szCs w:val="24"/>
        </w:rPr>
        <w:t>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p>
    <w:p w14:paraId="6868C6EE">
      <w:pPr>
        <w:tabs>
          <w:tab w:val="left" w:pos="900"/>
        </w:tabs>
        <w:spacing w:line="50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6、</w:t>
      </w:r>
      <w:bookmarkEnd w:id="85"/>
      <w:bookmarkEnd w:id="86"/>
      <w:bookmarkEnd w:id="87"/>
      <w:r>
        <w:rPr>
          <w:rFonts w:hint="eastAsia" w:ascii="宋体" w:hAnsi="宋体" w:cs="宋体"/>
          <w:sz w:val="24"/>
          <w:szCs w:val="24"/>
        </w:rPr>
        <w:t>供应商必须在规定的时间内将自己在谈判中作出的澄清、变动以及最终的报价，经法定代表人或被授权代表签字后，提交给谈判小组。</w:t>
      </w:r>
    </w:p>
    <w:p w14:paraId="5B444760">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88" w:name="_Toc16969"/>
      <w:bookmarkStart w:id="89" w:name="_Toc22225"/>
      <w:bookmarkStart w:id="90" w:name="（六）评审及异常情况处理"/>
      <w:r>
        <w:rPr>
          <w:rFonts w:hint="eastAsia" w:ascii="宋体" w:hAnsi="宋体" w:eastAsia="宋体" w:cs="宋体"/>
          <w:sz w:val="24"/>
          <w:szCs w:val="24"/>
        </w:rPr>
        <w:t>（六）评审及异常情况处理</w:t>
      </w:r>
      <w:bookmarkEnd w:id="88"/>
      <w:bookmarkEnd w:id="89"/>
    </w:p>
    <w:bookmarkEnd w:id="90"/>
    <w:p w14:paraId="04F13887">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B36A801">
      <w:pPr>
        <w:spacing w:line="500" w:lineRule="exact"/>
        <w:ind w:firstLine="480" w:firstLineChars="200"/>
        <w:rPr>
          <w:rFonts w:ascii="宋体" w:hAnsi="宋体" w:cs="宋体"/>
          <w:sz w:val="24"/>
          <w:szCs w:val="24"/>
        </w:rPr>
      </w:pPr>
      <w:bookmarkStart w:id="91" w:name="_Toc31134"/>
      <w:bookmarkStart w:id="92" w:name="_Toc18914"/>
      <w:bookmarkStart w:id="93" w:name="（七）报价响应及答疑"/>
      <w:r>
        <w:rPr>
          <w:rFonts w:hint="eastAsia" w:ascii="宋体" w:hAnsi="宋体" w:cs="宋体"/>
          <w:sz w:val="24"/>
          <w:szCs w:val="24"/>
        </w:rPr>
        <w:t>2、出现以下情况，现场转变采购方式：</w:t>
      </w:r>
    </w:p>
    <w:p w14:paraId="2E6B0954">
      <w:pPr>
        <w:spacing w:line="500" w:lineRule="exact"/>
        <w:ind w:firstLine="480" w:firstLineChars="200"/>
        <w:rPr>
          <w:rFonts w:ascii="宋体" w:hAnsi="宋体" w:cs="宋体"/>
          <w:sz w:val="24"/>
          <w:szCs w:val="24"/>
        </w:rPr>
      </w:pPr>
      <w:r>
        <w:rPr>
          <w:rFonts w:hint="eastAsia" w:ascii="宋体" w:hAnsi="宋体" w:cs="宋体"/>
          <w:sz w:val="24"/>
          <w:szCs w:val="24"/>
        </w:rPr>
        <w:t>（1）①若递交响应性文件的供应商不足三家的，②若符合专业条件的供应商或者对采购文件作实质性响应的供应商只有2家的：经采购人同意后，竞争性谈判活动可以继续进行或依法重新谈判。</w:t>
      </w:r>
    </w:p>
    <w:p w14:paraId="3895982C">
      <w:pPr>
        <w:spacing w:line="500" w:lineRule="exact"/>
        <w:ind w:firstLine="480" w:firstLineChars="200"/>
        <w:rPr>
          <w:rFonts w:ascii="宋体" w:hAnsi="宋体" w:cs="宋体"/>
          <w:sz w:val="24"/>
          <w:szCs w:val="24"/>
        </w:rPr>
      </w:pPr>
      <w:r>
        <w:rPr>
          <w:rFonts w:hint="eastAsia" w:ascii="宋体" w:hAnsi="宋体" w:cs="宋体"/>
          <w:sz w:val="24"/>
          <w:szCs w:val="24"/>
        </w:rPr>
        <w:t>（2）①若递交响应性文件的供应商不足两家的，②若符合专业条件的供应商或者对采购文件作实质性响应的供应商只有1家的：经采购人同意后，现场转为单一来源采购或依法重新谈判。</w:t>
      </w:r>
    </w:p>
    <w:p w14:paraId="57FC96DA">
      <w:pPr>
        <w:spacing w:line="500" w:lineRule="exact"/>
        <w:ind w:firstLine="480" w:firstLineChars="200"/>
        <w:rPr>
          <w:rFonts w:ascii="宋体" w:hAnsi="宋体" w:cs="宋体"/>
          <w:sz w:val="24"/>
          <w:szCs w:val="24"/>
        </w:rPr>
      </w:pPr>
      <w:r>
        <w:rPr>
          <w:rFonts w:hint="eastAsia" w:ascii="宋体" w:hAnsi="宋体" w:cs="宋体"/>
          <w:sz w:val="24"/>
          <w:szCs w:val="24"/>
        </w:rPr>
        <w:t>3、谈判时出现以下情况之一的，将予以废标：</w:t>
      </w:r>
    </w:p>
    <w:p w14:paraId="0D2704BD">
      <w:pPr>
        <w:spacing w:line="500" w:lineRule="exact"/>
        <w:ind w:firstLine="480" w:firstLineChars="200"/>
        <w:rPr>
          <w:rFonts w:ascii="宋体" w:hAnsi="宋体" w:cs="宋体"/>
          <w:sz w:val="24"/>
          <w:szCs w:val="24"/>
        </w:rPr>
      </w:pPr>
      <w:r>
        <w:rPr>
          <w:rFonts w:hint="eastAsia" w:ascii="宋体" w:hAnsi="宋体" w:cs="宋体"/>
          <w:sz w:val="24"/>
          <w:szCs w:val="24"/>
        </w:rPr>
        <w:t>（1）供应商的报价均超过了采购预算，经过多轮谈判仍不能降到预算内、且采购人不能支付的；</w:t>
      </w:r>
    </w:p>
    <w:p w14:paraId="5967065E">
      <w:pPr>
        <w:spacing w:line="500" w:lineRule="exact"/>
        <w:ind w:firstLine="480" w:firstLineChars="200"/>
        <w:rPr>
          <w:rFonts w:ascii="宋体" w:hAnsi="宋体" w:cs="宋体"/>
          <w:sz w:val="24"/>
          <w:szCs w:val="24"/>
        </w:rPr>
      </w:pPr>
      <w:r>
        <w:rPr>
          <w:rFonts w:hint="eastAsia" w:ascii="宋体" w:hAnsi="宋体" w:cs="宋体"/>
          <w:sz w:val="24"/>
          <w:szCs w:val="24"/>
        </w:rPr>
        <w:t>（2）经过谈判，供应商所提供的货物服务仍无法满足谈判文件实质性要求、影响工作的；</w:t>
      </w:r>
    </w:p>
    <w:p w14:paraId="5C71A87E">
      <w:pPr>
        <w:spacing w:line="50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14:paraId="3769DD07">
      <w:pPr>
        <w:spacing w:line="50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14:paraId="0AA97F26">
      <w:pPr>
        <w:spacing w:line="500" w:lineRule="exact"/>
        <w:ind w:firstLine="480" w:firstLineChars="200"/>
        <w:jc w:val="left"/>
        <w:rPr>
          <w:rFonts w:ascii="宋体" w:hAnsi="宋体" w:cs="宋体"/>
          <w:sz w:val="24"/>
          <w:szCs w:val="24"/>
        </w:rPr>
      </w:pPr>
      <w:r>
        <w:rPr>
          <w:rFonts w:hint="eastAsia" w:ascii="宋体" w:hAnsi="宋体" w:cs="宋体"/>
          <w:sz w:val="24"/>
          <w:szCs w:val="24"/>
        </w:rPr>
        <w:t>4、重新组织谈判的，采购单位将通过本项目公告发布网站进行公告。</w:t>
      </w:r>
    </w:p>
    <w:p w14:paraId="27303918">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r>
        <w:rPr>
          <w:rFonts w:hint="eastAsia" w:ascii="宋体" w:hAnsi="宋体" w:eastAsia="宋体" w:cs="宋体"/>
          <w:sz w:val="24"/>
          <w:szCs w:val="24"/>
        </w:rPr>
        <w:t>（七）报价响应及答疑</w:t>
      </w:r>
      <w:bookmarkEnd w:id="91"/>
      <w:bookmarkEnd w:id="92"/>
    </w:p>
    <w:bookmarkEnd w:id="93"/>
    <w:p w14:paraId="0377265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1、响应报价应含有所投</w:t>
      </w:r>
      <w:r>
        <w:rPr>
          <w:rFonts w:hint="eastAsia" w:ascii="宋体" w:hAnsi="宋体" w:eastAsia="宋体" w:cs="宋体"/>
          <w:sz w:val="24"/>
          <w:szCs w:val="24"/>
          <w:lang w:eastAsia="zh-CN"/>
        </w:rPr>
        <w:t>服务各</w:t>
      </w:r>
      <w:r>
        <w:rPr>
          <w:rFonts w:hint="eastAsia" w:ascii="宋体" w:hAnsi="宋体" w:eastAsia="宋体" w:cs="宋体"/>
          <w:sz w:val="24"/>
          <w:szCs w:val="24"/>
        </w:rPr>
        <w:t>环节所发生的</w:t>
      </w:r>
      <w:r>
        <w:rPr>
          <w:rFonts w:hint="eastAsia" w:ascii="宋体" w:hAnsi="宋体" w:eastAsia="宋体" w:cs="宋体"/>
          <w:sz w:val="24"/>
          <w:szCs w:val="24"/>
          <w:lang w:eastAsia="zh-CN"/>
        </w:rPr>
        <w:t>一切</w:t>
      </w:r>
      <w:r>
        <w:rPr>
          <w:rFonts w:hint="eastAsia" w:ascii="宋体" w:hAnsi="宋体" w:eastAsia="宋体" w:cs="宋体"/>
          <w:sz w:val="24"/>
          <w:szCs w:val="24"/>
        </w:rPr>
        <w:t>费用。响应报价为供应商在响应文件中提出的各项支付金额的总和。</w:t>
      </w:r>
    </w:p>
    <w:p w14:paraId="4B1B8F0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2、如需，</w:t>
      </w:r>
      <w:r>
        <w:rPr>
          <w:rFonts w:hint="eastAsia" w:ascii="宋体" w:hAnsi="宋体" w:eastAsia="宋体" w:cs="宋体"/>
          <w:sz w:val="24"/>
          <w:szCs w:val="24"/>
        </w:rPr>
        <w:t>供应商应自行对</w:t>
      </w:r>
      <w:r>
        <w:rPr>
          <w:rFonts w:hint="eastAsia" w:ascii="宋体" w:hAnsi="宋体" w:eastAsia="宋体" w:cs="宋体"/>
          <w:sz w:val="24"/>
          <w:szCs w:val="24"/>
          <w:lang w:eastAsia="zh-CN"/>
        </w:rPr>
        <w:t>服务</w:t>
      </w:r>
      <w:r>
        <w:rPr>
          <w:rFonts w:hint="eastAsia" w:ascii="宋体" w:hAnsi="宋体" w:eastAsia="宋体" w:cs="宋体"/>
          <w:sz w:val="24"/>
          <w:szCs w:val="24"/>
        </w:rPr>
        <w:t>现场和周围环境进行勘察，以获取编制响应文件和签署合同所需的资料。勘察现场所发生的费用由供应商自己承担。采购人向供应商提供的有关</w:t>
      </w:r>
      <w:r>
        <w:rPr>
          <w:rFonts w:hint="eastAsia" w:ascii="宋体" w:hAnsi="宋体" w:eastAsia="宋体" w:cs="宋体"/>
          <w:sz w:val="24"/>
          <w:szCs w:val="24"/>
          <w:lang w:eastAsia="zh-CN"/>
        </w:rPr>
        <w:t>服务</w:t>
      </w:r>
      <w:r>
        <w:rPr>
          <w:rFonts w:hint="eastAsia" w:ascii="宋体" w:hAnsi="宋体" w:eastAsia="宋体" w:cs="宋体"/>
          <w:sz w:val="24"/>
          <w:szCs w:val="24"/>
        </w:rPr>
        <w:t>现场的资料和数据，是采购人现有的能使供应商利用的资料。采购人对供应商由此而做出的推论、理解和结论概不负责。供应商因自身原因未到</w:t>
      </w:r>
      <w:r>
        <w:rPr>
          <w:rFonts w:hint="eastAsia" w:ascii="宋体" w:hAnsi="宋体" w:eastAsia="宋体" w:cs="宋体"/>
          <w:sz w:val="24"/>
          <w:szCs w:val="24"/>
          <w:lang w:eastAsia="zh-CN"/>
        </w:rPr>
        <w:t>服务</w:t>
      </w:r>
      <w:r>
        <w:rPr>
          <w:rFonts w:hint="eastAsia" w:ascii="宋体" w:hAnsi="宋体" w:eastAsia="宋体" w:cs="宋体"/>
          <w:sz w:val="24"/>
          <w:szCs w:val="24"/>
        </w:rPr>
        <w:t>现场实地踏勘的，成交后签订合同时和履约过程中，不得以不完全了解现场情况为由，提出任何形式的增加合同外造价或索赔的要求。</w:t>
      </w:r>
    </w:p>
    <w:p w14:paraId="63EF7BDB">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、供应商如果对谈判文件的其他任何内容有相关疑问，可以</w:t>
      </w:r>
      <w:r>
        <w:rPr>
          <w:rFonts w:hint="eastAsia" w:ascii="宋体" w:hAnsi="宋体" w:eastAsia="宋体" w:cs="宋体"/>
          <w:sz w:val="24"/>
          <w:szCs w:val="24"/>
          <w:lang w:eastAsia="zh-CN"/>
        </w:rPr>
        <w:t>邮件</w:t>
      </w:r>
      <w:r>
        <w:rPr>
          <w:rFonts w:hint="eastAsia" w:ascii="宋体" w:hAnsi="宋体" w:eastAsia="宋体" w:cs="宋体"/>
          <w:sz w:val="24"/>
          <w:szCs w:val="24"/>
        </w:rPr>
        <w:t>形式提出</w:t>
      </w:r>
      <w:r>
        <w:rPr>
          <w:rFonts w:hint="eastAsia" w:ascii="宋体" w:hAnsi="宋体" w:eastAsia="宋体" w:cs="宋体"/>
          <w:sz w:val="24"/>
          <w:szCs w:val="24"/>
          <w:lang w:eastAsia="zh-CN"/>
        </w:rPr>
        <w:t>，</w:t>
      </w:r>
      <w:r>
        <w:rPr>
          <w:rFonts w:hint="eastAsia" w:ascii="宋体" w:hAnsi="宋体" w:eastAsia="宋体" w:cs="宋体"/>
          <w:sz w:val="24"/>
          <w:szCs w:val="24"/>
        </w:rPr>
        <w:t>疑问的提出与答疑获取具体步骤</w:t>
      </w:r>
      <w:r>
        <w:rPr>
          <w:rFonts w:hint="eastAsia" w:ascii="宋体" w:hAnsi="宋体" w:eastAsia="宋体" w:cs="宋体"/>
          <w:sz w:val="24"/>
          <w:szCs w:val="24"/>
          <w:lang w:eastAsia="zh-CN"/>
        </w:rPr>
        <w:t>详见</w:t>
      </w:r>
      <w:r>
        <w:rPr>
          <w:rFonts w:hint="eastAsia" w:ascii="宋体" w:hAnsi="宋体" w:eastAsia="宋体" w:cs="宋体"/>
          <w:sz w:val="24"/>
          <w:szCs w:val="24"/>
        </w:rPr>
        <w:t>须知前附表。</w:t>
      </w:r>
    </w:p>
    <w:p w14:paraId="26B8F5A2">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请供应商及时通过公告</w:t>
      </w:r>
      <w:r>
        <w:rPr>
          <w:rFonts w:hint="eastAsia" w:ascii="宋体" w:hAnsi="宋体" w:eastAsia="宋体" w:cs="宋体"/>
          <w:sz w:val="24"/>
          <w:szCs w:val="24"/>
          <w:lang w:eastAsia="zh-CN"/>
        </w:rPr>
        <w:t>发布网站</w:t>
      </w:r>
      <w:r>
        <w:rPr>
          <w:rFonts w:hint="eastAsia" w:ascii="宋体" w:hAnsi="宋体" w:eastAsia="宋体" w:cs="宋体"/>
          <w:sz w:val="24"/>
          <w:szCs w:val="24"/>
        </w:rPr>
        <w:t>查看答疑文件。</w:t>
      </w:r>
    </w:p>
    <w:p w14:paraId="6F112F40">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、供应商应确保其所提供的响应资料的真实性、有效性及合法性，否则，由此引起的任何责任由其自行承担。</w:t>
      </w:r>
    </w:p>
    <w:p w14:paraId="6ADC95FE">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4" w:name="_Toc8394"/>
      <w:bookmarkStart w:id="95" w:name="_Toc28647"/>
      <w:r>
        <w:rPr>
          <w:rFonts w:hint="eastAsia" w:ascii="宋体" w:hAnsi="宋体" w:eastAsia="宋体" w:cs="宋体"/>
          <w:sz w:val="24"/>
          <w:szCs w:val="24"/>
        </w:rPr>
        <w:t>（八）合同的签订</w:t>
      </w:r>
      <w:bookmarkEnd w:id="94"/>
      <w:bookmarkEnd w:id="95"/>
    </w:p>
    <w:p w14:paraId="03049F2F">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957E28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、成交供应商因不可抗力或者自身原因不能在规定的时间内与采购人签订采购合同，采购人可以与排在成交供应商后第一位的候选供应商签订采购合同，以此类推或重新组织采购。</w:t>
      </w:r>
    </w:p>
    <w:p w14:paraId="60C3ADC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、因政策变化等原因不能签订合同，造成企业合法利益受损的情形，采购人可以与供应商充分协商，给予合理补偿。</w:t>
      </w:r>
    </w:p>
    <w:p w14:paraId="542F401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、在签订合同时，供应商书面明确表示无需预付款或者主动要求降低预付款比例的，采购人可不适用前述（即付款方式）规定。</w:t>
      </w:r>
    </w:p>
    <w:p w14:paraId="535CA2D9">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、采购文件和合同中没有约定预付款的，经供应商申请，采购人可以支付预付款。</w:t>
      </w:r>
    </w:p>
    <w:p w14:paraId="75ED048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、采购人可根据项目特点、供应商诚信等因素，要求供应商提交银行、保险公司、担保公司等金融机构出具的预付款保函或其他担保措施。</w:t>
      </w:r>
    </w:p>
    <w:p w14:paraId="12FBD3A2">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、政府采购预付款应在合同、担保措施生效以及具备实施条件后 5 个工作日内支付。</w:t>
      </w:r>
    </w:p>
    <w:p w14:paraId="1C19ABA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、延迟支付中小企业款项的，供应商可要求采购人按照合同约定支付逾期利息，合同没有约定的，按照同期人民银行 LPR支付逾期利息。</w:t>
      </w:r>
    </w:p>
    <w:p w14:paraId="3DE0E647">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、成交供应商无正当理由不与采购人订立合同的处罚依据：</w:t>
      </w:r>
    </w:p>
    <w:p w14:paraId="4B9882E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（1）《中华人民共和国政府采购法实施条例》</w:t>
      </w:r>
    </w:p>
    <w:p w14:paraId="289B0CA4">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第七十二条 供应商有下列情形之一的，依照政府采购法第七十七条第一款的规定追究法律责任：……</w:t>
      </w:r>
    </w:p>
    <w:p w14:paraId="31491675">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（二）中标或者成交后无正当理由拒不与采购人签订政府采购合同；……</w:t>
      </w:r>
    </w:p>
    <w:p w14:paraId="52B89C1D">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（2）《中华人民共和国政府采购法》</w:t>
      </w:r>
    </w:p>
    <w:p w14:paraId="1E171801">
      <w:pPr>
        <w:pageBreakBefore w:val="0"/>
        <w:kinsoku/>
        <w:wordWrap/>
        <w:overflowPunct/>
        <w:topLinePunct w:val="0"/>
        <w:autoSpaceDE/>
        <w:autoSpaceDN/>
        <w:bidi w:val="0"/>
        <w:snapToGrid/>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E283A87">
      <w:pPr>
        <w:pStyle w:val="34"/>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（3）《政府采购非招标采购方式管理办法》（财政部令第74号）</w:t>
      </w:r>
    </w:p>
    <w:p w14:paraId="517880F9">
      <w:pPr>
        <w:pStyle w:val="34"/>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第五十四条 成交供应商有下列情形之一的，责令限期整改，情节严重的，列入不良行为记录名单，在1至3年内禁止参加政府采购活动，并予以通报：……</w:t>
      </w:r>
    </w:p>
    <w:p w14:paraId="67F62BEF">
      <w:pPr>
        <w:pStyle w:val="34"/>
        <w:pageBreakBefore w:val="0"/>
        <w:kinsoku/>
        <w:wordWrap/>
        <w:overflowPunct/>
        <w:topLinePunct w:val="0"/>
        <w:autoSpaceDE/>
        <w:autoSpaceDN/>
        <w:bidi w:val="0"/>
        <w:snapToGrid/>
        <w:spacing w:after="0"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（二）成交后无正当理由不与采购人签订合同的；……</w:t>
      </w:r>
    </w:p>
    <w:p w14:paraId="447B1752">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6" w:name="_Toc15212"/>
      <w:bookmarkStart w:id="97" w:name="_Toc30371"/>
      <w:r>
        <w:rPr>
          <w:rFonts w:hint="eastAsia" w:ascii="宋体" w:hAnsi="宋体" w:eastAsia="宋体" w:cs="宋体"/>
          <w:sz w:val="24"/>
          <w:szCs w:val="24"/>
        </w:rPr>
        <w:t>（九）澄清及变更</w:t>
      </w:r>
      <w:bookmarkEnd w:id="96"/>
      <w:bookmarkEnd w:id="97"/>
    </w:p>
    <w:p w14:paraId="3D28B98A">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谈判文件如有澄清及变更，将以网上公告形式发布，请供应商及时关注。</w:t>
      </w:r>
    </w:p>
    <w:p w14:paraId="0613BB38">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98" w:name="_Toc14936"/>
      <w:bookmarkStart w:id="99" w:name="_Toc11886"/>
      <w:r>
        <w:rPr>
          <w:rFonts w:hint="eastAsia" w:ascii="宋体" w:hAnsi="宋体" w:eastAsia="宋体" w:cs="宋体"/>
          <w:sz w:val="24"/>
          <w:szCs w:val="24"/>
        </w:rPr>
        <w:t>（十）验收</w:t>
      </w:r>
      <w:bookmarkEnd w:id="98"/>
      <w:r>
        <w:rPr>
          <w:rFonts w:hint="eastAsia" w:ascii="宋体" w:hAnsi="宋体" w:eastAsia="宋体" w:cs="宋体"/>
          <w:sz w:val="24"/>
          <w:szCs w:val="24"/>
        </w:rPr>
        <w:t>与支付</w:t>
      </w:r>
      <w:bookmarkEnd w:id="99"/>
    </w:p>
    <w:p w14:paraId="5E9616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1、采购人应当在项目完成且收到供应商验收申请后 5 个工作日内组织开展履约验收。</w:t>
      </w:r>
    </w:p>
    <w:p w14:paraId="402EFFB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00965A4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3、涉及安全、消防、环保等其他需要由质检或行业主管部门进行验收的项目，必须邀请相关部门或相关专家参与验收。</w:t>
      </w:r>
    </w:p>
    <w:p w14:paraId="4DCB2F3A">
      <w:pPr>
        <w:pStyle w:val="34"/>
        <w:pageBreakBefore w:val="0"/>
        <w:kinsoku/>
        <w:wordWrap/>
        <w:overflowPunct/>
        <w:topLinePunct w:val="0"/>
        <w:autoSpaceDE/>
        <w:autoSpaceDN/>
        <w:bidi w:val="0"/>
        <w:snapToGrid/>
        <w:spacing w:line="500" w:lineRule="exact"/>
        <w:rPr>
          <w:rFonts w:hint="eastAsia" w:ascii="宋体" w:hAnsi="宋体" w:eastAsia="宋体" w:cs="宋体"/>
          <w:sz w:val="24"/>
          <w:szCs w:val="24"/>
        </w:rPr>
      </w:pPr>
      <w:r>
        <w:rPr>
          <w:rFonts w:hint="eastAsia" w:ascii="宋体" w:hAnsi="宋体" w:eastAsia="宋体" w:cs="宋体"/>
          <w:sz w:val="24"/>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17013C12">
      <w:pPr>
        <w:pStyle w:val="6"/>
        <w:pageBreakBefore w:val="0"/>
        <w:kinsoku/>
        <w:wordWrap/>
        <w:overflowPunct/>
        <w:topLinePunct w:val="0"/>
        <w:autoSpaceDE/>
        <w:autoSpaceDN/>
        <w:bidi w:val="0"/>
        <w:snapToGrid/>
        <w:spacing w:before="0" w:after="0" w:line="500" w:lineRule="exact"/>
        <w:jc w:val="center"/>
        <w:rPr>
          <w:rFonts w:hint="eastAsia" w:ascii="宋体" w:hAnsi="宋体" w:eastAsia="宋体" w:cs="宋体"/>
          <w:sz w:val="24"/>
          <w:szCs w:val="24"/>
        </w:rPr>
      </w:pPr>
      <w:bookmarkStart w:id="100" w:name="_Toc29355"/>
      <w:bookmarkStart w:id="101" w:name="_Toc24748"/>
      <w:r>
        <w:rPr>
          <w:rFonts w:hint="eastAsia" w:ascii="宋体" w:hAnsi="宋体" w:eastAsia="宋体" w:cs="宋体"/>
          <w:sz w:val="24"/>
          <w:szCs w:val="24"/>
        </w:rPr>
        <w:t>（十一）质疑</w:t>
      </w:r>
      <w:bookmarkEnd w:id="100"/>
      <w:bookmarkEnd w:id="101"/>
    </w:p>
    <w:p w14:paraId="2EAD032C">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3796C0D5">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2、质疑应在规定时限内提出： </w:t>
      </w:r>
    </w:p>
    <w:p w14:paraId="57BD99AE">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对政府采购中标结果的质疑，应在中标结果公布之日起七个工作日内提出。</w:t>
      </w:r>
    </w:p>
    <w:p w14:paraId="733E7D16">
      <w:pPr>
        <w:pageBreakBefore w:val="0"/>
        <w:kinsoku/>
        <w:wordWrap/>
        <w:overflowPunct/>
        <w:topLinePunct w:val="0"/>
        <w:autoSpaceDE/>
        <w:autoSpaceDN/>
        <w:bidi w:val="0"/>
        <w:snapToGrid/>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color w:val="auto"/>
          <w:sz w:val="24"/>
          <w:szCs w:val="24"/>
        </w:rPr>
        <w:t>质疑材料应当包括以下内容：</w:t>
      </w:r>
    </w:p>
    <w:p w14:paraId="080B3D79">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3.1质疑人的名称、地址、有效联系方式；</w:t>
      </w:r>
    </w:p>
    <w:p w14:paraId="66B476FF">
      <w:pPr>
        <w:pageBreakBefore w:val="0"/>
        <w:widowControl/>
        <w:kinsoku/>
        <w:wordWrap/>
        <w:overflowPunct/>
        <w:topLinePunct w:val="0"/>
        <w:autoSpaceDE/>
        <w:autoSpaceDN/>
        <w:bidi w:val="0"/>
        <w:snapToGrid/>
        <w:spacing w:line="5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3.2项目名称、项目编号、包别号（如有）；</w:t>
      </w:r>
    </w:p>
    <w:p w14:paraId="47C315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3.3被质疑人名称；</w:t>
      </w:r>
    </w:p>
    <w:p w14:paraId="0B5991F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3.4具体的质疑事项、基本事实及必要的证明材料；</w:t>
      </w:r>
    </w:p>
    <w:p w14:paraId="5DD8EF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3.5明确的请求及主张；</w:t>
      </w:r>
    </w:p>
    <w:p w14:paraId="74B3BB1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3.6提起质疑的日期。</w:t>
      </w:r>
    </w:p>
    <w:p w14:paraId="48D2103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质疑人为法人或者其他组织的，应当由法定代表人或其委托代理人（需有委托授权书）签字并加盖公章。</w:t>
      </w:r>
    </w:p>
    <w:p w14:paraId="20E75B1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质疑人需要修改、补充质疑材料的，应当在质疑期内提交修改或补充材料。</w:t>
      </w:r>
    </w:p>
    <w:p w14:paraId="3BAFEB4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4、有下列情形之一的，不予受理：</w:t>
      </w:r>
    </w:p>
    <w:p w14:paraId="04AA09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4.1提起质疑的主体不是参与该政府采购项目活动的供应商；</w:t>
      </w:r>
    </w:p>
    <w:p w14:paraId="6E527A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4.2提起质疑的时间超过规定时限的；</w:t>
      </w:r>
    </w:p>
    <w:p w14:paraId="2B64E3E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4.3质疑材料不完整的；</w:t>
      </w:r>
    </w:p>
    <w:p w14:paraId="42DAA7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4.4质疑事项含有主观猜测等内容且未提供有效线索、难以查证的；</w:t>
      </w:r>
    </w:p>
    <w:p w14:paraId="0D023E6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4.5对其他投标供应商的投标文件详细内容质疑，无法提供合法来源渠道的；</w:t>
      </w:r>
    </w:p>
    <w:p w14:paraId="5B592D9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4.6质疑事项已进入投诉处理、行政复议或行政诉讼程序的。</w:t>
      </w:r>
    </w:p>
    <w:p w14:paraId="2BD0554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5、经审查符合质疑条件的，自收到质疑之日起即为受理。采购人及采购代理机构将在质疑受理后7个工作日内作出答复或相关处理决定，并以书面形式通知质疑人，答复的内容不得涉及商业秘密。</w:t>
      </w:r>
    </w:p>
    <w:p w14:paraId="5D8EF2A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6、质疑人在答复期满前撤回质疑的，应由法定代表人或授权代表人签字确认，即终止质疑处理程序。质疑人不得以同一理由再次提出质疑。</w:t>
      </w:r>
    </w:p>
    <w:p w14:paraId="7F27175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质疑人对质疑答复不满意或采购人及采购代理机构未在规定时间内做出答复的，可以在规定期限内向六安市公共资源交易监督管理局提起投诉。</w:t>
      </w:r>
    </w:p>
    <w:p w14:paraId="0F1FE2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质疑人应在答复期满后十五个工作日内提起投诉。</w:t>
      </w:r>
    </w:p>
    <w:p w14:paraId="62B793C6">
      <w:pPr>
        <w:pStyle w:val="34"/>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7、</w:t>
      </w:r>
      <w:r>
        <w:rPr>
          <w:rFonts w:hint="eastAsia" w:ascii="宋体" w:hAnsi="宋体" w:eastAsia="宋体" w:cs="宋体"/>
          <w:bCs/>
          <w:kern w:val="2"/>
          <w:sz w:val="24"/>
          <w:szCs w:val="24"/>
          <w:lang w:val="en-US" w:eastAsia="zh-CN" w:bidi="ar-SA"/>
        </w:rPr>
        <w:t>投诉人在全国范围12个月内三次以上投诉查无实据的，由财政部门列入不良行为记录名单。</w:t>
      </w:r>
    </w:p>
    <w:p w14:paraId="03935464">
      <w:pPr>
        <w:pStyle w:val="34"/>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投诉人有下列行为之一的，属于虚假、恶意投诉，由财政部门列入不良行为记录名单，禁止其1至3年内参加政府采购活动：</w:t>
      </w:r>
    </w:p>
    <w:p w14:paraId="245D51C5">
      <w:pPr>
        <w:pStyle w:val="34"/>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（一）捏造事实；</w:t>
      </w:r>
    </w:p>
    <w:p w14:paraId="24084D6B">
      <w:pPr>
        <w:pStyle w:val="34"/>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（二）提供虚假材料；</w:t>
      </w:r>
    </w:p>
    <w:p w14:paraId="39ECD4B9">
      <w:pPr>
        <w:pStyle w:val="34"/>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（三）以非法手段取得证明材料。证据来源的合法性存在明显疑问，投诉人无法证明其取得方式合法的，视为以非法手段取得证明材料。</w:t>
      </w:r>
    </w:p>
    <w:p w14:paraId="16BAA034">
      <w:pPr>
        <w:pStyle w:val="6"/>
        <w:numPr>
          <w:ilvl w:val="0"/>
          <w:numId w:val="0"/>
        </w:numPr>
        <w:spacing w:before="0" w:after="0" w:line="560" w:lineRule="exact"/>
        <w:jc w:val="center"/>
        <w:rPr>
          <w:rFonts w:hint="eastAsia" w:ascii="宋体" w:hAnsi="宋体" w:eastAsia="宋体" w:cs="宋体"/>
          <w:sz w:val="28"/>
          <w:szCs w:val="28"/>
        </w:rPr>
      </w:pPr>
      <w:bookmarkStart w:id="102" w:name="_Toc13399"/>
      <w:r>
        <w:rPr>
          <w:rFonts w:hint="eastAsia" w:ascii="宋体" w:hAnsi="宋体" w:eastAsia="宋体" w:cs="宋体"/>
          <w:sz w:val="28"/>
          <w:szCs w:val="28"/>
        </w:rPr>
        <w:t>二、采购合同</w:t>
      </w:r>
      <w:bookmarkEnd w:id="102"/>
    </w:p>
    <w:bookmarkEnd w:id="69"/>
    <w:p w14:paraId="67F10607">
      <w:pPr>
        <w:pStyle w:val="34"/>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Cs/>
          <w:kern w:val="2"/>
          <w:sz w:val="24"/>
          <w:szCs w:val="24"/>
          <w:lang w:val="en-US" w:eastAsia="zh-CN" w:bidi="ar-SA"/>
        </w:rPr>
      </w:pPr>
      <w:bookmarkStart w:id="103" w:name="_Toc363199273"/>
      <w:r>
        <w:rPr>
          <w:rFonts w:hint="eastAsia" w:ascii="宋体" w:hAnsi="宋体" w:eastAsia="宋体" w:cs="宋体"/>
          <w:bCs/>
          <w:kern w:val="2"/>
          <w:sz w:val="24"/>
          <w:szCs w:val="24"/>
          <w:lang w:val="en-US" w:eastAsia="zh-CN" w:bidi="ar-SA"/>
        </w:rPr>
        <w:t>（双方自行拟定，但不得违背谈判文件实质性内容）</w:t>
      </w:r>
    </w:p>
    <w:p w14:paraId="0B6AF863">
      <w:pPr>
        <w:pStyle w:val="6"/>
        <w:numPr>
          <w:ilvl w:val="0"/>
          <w:numId w:val="0"/>
        </w:numPr>
        <w:spacing w:before="0" w:after="0" w:line="560" w:lineRule="exact"/>
        <w:jc w:val="center"/>
        <w:rPr>
          <w:rFonts w:hint="eastAsia" w:ascii="宋体" w:hAnsi="宋体" w:eastAsia="宋体" w:cs="宋体"/>
          <w:b/>
          <w:color w:val="auto"/>
          <w:kern w:val="0"/>
          <w:sz w:val="28"/>
          <w:szCs w:val="28"/>
          <w:lang w:val="en-US" w:eastAsia="zh-CN" w:bidi="ar-SA"/>
        </w:rPr>
      </w:pPr>
      <w:bookmarkStart w:id="104" w:name="_Toc20887"/>
    </w:p>
    <w:p w14:paraId="28A3ED30">
      <w:pPr>
        <w:pStyle w:val="6"/>
        <w:numPr>
          <w:ilvl w:val="0"/>
          <w:numId w:val="0"/>
        </w:numPr>
        <w:spacing w:before="0" w:after="0" w:line="560" w:lineRule="exact"/>
        <w:jc w:val="center"/>
        <w:rPr>
          <w:rFonts w:ascii="宋体" w:hAnsi="宋体" w:eastAsia="宋体" w:cs="宋体"/>
          <w:color w:val="auto"/>
          <w:sz w:val="28"/>
          <w:szCs w:val="28"/>
        </w:rPr>
      </w:pPr>
      <w:r>
        <w:rPr>
          <w:rFonts w:hint="eastAsia" w:ascii="宋体" w:hAnsi="宋体" w:eastAsia="宋体" w:cs="宋体"/>
          <w:b/>
          <w:color w:val="auto"/>
          <w:kern w:val="0"/>
          <w:sz w:val="28"/>
          <w:szCs w:val="28"/>
          <w:lang w:val="en-US" w:eastAsia="zh-CN" w:bidi="ar-SA"/>
        </w:rPr>
        <w:t>三、</w:t>
      </w:r>
      <w:r>
        <w:rPr>
          <w:rFonts w:hint="eastAsia" w:ascii="宋体" w:hAnsi="宋体" w:eastAsia="宋体" w:cs="宋体"/>
          <w:color w:val="auto"/>
          <w:sz w:val="28"/>
          <w:szCs w:val="28"/>
        </w:rPr>
        <w:t>采购需求</w:t>
      </w:r>
      <w:bookmarkEnd w:id="104"/>
    </w:p>
    <w:p w14:paraId="49B74F4C">
      <w:pPr>
        <w:spacing w:before="190" w:line="220" w:lineRule="auto"/>
        <w:ind w:left="5"/>
        <w:outlineLvl w:val="0"/>
        <w:rPr>
          <w:rFonts w:hint="eastAsia" w:ascii="宋体" w:hAnsi="宋体" w:eastAsia="宋体" w:cs="宋体"/>
          <w:b/>
          <w:bCs/>
          <w:color w:val="auto"/>
          <w:sz w:val="24"/>
          <w:szCs w:val="24"/>
          <w:lang w:val="en-US" w:eastAsia="zh-CN"/>
        </w:rPr>
      </w:pPr>
      <w:r>
        <w:rPr>
          <w:rFonts w:ascii="宋体" w:hAnsi="宋体" w:eastAsia="宋体" w:cs="宋体"/>
          <w:b/>
          <w:bCs/>
          <w:color w:val="auto"/>
          <w:spacing w:val="-5"/>
          <w:sz w:val="28"/>
          <w:szCs w:val="28"/>
        </w:rPr>
        <w:t>一、</w:t>
      </w:r>
      <w:r>
        <w:rPr>
          <w:rFonts w:hint="eastAsia" w:ascii="宋体" w:hAnsi="宋体" w:eastAsia="宋体" w:cs="宋体"/>
          <w:b/>
          <w:bCs/>
          <w:color w:val="auto"/>
          <w:sz w:val="24"/>
          <w:szCs w:val="24"/>
          <w:lang w:val="en-US" w:eastAsia="zh-CN"/>
        </w:rPr>
        <w:t>项目背景</w:t>
      </w:r>
    </w:p>
    <w:p w14:paraId="44DF31F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sz w:val="24"/>
          <w:szCs w:val="24"/>
          <w:lang w:val="en-US" w:eastAsia="zh-CN"/>
        </w:rPr>
        <w:t>霍山县三道河组徐仁芳等五户屋后崩塌地质灾害位于霍山县落儿岭镇落儿岭村，地理坐标东经116°11′43.7″，北纬</w:t>
      </w:r>
      <w:bookmarkStart w:id="105" w:name="list8"/>
      <w:bookmarkEnd w:id="105"/>
      <w:r>
        <w:rPr>
          <w:rFonts w:hint="eastAsia" w:ascii="宋体" w:hAnsi="宋体" w:eastAsia="宋体" w:cs="宋体"/>
          <w:sz w:val="24"/>
          <w:szCs w:val="24"/>
          <w:lang w:val="en-US" w:eastAsia="zh-CN"/>
        </w:rPr>
        <w:t>31°22′35.8″。</w:t>
      </w:r>
      <w:r>
        <w:rPr>
          <w:rFonts w:hint="eastAsia" w:ascii="宋体" w:hAnsi="宋体" w:eastAsia="宋体" w:cs="宋体"/>
          <w:bCs/>
          <w:color w:val="auto"/>
          <w:sz w:val="24"/>
          <w:szCs w:val="24"/>
          <w:lang w:val="en-US" w:eastAsia="zh-CN"/>
        </w:rPr>
        <w:t>为加强地质灾害的防治工作，减少乃至逐步消除地质灾害的危害，对霍山县落儿岭镇落儿岭村三道河组崩塌地质灾害点，进行勘查设计工作。</w:t>
      </w:r>
    </w:p>
    <w:p w14:paraId="2F910B90">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二、服务内容</w:t>
      </w:r>
    </w:p>
    <w:p w14:paraId="331162F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（一）勘查任务（包含但不限于）：</w:t>
      </w:r>
    </w:p>
    <w:p w14:paraId="7B2DA2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1、查清斜坡体的地形地貌特征，地质构造特征；</w:t>
      </w:r>
    </w:p>
    <w:p w14:paraId="0AAD492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2、查明该崩塌处的范围、地形地貌特征、规模、形态、地质背景、工程地质条件及水文地质条件；</w:t>
      </w:r>
    </w:p>
    <w:p w14:paraId="494767C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3、查明斜坡地质灾害岩土体的类型、成因、性状、覆盖层厚度、基岩面的形态和坡度、岩石风化和完整程度，岩、土体的物理力学性能及参数；</w:t>
      </w:r>
    </w:p>
    <w:p w14:paraId="25F6A26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4、查明岩体结构类型、主要结构面（特别是软弱结构面）的类型和等级、产状、发育程度、延伸程度、闭合程度、风化程度、充填状况、充水状况、组合关系、力学属性和与临空面的关系；</w:t>
      </w:r>
    </w:p>
    <w:p w14:paraId="4616CA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5、分析该地质灾害的形成条件及机制，评价其变形特征及发展趋势，对斜坡体进行分析和计算，评价其稳定性及危害性，并作出综合评价；</w:t>
      </w:r>
    </w:p>
    <w:p w14:paraId="62CEFFA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（二）设计任务（包含但不限于）：</w:t>
      </w:r>
    </w:p>
    <w:p w14:paraId="677B442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1、提出工程防治方案建议，编制治理工程初步设计。</w:t>
      </w:r>
    </w:p>
    <w:p w14:paraId="6EA2639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2、为治理工程的施工提供依据，以彻底消除地质灾害隐患的威胁，在调查崩塌的基本特征、危害程度及发展趋势的基础上，确定出所需防治地段，并进行防治工程设计，消除安全隐患。</w:t>
      </w:r>
    </w:p>
    <w:p w14:paraId="0B5384F0">
      <w:pPr>
        <w:spacing w:before="190" w:line="220" w:lineRule="auto"/>
        <w:ind w:left="5"/>
        <w:outlineLvl w:val="0"/>
        <w:rPr>
          <w:rFonts w:hint="eastAsia" w:ascii="宋体" w:hAnsi="宋体" w:eastAsia="宋体" w:cs="宋体"/>
          <w:b/>
          <w:bCs/>
          <w:color w:val="auto"/>
          <w:sz w:val="24"/>
          <w:szCs w:val="24"/>
          <w:lang w:val="en-US" w:eastAsia="zh-CN"/>
        </w:rPr>
      </w:pPr>
      <w:bookmarkStart w:id="106" w:name="_Toc166138062"/>
      <w:bookmarkStart w:id="107" w:name="_Toc211270446"/>
      <w:bookmarkStart w:id="108" w:name="_Toc180913833"/>
      <w:bookmarkStart w:id="109" w:name="_Toc189297217"/>
      <w:bookmarkStart w:id="110" w:name="_Toc138923269"/>
      <w:bookmarkStart w:id="111" w:name="_Toc14930"/>
      <w:bookmarkStart w:id="112" w:name="_Toc25339"/>
      <w:bookmarkStart w:id="113" w:name="_Toc188865342"/>
      <w:bookmarkStart w:id="114" w:name="_Toc13306"/>
      <w:bookmarkStart w:id="115" w:name="_Toc224039983"/>
      <w:bookmarkStart w:id="116" w:name="_Toc182401675"/>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 xml:space="preserve"> 勘查设计依据</w:t>
      </w:r>
      <w:bookmarkEnd w:id="106"/>
      <w:bookmarkEnd w:id="107"/>
      <w:bookmarkEnd w:id="108"/>
      <w:bookmarkEnd w:id="109"/>
      <w:bookmarkEnd w:id="110"/>
      <w:bookmarkEnd w:id="111"/>
      <w:bookmarkEnd w:id="112"/>
      <w:bookmarkEnd w:id="113"/>
      <w:bookmarkEnd w:id="114"/>
      <w:bookmarkEnd w:id="115"/>
      <w:bookmarkEnd w:id="116"/>
    </w:p>
    <w:p w14:paraId="74084A8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1、《崩塌防治工程勘查规范》（T/CAGHP011-2018）；</w:t>
      </w:r>
    </w:p>
    <w:p w14:paraId="142A4F8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2、《滑坡防治工程勘查规范》（</w:t>
      </w:r>
      <w:bookmarkStart w:id="117" w:name="_Hlk77112756"/>
      <w:r>
        <w:rPr>
          <w:rFonts w:hint="eastAsia" w:ascii="宋体" w:hAnsi="宋体" w:eastAsia="宋体" w:cs="宋体"/>
          <w:bCs/>
          <w:color w:val="auto"/>
          <w:sz w:val="24"/>
          <w:szCs w:val="24"/>
          <w:lang w:val="en-US" w:eastAsia="zh-CN"/>
        </w:rPr>
        <w:t>GB/T 32864-2016</w:t>
      </w:r>
      <w:bookmarkEnd w:id="117"/>
      <w:r>
        <w:rPr>
          <w:rFonts w:hint="eastAsia" w:ascii="宋体" w:hAnsi="宋体" w:eastAsia="宋体" w:cs="宋体"/>
          <w:bCs/>
          <w:color w:val="auto"/>
          <w:sz w:val="24"/>
          <w:szCs w:val="24"/>
          <w:lang w:val="en-US" w:eastAsia="zh-CN"/>
        </w:rPr>
        <w:t>）；</w:t>
      </w:r>
    </w:p>
    <w:p w14:paraId="04F37B5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3、《滑坡防治工程设计与施工技术规范》（DZ/T 0219-2006）；</w:t>
      </w:r>
    </w:p>
    <w:p w14:paraId="65C92B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4、《滑坡防治设计规范》（GB/T 38509--2020）；</w:t>
      </w:r>
    </w:p>
    <w:p w14:paraId="0F231A9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5、《工程勘察通用规范》（GB55017-2021（2021版））；</w:t>
      </w:r>
    </w:p>
    <w:p w14:paraId="02B10BD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6、《建筑边坡工程技术规范》（GB50330-2015）；</w:t>
      </w:r>
    </w:p>
    <w:p w14:paraId="2EEF64C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7、《建筑抗震设计规范》（GB50011-2010 ,2016版）；</w:t>
      </w:r>
    </w:p>
    <w:p w14:paraId="4794880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8、《工程测量标准》（GB50026-2020）；</w:t>
      </w:r>
    </w:p>
    <w:p w14:paraId="10663B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9、《工程地质手册》（第五版）；</w:t>
      </w:r>
    </w:p>
    <w:p w14:paraId="510021A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10、《建筑与市政地基基础通用规范》GB55003-2021；</w:t>
      </w:r>
    </w:p>
    <w:p w14:paraId="77A9142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11、《中国地震动参数区划图》（GB18306-2015）。</w:t>
      </w:r>
    </w:p>
    <w:p w14:paraId="4FAB68B3">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四、提交成果</w:t>
      </w:r>
    </w:p>
    <w:p w14:paraId="05D6298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根据现场测量与勘察，</w:t>
      </w:r>
      <w:r>
        <w:rPr>
          <w:rFonts w:hint="eastAsia" w:ascii="宋体" w:hAnsi="宋体" w:eastAsia="宋体" w:cs="宋体"/>
          <w:bCs/>
          <w:color w:val="auto"/>
          <w:sz w:val="24"/>
          <w:szCs w:val="24"/>
          <w:lang w:val="en-US" w:eastAsia="zh-CN"/>
        </w:rPr>
        <w:t>针对边坡破坏的规模、范围及保护对象，并考虑到边坡岩土体的性质与场地条件、施工交通条件及施工环境、施工技术条件、地方材料资源等具体制约因素和土地利用、环境保护等的要求，</w:t>
      </w:r>
      <w:r>
        <w:rPr>
          <w:rFonts w:hint="eastAsia" w:ascii="宋体" w:hAnsi="宋体" w:cs="宋体"/>
          <w:bCs/>
          <w:color w:val="auto"/>
          <w:sz w:val="24"/>
          <w:szCs w:val="24"/>
          <w:lang w:val="en-US" w:eastAsia="zh-CN"/>
        </w:rPr>
        <w:t>编制最终成果文件。</w:t>
      </w:r>
    </w:p>
    <w:p w14:paraId="5FFCAF5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color w:val="auto"/>
          <w:sz w:val="24"/>
          <w:szCs w:val="24"/>
        </w:rPr>
      </w:pPr>
      <w:r>
        <w:rPr>
          <w:rFonts w:hint="eastAsia" w:ascii="宋体" w:hAnsi="宋体" w:eastAsia="宋体" w:cs="宋体"/>
          <w:bCs/>
          <w:color w:val="auto"/>
          <w:sz w:val="24"/>
          <w:szCs w:val="24"/>
          <w:lang w:val="en-US" w:eastAsia="zh-CN"/>
        </w:rPr>
        <w:t>项目提交成果中的策划文本采用 WORD、PPT、PDF 等格式，图件成果采用 JPG 等格式。最终成果必须符合国家和行业的有关规定，材料内容符合相关法律、法规要求。所有资料需提供电子版和纸质版，纸质版一式三份。</w:t>
      </w:r>
    </w:p>
    <w:p w14:paraId="39C39FAE">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五、其他要求</w:t>
      </w:r>
    </w:p>
    <w:p w14:paraId="055812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1、供应商应充分了解本项目的服务范围及内容、熟悉本项目的工作流程、充分考虑项目履约期间的市场、政策等因素影响，将所有风险考虑在投标报价中，一旦成交，成交人不得以任何理由提出成交价调整。</w:t>
      </w:r>
    </w:p>
    <w:p w14:paraId="136A8A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2、本项目对所有采购服务需求报总价，总价包含各项</w:t>
      </w:r>
      <w:r>
        <w:rPr>
          <w:rFonts w:hint="eastAsia" w:ascii="宋体" w:hAnsi="宋体" w:cs="宋体"/>
          <w:bCs/>
          <w:color w:val="auto"/>
          <w:sz w:val="24"/>
          <w:szCs w:val="24"/>
          <w:lang w:val="en-US" w:eastAsia="zh-CN"/>
        </w:rPr>
        <w:t>勘察</w:t>
      </w:r>
      <w:r>
        <w:rPr>
          <w:rFonts w:hint="eastAsia" w:ascii="宋体" w:hAnsi="宋体" w:eastAsia="宋体" w:cs="宋体"/>
          <w:bCs/>
          <w:color w:val="auto"/>
          <w:sz w:val="24"/>
          <w:szCs w:val="24"/>
          <w:lang w:val="en-US" w:eastAsia="zh-CN"/>
        </w:rPr>
        <w:t>、 设计服务、专家论证费</w:t>
      </w:r>
      <w:r>
        <w:rPr>
          <w:rFonts w:hint="eastAsia" w:ascii="宋体" w:hAnsi="宋体" w:cs="宋体"/>
          <w:bCs/>
          <w:color w:val="auto"/>
          <w:sz w:val="24"/>
          <w:szCs w:val="24"/>
          <w:lang w:val="en-US" w:eastAsia="zh-CN"/>
        </w:rPr>
        <w:t>（如有）</w:t>
      </w:r>
      <w:r>
        <w:rPr>
          <w:rFonts w:hint="eastAsia" w:ascii="宋体" w:hAnsi="宋体" w:eastAsia="宋体" w:cs="宋体"/>
          <w:bCs/>
          <w:color w:val="auto"/>
          <w:sz w:val="24"/>
          <w:szCs w:val="24"/>
          <w:lang w:val="en-US" w:eastAsia="zh-CN"/>
        </w:rPr>
        <w:t>等完成本项目所发生的应有费用，采购人后期不再支付任何费用，投标人须考虑各种风险综合报价。</w:t>
      </w:r>
    </w:p>
    <w:p w14:paraId="75ED56A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3、供应商应充分考虑本项目勘察现场安全问题，一切安全问题由供应商自行负责。</w:t>
      </w:r>
    </w:p>
    <w:p w14:paraId="210243EC">
      <w:pPr>
        <w:spacing w:before="190" w:line="220" w:lineRule="auto"/>
        <w:ind w:left="5"/>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六、安全与保密</w:t>
      </w:r>
    </w:p>
    <w:p w14:paraId="5666DED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1、成交人策划规划成果涉及知识产权的，成交人应保证不侵犯任何第三方知识产权。成交人提交的工作成果的著作权人为采购人，若该工作成果侵犯第三方知识产权的，由成交人承担赔偿责任。</w:t>
      </w:r>
    </w:p>
    <w:p w14:paraId="4642E03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2、调查、编制工作中涉及到的涉密和敏感图文资料、电子数据，编制单位应严格执行保密的相关规定，不得以任何方式向任何第三人披露、泄露或许可第三人使用。</w:t>
      </w:r>
    </w:p>
    <w:p w14:paraId="622B2E75">
      <w:pPr>
        <w:spacing w:before="40" w:line="455" w:lineRule="auto"/>
        <w:ind w:left="2" w:right="2" w:firstLine="563"/>
        <w:rPr>
          <w:rFonts w:ascii="宋体" w:hAnsi="宋体" w:eastAsia="宋体" w:cs="宋体"/>
          <w:color w:val="FF0000"/>
          <w:spacing w:val="-1"/>
          <w:sz w:val="28"/>
          <w:szCs w:val="28"/>
        </w:rPr>
        <w:sectPr>
          <w:footerReference r:id="rId6" w:type="default"/>
          <w:pgSz w:w="11906" w:h="16839"/>
          <w:pgMar w:top="1431" w:right="1528" w:bottom="1156" w:left="1541" w:header="0" w:footer="994" w:gutter="0"/>
          <w:pgNumType w:fmt="decimal"/>
          <w:cols w:space="720" w:num="1"/>
        </w:sectPr>
      </w:pPr>
    </w:p>
    <w:p w14:paraId="3CB2C69F">
      <w:pPr>
        <w:pStyle w:val="6"/>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bookmarkStart w:id="118" w:name="_Toc27329"/>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118"/>
    </w:p>
    <w:p w14:paraId="5DCB92BC">
      <w:pPr>
        <w:keepNext w:val="0"/>
        <w:keepLines w:val="0"/>
        <w:pageBreakBefore w:val="0"/>
        <w:widowControl w:val="0"/>
        <w:kinsoku/>
        <w:overflowPunct/>
        <w:topLinePunct w:val="0"/>
        <w:autoSpaceDE/>
        <w:autoSpaceDN/>
        <w:bidi w:val="0"/>
        <w:adjustRightInd/>
        <w:snapToGrid/>
        <w:spacing w:line="500" w:lineRule="exact"/>
        <w:ind w:left="0" w:firstLine="474" w:firstLineChars="200"/>
        <w:textAlignment w:val="auto"/>
        <w:outlineLvl w:val="0"/>
        <w:rPr>
          <w:rFonts w:hint="eastAsia" w:ascii="宋体" w:hAnsi="宋体" w:eastAsia="宋体" w:cs="宋体"/>
          <w:b/>
          <w:bCs/>
          <w:spacing w:val="-2"/>
          <w:sz w:val="24"/>
          <w:szCs w:val="24"/>
          <w:u w:val="none"/>
        </w:rPr>
      </w:pPr>
      <w:r>
        <w:rPr>
          <w:rFonts w:hint="eastAsia" w:ascii="宋体" w:hAnsi="宋体" w:eastAsia="宋体" w:cs="宋体"/>
          <w:b/>
          <w:bCs/>
          <w:spacing w:val="-2"/>
          <w:sz w:val="24"/>
          <w:szCs w:val="24"/>
          <w:u w:val="none"/>
        </w:rPr>
        <w:t>1</w:t>
      </w:r>
      <w:r>
        <w:rPr>
          <w:rFonts w:hint="eastAsia" w:ascii="宋体" w:hAnsi="宋体" w:eastAsia="宋体" w:cs="宋体"/>
          <w:b/>
          <w:bCs/>
          <w:spacing w:val="-2"/>
          <w:sz w:val="24"/>
          <w:szCs w:val="24"/>
          <w:u w:val="none"/>
          <w:lang w:eastAsia="zh-CN"/>
        </w:rPr>
        <w:t>、</w:t>
      </w:r>
      <w:r>
        <w:rPr>
          <w:rFonts w:hint="eastAsia" w:ascii="宋体" w:hAnsi="宋体" w:eastAsia="宋体" w:cs="宋体"/>
          <w:b/>
          <w:bCs/>
          <w:spacing w:val="-2"/>
          <w:sz w:val="24"/>
          <w:szCs w:val="24"/>
          <w:u w:val="none"/>
        </w:rPr>
        <w:t>资格审查</w:t>
      </w:r>
    </w:p>
    <w:p w14:paraId="734F6AD9">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0"/>
        <w:rPr>
          <w:rFonts w:hint="eastAsia" w:ascii="宋体" w:hAnsi="宋体" w:eastAsia="宋体" w:cs="宋体"/>
          <w:i w:val="0"/>
          <w:iCs w:val="0"/>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对供应商的资格进行审查，审查响应文件是否响应了谈判文件的资格要求。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当发现供应商或其响应文件存在下列情况之一时，将判定供应商的资格不符合要求，资格审查不通过。</w:t>
      </w:r>
    </w:p>
    <w:tbl>
      <w:tblPr>
        <w:tblStyle w:val="97"/>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4F936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noWrap w:val="0"/>
            <w:vAlign w:val="center"/>
          </w:tcPr>
          <w:p w14:paraId="111CDB3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rPr>
              <w:t>审查内容</w:t>
            </w:r>
          </w:p>
        </w:tc>
        <w:tc>
          <w:tcPr>
            <w:tcW w:w="6872" w:type="dxa"/>
            <w:noWrap w:val="0"/>
            <w:vAlign w:val="center"/>
          </w:tcPr>
          <w:p w14:paraId="2422643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审查标准</w:t>
            </w:r>
          </w:p>
        </w:tc>
      </w:tr>
      <w:tr w14:paraId="2D00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noWrap w:val="0"/>
            <w:vAlign w:val="center"/>
          </w:tcPr>
          <w:p w14:paraId="426B355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w:t>
            </w:r>
          </w:p>
          <w:p w14:paraId="7D7EF64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审查</w:t>
            </w:r>
          </w:p>
        </w:tc>
        <w:tc>
          <w:tcPr>
            <w:tcW w:w="1378" w:type="dxa"/>
            <w:noWrap w:val="0"/>
            <w:vAlign w:val="center"/>
          </w:tcPr>
          <w:p w14:paraId="79AA3B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6872" w:type="dxa"/>
            <w:noWrap w:val="0"/>
            <w:vAlign w:val="center"/>
          </w:tcPr>
          <w:p w14:paraId="5D4E938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未提供</w:t>
            </w:r>
            <w:r>
              <w:rPr>
                <w:rFonts w:hint="eastAsia" w:ascii="宋体" w:hAnsi="宋体" w:cs="宋体"/>
                <w:sz w:val="24"/>
                <w:szCs w:val="24"/>
                <w:lang w:eastAsia="zh-CN"/>
              </w:rPr>
              <w:t>有效的</w:t>
            </w:r>
            <w:r>
              <w:rPr>
                <w:rFonts w:hint="eastAsia" w:ascii="宋体" w:hAnsi="宋体" w:eastAsia="宋体" w:cs="宋体"/>
                <w:sz w:val="24"/>
                <w:szCs w:val="24"/>
              </w:rPr>
              <w:t>营业执照</w:t>
            </w:r>
            <w:r>
              <w:rPr>
                <w:rFonts w:hint="eastAsia" w:ascii="宋体" w:hAnsi="宋体" w:cs="宋体"/>
                <w:sz w:val="24"/>
                <w:szCs w:val="24"/>
                <w:lang w:eastAsia="zh-CN"/>
              </w:rPr>
              <w:t>（或有效的事业单位法人证书）</w:t>
            </w:r>
          </w:p>
        </w:tc>
      </w:tr>
      <w:tr w14:paraId="70845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noWrap w:val="0"/>
            <w:vAlign w:val="center"/>
          </w:tcPr>
          <w:p w14:paraId="68ACD2B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70F4E41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资格条件</w:t>
            </w:r>
          </w:p>
        </w:tc>
        <w:tc>
          <w:tcPr>
            <w:tcW w:w="6872" w:type="dxa"/>
            <w:noWrap w:val="0"/>
            <w:vAlign w:val="center"/>
          </w:tcPr>
          <w:p w14:paraId="07C3D7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tc>
      </w:tr>
      <w:tr w14:paraId="3143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noWrap w:val="0"/>
            <w:vAlign w:val="center"/>
          </w:tcPr>
          <w:p w14:paraId="588F7EF3">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4A36EF3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信用要求</w:t>
            </w:r>
          </w:p>
        </w:tc>
        <w:tc>
          <w:tcPr>
            <w:tcW w:w="6872" w:type="dxa"/>
            <w:noWrap w:val="0"/>
            <w:vAlign w:val="center"/>
          </w:tcPr>
          <w:p w14:paraId="17235F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不符合</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w:t>
            </w:r>
          </w:p>
          <w:p w14:paraId="361472D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注 ：</w:t>
            </w:r>
          </w:p>
          <w:p w14:paraId="32FA4A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1.信用记录查询渠道：</w:t>
            </w:r>
          </w:p>
          <w:p w14:paraId="1616754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(1)被人民法院列入失信被执行人名单的(以</w:t>
            </w:r>
          </w:p>
          <w:p w14:paraId="173D577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www.creditchina.gov.cn查询为准)</w:t>
            </w:r>
          </w:p>
          <w:p w14:paraId="1BC40A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(2)被税务机关列入重大税收违法失信主体名单的(以ww w.creditchina.gov.cn查询为准)</w:t>
            </w:r>
          </w:p>
          <w:p w14:paraId="795AEE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(3)被财政部门列入政府采购严重违法失信行为记录名单的 (以www.ccgp.gov.cn/查询为准)</w:t>
            </w:r>
          </w:p>
          <w:p w14:paraId="7DD91A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(4)被市场监督管理部门列入严重违法失信名单的(以 www.gsxt.gov.cn查询为准)</w:t>
            </w:r>
          </w:p>
          <w:p w14:paraId="4CEAB9A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r>
              <w:rPr>
                <w:rFonts w:hint="eastAsia" w:ascii="宋体" w:hAnsi="宋体" w:cs="宋体"/>
                <w:sz w:val="24"/>
                <w:szCs w:val="24"/>
                <w:lang w:eastAsia="zh-CN"/>
              </w:rPr>
              <w:t>提供承诺函。</w:t>
            </w:r>
          </w:p>
        </w:tc>
      </w:tr>
      <w:tr w14:paraId="2909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noWrap w:val="0"/>
            <w:vAlign w:val="center"/>
          </w:tcPr>
          <w:p w14:paraId="0CA2023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p>
        </w:tc>
        <w:tc>
          <w:tcPr>
            <w:tcW w:w="1378" w:type="dxa"/>
            <w:noWrap w:val="0"/>
            <w:vAlign w:val="center"/>
          </w:tcPr>
          <w:p w14:paraId="3726C0A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6872" w:type="dxa"/>
            <w:noWrap w:val="0"/>
            <w:vAlign w:val="center"/>
          </w:tcPr>
          <w:p w14:paraId="301D4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供应商被行政监督部门作出禁止</w:t>
            </w:r>
            <w:r>
              <w:rPr>
                <w:rFonts w:hint="eastAsia" w:ascii="宋体" w:hAnsi="宋体" w:eastAsia="宋体" w:cs="宋体"/>
                <w:sz w:val="24"/>
                <w:szCs w:val="24"/>
                <w:lang w:val="en-US" w:eastAsia="zh-CN"/>
              </w:rPr>
              <w:t>响应</w:t>
            </w:r>
            <w:r>
              <w:rPr>
                <w:rFonts w:hint="eastAsia" w:ascii="宋体" w:hAnsi="宋体" w:eastAsia="宋体" w:cs="宋体"/>
                <w:sz w:val="24"/>
                <w:szCs w:val="24"/>
              </w:rPr>
              <w:t>处罚且在有效期内的，或其他违反法律法规和</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文件规定的应该按无效</w:t>
            </w:r>
            <w:r>
              <w:rPr>
                <w:rFonts w:hint="eastAsia" w:ascii="宋体" w:hAnsi="宋体" w:eastAsia="宋体" w:cs="宋体"/>
                <w:sz w:val="24"/>
                <w:szCs w:val="24"/>
                <w:lang w:val="en-US" w:eastAsia="zh-CN"/>
              </w:rPr>
              <w:t>响应</w:t>
            </w:r>
            <w:r>
              <w:rPr>
                <w:rFonts w:hint="eastAsia" w:ascii="宋体" w:hAnsi="宋体" w:eastAsia="宋体" w:cs="宋体"/>
                <w:sz w:val="24"/>
                <w:szCs w:val="24"/>
              </w:rPr>
              <w:t>处理的情形</w:t>
            </w:r>
            <w:r>
              <w:rPr>
                <w:rFonts w:hint="eastAsia" w:ascii="宋体" w:hAnsi="宋体" w:eastAsia="宋体" w:cs="宋体"/>
                <w:sz w:val="24"/>
                <w:szCs w:val="24"/>
                <w:lang w:eastAsia="zh-CN"/>
              </w:rPr>
              <w:t>。</w:t>
            </w:r>
          </w:p>
        </w:tc>
      </w:tr>
    </w:tbl>
    <w:p w14:paraId="6F7D40A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2F0B4E52">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685A5DE3">
      <w:pPr>
        <w:pStyle w:val="6"/>
        <w:spacing w:before="0" w:after="0" w:line="560" w:lineRule="exact"/>
        <w:jc w:val="center"/>
        <w:rPr>
          <w:rFonts w:hint="eastAsia" w:ascii="宋体" w:hAnsi="宋体" w:eastAsia="宋体" w:cs="宋体"/>
          <w:sz w:val="28"/>
          <w:szCs w:val="28"/>
          <w:lang w:eastAsia="zh-CN"/>
        </w:rPr>
      </w:pPr>
      <w:bookmarkStart w:id="119" w:name="_Toc17782"/>
    </w:p>
    <w:p w14:paraId="7C24A112">
      <w:pPr>
        <w:rPr>
          <w:rFonts w:hint="eastAsia" w:ascii="宋体" w:hAnsi="宋体" w:eastAsia="宋体" w:cs="宋体"/>
          <w:sz w:val="28"/>
          <w:szCs w:val="28"/>
          <w:lang w:eastAsia="zh-CN"/>
        </w:rPr>
      </w:pPr>
    </w:p>
    <w:p w14:paraId="4FD6533A">
      <w:pPr>
        <w:pStyle w:val="29"/>
        <w:rPr>
          <w:rFonts w:hint="eastAsia" w:ascii="宋体" w:hAnsi="宋体" w:eastAsia="宋体" w:cs="宋体"/>
          <w:sz w:val="28"/>
          <w:szCs w:val="28"/>
          <w:lang w:eastAsia="zh-CN"/>
        </w:rPr>
      </w:pPr>
    </w:p>
    <w:p w14:paraId="500AEEFF">
      <w:pPr>
        <w:pStyle w:val="29"/>
        <w:rPr>
          <w:rFonts w:hint="eastAsia" w:ascii="宋体" w:hAnsi="宋体" w:eastAsia="宋体" w:cs="宋体"/>
          <w:sz w:val="28"/>
          <w:szCs w:val="28"/>
          <w:lang w:eastAsia="zh-CN"/>
        </w:rPr>
      </w:pPr>
    </w:p>
    <w:p w14:paraId="5AA95EDD">
      <w:pPr>
        <w:pStyle w:val="6"/>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119"/>
    </w:p>
    <w:p w14:paraId="57C4CC94">
      <w:pPr>
        <w:spacing w:line="500" w:lineRule="exact"/>
        <w:jc w:val="center"/>
        <w:rPr>
          <w:rFonts w:ascii="宋体" w:hAnsi="宋体"/>
          <w:b/>
          <w:sz w:val="32"/>
        </w:rPr>
      </w:pPr>
    </w:p>
    <w:p w14:paraId="676A047C">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1E7650EF">
      <w:pPr>
        <w:spacing w:line="900" w:lineRule="exact"/>
        <w:rPr>
          <w:rFonts w:ascii="宋体" w:hAnsi="宋体"/>
          <w:b/>
          <w:sz w:val="72"/>
        </w:rPr>
      </w:pPr>
    </w:p>
    <w:p w14:paraId="5441A5AD">
      <w:pPr>
        <w:spacing w:line="900" w:lineRule="exact"/>
        <w:jc w:val="center"/>
        <w:rPr>
          <w:rFonts w:ascii="宋体" w:hAnsi="宋体"/>
          <w:b/>
          <w:sz w:val="72"/>
        </w:rPr>
      </w:pPr>
      <w:r>
        <w:rPr>
          <w:rFonts w:hint="eastAsia" w:ascii="宋体" w:hAnsi="宋体"/>
          <w:b/>
          <w:sz w:val="72"/>
        </w:rPr>
        <w:t>响</w:t>
      </w:r>
    </w:p>
    <w:p w14:paraId="0908E5D8">
      <w:pPr>
        <w:spacing w:line="900" w:lineRule="exact"/>
        <w:jc w:val="center"/>
        <w:rPr>
          <w:rFonts w:ascii="宋体" w:hAnsi="宋体"/>
          <w:b/>
          <w:sz w:val="72"/>
        </w:rPr>
      </w:pPr>
    </w:p>
    <w:p w14:paraId="0F82F599">
      <w:pPr>
        <w:spacing w:line="900" w:lineRule="exact"/>
        <w:jc w:val="center"/>
        <w:rPr>
          <w:rFonts w:ascii="宋体" w:hAnsi="宋体"/>
          <w:b/>
          <w:sz w:val="72"/>
        </w:rPr>
      </w:pPr>
      <w:r>
        <w:rPr>
          <w:rFonts w:hint="eastAsia" w:ascii="宋体" w:hAnsi="宋体"/>
          <w:b/>
          <w:sz w:val="72"/>
        </w:rPr>
        <w:t>应</w:t>
      </w:r>
    </w:p>
    <w:p w14:paraId="550A5B7B">
      <w:pPr>
        <w:spacing w:line="900" w:lineRule="exact"/>
        <w:jc w:val="center"/>
        <w:rPr>
          <w:rFonts w:ascii="宋体" w:hAnsi="宋体"/>
          <w:b/>
          <w:sz w:val="72"/>
        </w:rPr>
      </w:pPr>
    </w:p>
    <w:p w14:paraId="62FBB8C8">
      <w:pPr>
        <w:spacing w:line="900" w:lineRule="exact"/>
        <w:jc w:val="center"/>
        <w:rPr>
          <w:rFonts w:ascii="宋体" w:hAnsi="宋体"/>
          <w:b/>
          <w:sz w:val="72"/>
        </w:rPr>
      </w:pPr>
      <w:r>
        <w:rPr>
          <w:rFonts w:hint="eastAsia" w:ascii="宋体" w:hAnsi="宋体"/>
          <w:b/>
          <w:sz w:val="72"/>
        </w:rPr>
        <w:t>文</w:t>
      </w:r>
    </w:p>
    <w:p w14:paraId="7ADA153A">
      <w:pPr>
        <w:spacing w:line="900" w:lineRule="exact"/>
        <w:jc w:val="center"/>
        <w:rPr>
          <w:rFonts w:ascii="宋体" w:hAnsi="宋体"/>
          <w:b/>
          <w:sz w:val="72"/>
        </w:rPr>
      </w:pPr>
    </w:p>
    <w:p w14:paraId="7BC9C18A">
      <w:pPr>
        <w:jc w:val="center"/>
        <w:rPr>
          <w:rFonts w:ascii="宋体" w:hAnsi="宋体"/>
          <w:b/>
          <w:sz w:val="72"/>
        </w:rPr>
      </w:pPr>
      <w:r>
        <w:rPr>
          <w:rFonts w:hint="eastAsia" w:ascii="宋体" w:hAnsi="宋体"/>
          <w:b/>
          <w:sz w:val="72"/>
        </w:rPr>
        <w:t>件</w:t>
      </w:r>
    </w:p>
    <w:p w14:paraId="526298D0">
      <w:pPr>
        <w:spacing w:after="156" w:afterLines="50"/>
        <w:jc w:val="center"/>
        <w:rPr>
          <w:rFonts w:ascii="宋体" w:hAnsi="宋体"/>
          <w:b/>
          <w:sz w:val="72"/>
        </w:rPr>
      </w:pPr>
    </w:p>
    <w:p w14:paraId="44C29087">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63B973D1">
      <w:pPr>
        <w:spacing w:after="156" w:afterLines="50" w:line="500" w:lineRule="exact"/>
        <w:jc w:val="center"/>
        <w:rPr>
          <w:rFonts w:ascii="宋体" w:hAnsi="宋体"/>
          <w:b/>
          <w:sz w:val="72"/>
        </w:rPr>
      </w:pPr>
    </w:p>
    <w:p w14:paraId="30062B27">
      <w:pPr>
        <w:spacing w:after="156" w:afterLines="50" w:line="500" w:lineRule="exact"/>
        <w:ind w:firstLine="1606" w:firstLineChars="500"/>
        <w:rPr>
          <w:rFonts w:ascii="宋体" w:hAnsi="宋体"/>
          <w:b/>
          <w:sz w:val="32"/>
          <w:u w:val="single"/>
        </w:rPr>
      </w:pPr>
      <w:r>
        <w:rPr>
          <w:rFonts w:hint="eastAsia" w:ascii="宋体" w:hAnsi="宋体"/>
          <w:b/>
          <w:sz w:val="32"/>
        </w:rPr>
        <w:t>供应商：</w:t>
      </w:r>
    </w:p>
    <w:p w14:paraId="5EAF306F">
      <w:pPr>
        <w:spacing w:after="156" w:afterLines="50" w:line="500" w:lineRule="exact"/>
        <w:jc w:val="center"/>
        <w:rPr>
          <w:rFonts w:ascii="宋体" w:hAnsi="宋体"/>
          <w:b/>
          <w:sz w:val="32"/>
        </w:rPr>
      </w:pPr>
      <w:r>
        <w:rPr>
          <w:rFonts w:hint="eastAsia" w:ascii="宋体" w:hAnsi="宋体"/>
          <w:b/>
          <w:sz w:val="32"/>
        </w:rPr>
        <w:t>年  月  日</w:t>
      </w:r>
    </w:p>
    <w:p w14:paraId="22125ABC">
      <w:pPr>
        <w:spacing w:after="156" w:afterLines="50" w:line="500" w:lineRule="exact"/>
        <w:jc w:val="center"/>
        <w:rPr>
          <w:rFonts w:ascii="宋体" w:hAnsi="宋体"/>
          <w:b/>
          <w:sz w:val="32"/>
        </w:rPr>
      </w:pPr>
    </w:p>
    <w:p w14:paraId="373CED2B">
      <w:pPr>
        <w:spacing w:line="360" w:lineRule="auto"/>
        <w:rPr>
          <w:rFonts w:ascii="宋体" w:hAnsi="宋体"/>
          <w:sz w:val="24"/>
          <w:szCs w:val="28"/>
        </w:rPr>
      </w:pPr>
    </w:p>
    <w:bookmarkEnd w:id="103"/>
    <w:p w14:paraId="7C6A9EA0">
      <w:pPr>
        <w:pStyle w:val="6"/>
        <w:spacing w:before="0" w:after="0" w:line="560" w:lineRule="exact"/>
        <w:jc w:val="center"/>
        <w:rPr>
          <w:rFonts w:ascii="宋体" w:hAnsi="宋体" w:eastAsia="宋体" w:cs="宋体"/>
          <w:sz w:val="24"/>
          <w:szCs w:val="24"/>
        </w:rPr>
      </w:pPr>
      <w:bookmarkStart w:id="120" w:name="_Toc6123"/>
      <w:r>
        <w:rPr>
          <w:rFonts w:hint="eastAsia" w:ascii="宋体" w:hAnsi="宋体" w:eastAsia="宋体" w:cs="宋体"/>
          <w:sz w:val="24"/>
          <w:szCs w:val="24"/>
        </w:rPr>
        <w:t>响应文件资料清单</w:t>
      </w:r>
      <w:bookmarkEnd w:id="120"/>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3B22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2DBF5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序号</w:t>
            </w:r>
          </w:p>
        </w:tc>
        <w:tc>
          <w:tcPr>
            <w:tcW w:w="6038" w:type="dxa"/>
            <w:vAlign w:val="center"/>
          </w:tcPr>
          <w:p w14:paraId="1025B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资料名称</w:t>
            </w:r>
          </w:p>
        </w:tc>
        <w:tc>
          <w:tcPr>
            <w:tcW w:w="1417" w:type="dxa"/>
            <w:vAlign w:val="center"/>
          </w:tcPr>
          <w:p w14:paraId="3457E0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备注</w:t>
            </w:r>
          </w:p>
        </w:tc>
      </w:tr>
      <w:tr w14:paraId="3AC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CB86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一</w:t>
            </w:r>
          </w:p>
        </w:tc>
        <w:tc>
          <w:tcPr>
            <w:tcW w:w="6038" w:type="dxa"/>
            <w:vAlign w:val="center"/>
          </w:tcPr>
          <w:p w14:paraId="21BCED4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宋体" w:hAnsi="宋体"/>
                <w:sz w:val="24"/>
                <w:szCs w:val="24"/>
              </w:rPr>
              <w:t>报价单</w:t>
            </w:r>
          </w:p>
        </w:tc>
        <w:tc>
          <w:tcPr>
            <w:tcW w:w="1417" w:type="dxa"/>
            <w:vAlign w:val="center"/>
          </w:tcPr>
          <w:p w14:paraId="31190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221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AD3B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二</w:t>
            </w:r>
          </w:p>
        </w:tc>
        <w:tc>
          <w:tcPr>
            <w:tcW w:w="6038" w:type="dxa"/>
            <w:vAlign w:val="center"/>
          </w:tcPr>
          <w:p w14:paraId="7C0CC81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ahoma" w:hAnsi="Tahoma"/>
                <w:sz w:val="24"/>
              </w:rPr>
            </w:pPr>
            <w:r>
              <w:rPr>
                <w:rFonts w:hint="eastAsia" w:ascii="Tahoma" w:hAnsi="Tahoma"/>
                <w:sz w:val="24"/>
              </w:rPr>
              <w:t>供应商基本信息</w:t>
            </w:r>
          </w:p>
        </w:tc>
        <w:tc>
          <w:tcPr>
            <w:tcW w:w="1417" w:type="dxa"/>
            <w:vAlign w:val="center"/>
          </w:tcPr>
          <w:p w14:paraId="2C098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380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89518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三</w:t>
            </w:r>
          </w:p>
        </w:tc>
        <w:tc>
          <w:tcPr>
            <w:tcW w:w="6038" w:type="dxa"/>
            <w:vAlign w:val="center"/>
          </w:tcPr>
          <w:p w14:paraId="78D89CCC">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谈判授权书</w:t>
            </w:r>
          </w:p>
        </w:tc>
        <w:tc>
          <w:tcPr>
            <w:tcW w:w="1417" w:type="dxa"/>
            <w:vAlign w:val="center"/>
          </w:tcPr>
          <w:p w14:paraId="6E07E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65AA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AA5F0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四</w:t>
            </w:r>
          </w:p>
        </w:tc>
        <w:tc>
          <w:tcPr>
            <w:tcW w:w="6038" w:type="dxa"/>
            <w:vAlign w:val="center"/>
          </w:tcPr>
          <w:p w14:paraId="54B104A7">
            <w:pPr>
              <w:pStyle w:val="62"/>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szCs w:val="24"/>
              </w:rPr>
              <w:t>谈判响应函</w:t>
            </w:r>
          </w:p>
        </w:tc>
        <w:tc>
          <w:tcPr>
            <w:tcW w:w="1417" w:type="dxa"/>
            <w:vAlign w:val="center"/>
          </w:tcPr>
          <w:p w14:paraId="623AFE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C40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2714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五</w:t>
            </w:r>
          </w:p>
        </w:tc>
        <w:tc>
          <w:tcPr>
            <w:tcW w:w="6038" w:type="dxa"/>
            <w:vAlign w:val="center"/>
          </w:tcPr>
          <w:p w14:paraId="79C5E4F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12733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rPr>
            </w:pPr>
          </w:p>
        </w:tc>
      </w:tr>
      <w:tr w14:paraId="7EE3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3EE14F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ahoma" w:hAnsi="Tahoma"/>
                <w:sz w:val="24"/>
              </w:rPr>
            </w:pPr>
            <w:r>
              <w:rPr>
                <w:rFonts w:hint="eastAsia" w:ascii="Tahoma" w:hAnsi="Tahoma"/>
                <w:sz w:val="24"/>
              </w:rPr>
              <w:t>六</w:t>
            </w:r>
          </w:p>
        </w:tc>
        <w:tc>
          <w:tcPr>
            <w:tcW w:w="6038" w:type="dxa"/>
            <w:vAlign w:val="center"/>
          </w:tcPr>
          <w:p w14:paraId="2D0BD8B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响应情况表</w:t>
            </w:r>
          </w:p>
        </w:tc>
        <w:tc>
          <w:tcPr>
            <w:tcW w:w="1417" w:type="dxa"/>
            <w:vAlign w:val="center"/>
          </w:tcPr>
          <w:p w14:paraId="7FC26C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21C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2BCAF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七</w:t>
            </w:r>
          </w:p>
        </w:tc>
        <w:tc>
          <w:tcPr>
            <w:tcW w:w="6038" w:type="dxa"/>
            <w:vAlign w:val="center"/>
          </w:tcPr>
          <w:p w14:paraId="24C16A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bookmarkStart w:id="121" w:name="_Toc16318"/>
            <w:bookmarkStart w:id="122" w:name="_Toc1904"/>
            <w:bookmarkStart w:id="123" w:name="_Toc14653"/>
            <w:r>
              <w:rPr>
                <w:rStyle w:val="48"/>
                <w:rFonts w:hint="eastAsia" w:ascii="宋体" w:hAnsi="宋体" w:eastAsia="宋体" w:cs="宋体"/>
                <w:b w:val="0"/>
                <w:bCs/>
                <w:sz w:val="24"/>
                <w:szCs w:val="24"/>
              </w:rPr>
              <w:t>中小企业声明函、</w:t>
            </w:r>
            <w:bookmarkEnd w:id="121"/>
            <w:bookmarkEnd w:id="122"/>
            <w:bookmarkEnd w:id="123"/>
            <w:r>
              <w:rPr>
                <w:rFonts w:hint="eastAsia" w:ascii="宋体" w:hAnsi="宋体" w:cs="宋体"/>
                <w:bCs/>
                <w:sz w:val="24"/>
                <w:szCs w:val="24"/>
              </w:rPr>
              <w:t>残疾人福利性单位声明函</w:t>
            </w:r>
          </w:p>
        </w:tc>
        <w:tc>
          <w:tcPr>
            <w:tcW w:w="1417" w:type="dxa"/>
            <w:vAlign w:val="center"/>
          </w:tcPr>
          <w:p w14:paraId="789DED9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1FE8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0A914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ahoma" w:hAnsi="Tahoma" w:eastAsia="宋体"/>
                <w:sz w:val="24"/>
                <w:lang w:eastAsia="zh-CN"/>
              </w:rPr>
            </w:pPr>
            <w:r>
              <w:rPr>
                <w:rFonts w:hint="eastAsia" w:ascii="Tahoma" w:hAnsi="Tahoma"/>
                <w:sz w:val="24"/>
                <w:lang w:eastAsia="zh-CN"/>
              </w:rPr>
              <w:t>八</w:t>
            </w:r>
          </w:p>
        </w:tc>
        <w:tc>
          <w:tcPr>
            <w:tcW w:w="6038" w:type="dxa"/>
            <w:vAlign w:val="center"/>
          </w:tcPr>
          <w:p w14:paraId="071EF9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4A70978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3CD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37D223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ahoma" w:hAnsi="Tahoma" w:eastAsia="宋体"/>
                <w:sz w:val="24"/>
                <w:lang w:eastAsia="zh-CN"/>
              </w:rPr>
            </w:pPr>
          </w:p>
        </w:tc>
        <w:tc>
          <w:tcPr>
            <w:tcW w:w="6038" w:type="dxa"/>
            <w:vAlign w:val="center"/>
          </w:tcPr>
          <w:p w14:paraId="1EDAF5E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p>
        </w:tc>
        <w:tc>
          <w:tcPr>
            <w:tcW w:w="1417" w:type="dxa"/>
            <w:vAlign w:val="center"/>
          </w:tcPr>
          <w:p w14:paraId="103B3B3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129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079AA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p>
        </w:tc>
        <w:tc>
          <w:tcPr>
            <w:tcW w:w="6038" w:type="dxa"/>
            <w:vAlign w:val="center"/>
          </w:tcPr>
          <w:p w14:paraId="2C4DF58E">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3C179EB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769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A506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54CA49EA">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BF28AE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r w14:paraId="626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65F4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p>
        </w:tc>
        <w:tc>
          <w:tcPr>
            <w:tcW w:w="6038" w:type="dxa"/>
            <w:vAlign w:val="center"/>
          </w:tcPr>
          <w:p w14:paraId="728C855D">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1417" w:type="dxa"/>
            <w:vAlign w:val="center"/>
          </w:tcPr>
          <w:p w14:paraId="262F43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
                <w:sz w:val="24"/>
              </w:rPr>
            </w:pPr>
          </w:p>
        </w:tc>
      </w:tr>
    </w:tbl>
    <w:p w14:paraId="7ED6BF4A">
      <w:pPr>
        <w:spacing w:line="360" w:lineRule="auto"/>
        <w:jc w:val="center"/>
        <w:rPr>
          <w:rFonts w:ascii="宋体" w:hAnsi="宋体"/>
          <w:b/>
          <w:sz w:val="24"/>
        </w:rPr>
      </w:pPr>
    </w:p>
    <w:p w14:paraId="5AB8996C">
      <w:pPr>
        <w:spacing w:line="360" w:lineRule="auto"/>
        <w:jc w:val="center"/>
        <w:rPr>
          <w:rFonts w:ascii="宋体" w:hAnsi="宋体"/>
          <w:b/>
          <w:sz w:val="24"/>
        </w:rPr>
      </w:pPr>
    </w:p>
    <w:p w14:paraId="14B52CD1">
      <w:pPr>
        <w:spacing w:line="360" w:lineRule="auto"/>
        <w:jc w:val="center"/>
        <w:rPr>
          <w:rFonts w:ascii="宋体" w:hAnsi="宋体"/>
          <w:b/>
          <w:sz w:val="24"/>
        </w:rPr>
      </w:pPr>
    </w:p>
    <w:p w14:paraId="1C13FD49">
      <w:pPr>
        <w:rPr>
          <w:rFonts w:ascii="宋体" w:hAnsi="宋体" w:cs="宋体"/>
          <w:sz w:val="24"/>
          <w:szCs w:val="24"/>
        </w:rPr>
      </w:pPr>
      <w:r>
        <w:rPr>
          <w:rFonts w:hint="eastAsia" w:ascii="宋体" w:hAnsi="宋体" w:cs="宋体"/>
          <w:sz w:val="24"/>
          <w:szCs w:val="24"/>
        </w:rPr>
        <w:br w:type="page"/>
      </w:r>
    </w:p>
    <w:p w14:paraId="4CD4F221">
      <w:pPr>
        <w:pStyle w:val="6"/>
        <w:spacing w:before="0" w:after="0" w:line="560" w:lineRule="exact"/>
        <w:rPr>
          <w:rFonts w:ascii="宋体" w:hAnsi="宋体" w:eastAsia="宋体" w:cs="宋体"/>
          <w:sz w:val="24"/>
          <w:szCs w:val="24"/>
        </w:rPr>
      </w:pPr>
      <w:bookmarkStart w:id="124" w:name="_Toc2536"/>
      <w:r>
        <w:rPr>
          <w:rFonts w:hint="eastAsia" w:ascii="宋体" w:hAnsi="宋体" w:eastAsia="宋体" w:cs="宋体"/>
          <w:sz w:val="24"/>
          <w:szCs w:val="24"/>
        </w:rPr>
        <w:t>附件一</w:t>
      </w:r>
      <w:bookmarkEnd w:id="124"/>
    </w:p>
    <w:p w14:paraId="7F27870D">
      <w:pPr>
        <w:pStyle w:val="6"/>
        <w:spacing w:before="156" w:beforeLines="50" w:after="156" w:afterLines="50" w:line="560" w:lineRule="exact"/>
        <w:jc w:val="center"/>
        <w:rPr>
          <w:rFonts w:ascii="宋体" w:hAnsi="宋体" w:eastAsia="宋体" w:cs="宋体"/>
          <w:sz w:val="24"/>
          <w:szCs w:val="24"/>
        </w:rPr>
      </w:pPr>
      <w:bookmarkStart w:id="125" w:name="_Toc15863"/>
      <w:bookmarkStart w:id="126" w:name="_Toc5601"/>
      <w:bookmarkStart w:id="127" w:name="_Toc21540"/>
      <w:r>
        <w:rPr>
          <w:rFonts w:hint="eastAsia" w:ascii="宋体" w:hAnsi="宋体" w:eastAsia="宋体" w:cs="宋体"/>
          <w:sz w:val="24"/>
          <w:szCs w:val="24"/>
        </w:rPr>
        <w:t>报价单</w:t>
      </w:r>
      <w:bookmarkEnd w:id="125"/>
      <w:bookmarkEnd w:id="126"/>
      <w:bookmarkEnd w:id="127"/>
    </w:p>
    <w:tbl>
      <w:tblPr>
        <w:tblStyle w:val="36"/>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46"/>
        <w:gridCol w:w="1290"/>
        <w:gridCol w:w="2883"/>
      </w:tblGrid>
      <w:tr w14:paraId="045E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56C802EF">
            <w:pPr>
              <w:jc w:val="center"/>
              <w:rPr>
                <w:rFonts w:ascii="宋体" w:hAnsi="宋体"/>
                <w:b/>
                <w:sz w:val="24"/>
                <w:szCs w:val="24"/>
              </w:rPr>
            </w:pPr>
            <w:r>
              <w:rPr>
                <w:rFonts w:hint="eastAsia" w:ascii="宋体" w:hAnsi="宋体"/>
                <w:b/>
                <w:sz w:val="24"/>
                <w:szCs w:val="24"/>
              </w:rPr>
              <w:t>序号</w:t>
            </w:r>
          </w:p>
        </w:tc>
        <w:tc>
          <w:tcPr>
            <w:tcW w:w="3446" w:type="dxa"/>
            <w:vAlign w:val="center"/>
          </w:tcPr>
          <w:p w14:paraId="6429DB8C">
            <w:pPr>
              <w:jc w:val="center"/>
              <w:rPr>
                <w:rFonts w:ascii="宋体" w:hAnsi="宋体"/>
                <w:b/>
                <w:sz w:val="24"/>
                <w:szCs w:val="24"/>
              </w:rPr>
            </w:pPr>
            <w:r>
              <w:rPr>
                <w:rFonts w:hint="eastAsia" w:ascii="宋体" w:hAnsi="宋体"/>
                <w:b/>
                <w:sz w:val="24"/>
                <w:szCs w:val="24"/>
              </w:rPr>
              <w:t>服务内容</w:t>
            </w:r>
          </w:p>
        </w:tc>
        <w:tc>
          <w:tcPr>
            <w:tcW w:w="1290" w:type="dxa"/>
            <w:vAlign w:val="center"/>
          </w:tcPr>
          <w:p w14:paraId="50280E1F">
            <w:pPr>
              <w:jc w:val="center"/>
              <w:rPr>
                <w:rFonts w:ascii="宋体" w:hAnsi="宋体"/>
                <w:b/>
                <w:sz w:val="24"/>
                <w:szCs w:val="24"/>
              </w:rPr>
            </w:pPr>
            <w:r>
              <w:rPr>
                <w:rFonts w:hint="eastAsia" w:ascii="宋体" w:hAnsi="宋体"/>
                <w:b/>
                <w:sz w:val="24"/>
                <w:szCs w:val="24"/>
              </w:rPr>
              <w:t>项</w:t>
            </w:r>
          </w:p>
        </w:tc>
        <w:tc>
          <w:tcPr>
            <w:tcW w:w="2883" w:type="dxa"/>
            <w:vAlign w:val="center"/>
          </w:tcPr>
          <w:p w14:paraId="19C1D7D7">
            <w:pPr>
              <w:jc w:val="center"/>
              <w:rPr>
                <w:rFonts w:ascii="宋体" w:hAnsi="宋体"/>
                <w:b/>
                <w:sz w:val="24"/>
                <w:szCs w:val="24"/>
              </w:rPr>
            </w:pPr>
            <w:r>
              <w:rPr>
                <w:rFonts w:hint="eastAsia" w:ascii="宋体" w:hAnsi="宋体"/>
                <w:b/>
                <w:sz w:val="24"/>
                <w:szCs w:val="24"/>
                <w:lang w:eastAsia="zh-CN"/>
              </w:rPr>
              <w:t>报</w:t>
            </w:r>
            <w:r>
              <w:rPr>
                <w:rFonts w:hint="eastAsia" w:ascii="宋体" w:hAnsi="宋体"/>
                <w:b/>
                <w:sz w:val="24"/>
                <w:szCs w:val="24"/>
              </w:rPr>
              <w:t>价</w:t>
            </w:r>
          </w:p>
        </w:tc>
      </w:tr>
      <w:tr w14:paraId="5689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44475032">
            <w:pPr>
              <w:jc w:val="center"/>
              <w:rPr>
                <w:rFonts w:ascii="宋体" w:hAnsi="宋体"/>
                <w:bCs/>
                <w:sz w:val="24"/>
                <w:szCs w:val="24"/>
              </w:rPr>
            </w:pPr>
            <w:r>
              <w:rPr>
                <w:rFonts w:hint="eastAsia" w:ascii="宋体" w:hAnsi="宋体"/>
                <w:bCs/>
                <w:sz w:val="24"/>
                <w:szCs w:val="24"/>
              </w:rPr>
              <w:t>1</w:t>
            </w:r>
          </w:p>
        </w:tc>
        <w:tc>
          <w:tcPr>
            <w:tcW w:w="3446" w:type="dxa"/>
            <w:vAlign w:val="center"/>
          </w:tcPr>
          <w:p w14:paraId="3029DDD8">
            <w:pPr>
              <w:jc w:val="center"/>
              <w:rPr>
                <w:rFonts w:ascii="宋体" w:hAnsi="宋体"/>
                <w:bCs/>
                <w:sz w:val="24"/>
                <w:szCs w:val="24"/>
              </w:rPr>
            </w:pPr>
            <w:r>
              <w:rPr>
                <w:rFonts w:hint="eastAsia" w:ascii="宋体" w:hAnsi="宋体" w:cs="宋体"/>
                <w:sz w:val="24"/>
                <w:szCs w:val="24"/>
                <w:lang w:val="en-US" w:eastAsia="zh-CN"/>
              </w:rPr>
              <w:t>落儿岭村地灾点勘查设计项目</w:t>
            </w:r>
          </w:p>
        </w:tc>
        <w:tc>
          <w:tcPr>
            <w:tcW w:w="1290" w:type="dxa"/>
            <w:vAlign w:val="center"/>
          </w:tcPr>
          <w:p w14:paraId="3E026BD8">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w:t>
            </w:r>
          </w:p>
        </w:tc>
        <w:tc>
          <w:tcPr>
            <w:tcW w:w="2883" w:type="dxa"/>
            <w:vAlign w:val="center"/>
          </w:tcPr>
          <w:p w14:paraId="6A93467A">
            <w:pPr>
              <w:jc w:val="center"/>
              <w:rPr>
                <w:rFonts w:ascii="宋体" w:hAnsi="宋体"/>
                <w:bCs/>
                <w:sz w:val="24"/>
                <w:szCs w:val="24"/>
              </w:rPr>
            </w:pPr>
            <w:r>
              <w:rPr>
                <w:rFonts w:hint="eastAsia" w:ascii="宋体" w:hAnsi="宋体" w:cs="宋体"/>
                <w:color w:val="auto"/>
                <w:sz w:val="24"/>
                <w:szCs w:val="24"/>
                <w:u w:val="single"/>
                <w:lang w:val="en-US" w:eastAsia="zh-CN"/>
              </w:rPr>
              <w:t>批复项目总投资的     %</w:t>
            </w:r>
          </w:p>
        </w:tc>
      </w:tr>
      <w:tr w14:paraId="44A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0B5944E">
            <w:pPr>
              <w:jc w:val="center"/>
              <w:rPr>
                <w:rFonts w:ascii="宋体" w:hAnsi="宋体"/>
                <w:bCs/>
                <w:sz w:val="24"/>
                <w:szCs w:val="24"/>
              </w:rPr>
            </w:pPr>
            <w:r>
              <w:rPr>
                <w:rFonts w:hint="eastAsia" w:ascii="宋体" w:hAnsi="宋体"/>
                <w:bCs/>
                <w:sz w:val="24"/>
                <w:szCs w:val="24"/>
              </w:rPr>
              <w:t>2</w:t>
            </w:r>
          </w:p>
        </w:tc>
        <w:tc>
          <w:tcPr>
            <w:tcW w:w="3446" w:type="dxa"/>
            <w:vAlign w:val="center"/>
          </w:tcPr>
          <w:p w14:paraId="1D1B7244">
            <w:pPr>
              <w:jc w:val="center"/>
              <w:rPr>
                <w:rFonts w:ascii="宋体" w:hAnsi="宋体"/>
                <w:bCs/>
                <w:sz w:val="24"/>
                <w:szCs w:val="24"/>
              </w:rPr>
            </w:pPr>
          </w:p>
        </w:tc>
        <w:tc>
          <w:tcPr>
            <w:tcW w:w="1290" w:type="dxa"/>
            <w:vAlign w:val="center"/>
          </w:tcPr>
          <w:p w14:paraId="69FF98BA">
            <w:pPr>
              <w:jc w:val="center"/>
              <w:rPr>
                <w:rFonts w:ascii="宋体" w:hAnsi="宋体"/>
                <w:bCs/>
                <w:sz w:val="24"/>
                <w:szCs w:val="24"/>
              </w:rPr>
            </w:pPr>
          </w:p>
        </w:tc>
        <w:tc>
          <w:tcPr>
            <w:tcW w:w="2883" w:type="dxa"/>
            <w:vAlign w:val="center"/>
          </w:tcPr>
          <w:p w14:paraId="06609B7F">
            <w:pPr>
              <w:jc w:val="center"/>
              <w:rPr>
                <w:rFonts w:ascii="宋体" w:hAnsi="宋体"/>
                <w:bCs/>
                <w:sz w:val="24"/>
                <w:szCs w:val="24"/>
              </w:rPr>
            </w:pPr>
          </w:p>
        </w:tc>
      </w:tr>
      <w:tr w14:paraId="22B9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F0AF7C2">
            <w:pPr>
              <w:jc w:val="center"/>
              <w:rPr>
                <w:rFonts w:ascii="宋体" w:hAnsi="宋体"/>
                <w:bCs/>
                <w:sz w:val="24"/>
                <w:szCs w:val="24"/>
              </w:rPr>
            </w:pPr>
            <w:r>
              <w:rPr>
                <w:rFonts w:hint="eastAsia" w:ascii="宋体" w:hAnsi="宋体"/>
                <w:bCs/>
                <w:sz w:val="24"/>
                <w:szCs w:val="24"/>
              </w:rPr>
              <w:t>3</w:t>
            </w:r>
          </w:p>
        </w:tc>
        <w:tc>
          <w:tcPr>
            <w:tcW w:w="3446" w:type="dxa"/>
            <w:vAlign w:val="center"/>
          </w:tcPr>
          <w:p w14:paraId="425BCBB3">
            <w:pPr>
              <w:jc w:val="center"/>
              <w:rPr>
                <w:rFonts w:ascii="宋体" w:hAnsi="宋体"/>
                <w:bCs/>
                <w:sz w:val="24"/>
                <w:szCs w:val="24"/>
              </w:rPr>
            </w:pPr>
          </w:p>
        </w:tc>
        <w:tc>
          <w:tcPr>
            <w:tcW w:w="1290" w:type="dxa"/>
            <w:vAlign w:val="center"/>
          </w:tcPr>
          <w:p w14:paraId="35EE9402">
            <w:pPr>
              <w:jc w:val="center"/>
              <w:rPr>
                <w:rFonts w:ascii="宋体" w:hAnsi="宋体"/>
                <w:bCs/>
                <w:sz w:val="24"/>
                <w:szCs w:val="24"/>
              </w:rPr>
            </w:pPr>
          </w:p>
        </w:tc>
        <w:tc>
          <w:tcPr>
            <w:tcW w:w="2883" w:type="dxa"/>
            <w:vAlign w:val="center"/>
          </w:tcPr>
          <w:p w14:paraId="3249F635">
            <w:pPr>
              <w:jc w:val="center"/>
              <w:rPr>
                <w:rFonts w:ascii="宋体" w:hAnsi="宋体"/>
                <w:bCs/>
                <w:sz w:val="24"/>
                <w:szCs w:val="24"/>
              </w:rPr>
            </w:pPr>
          </w:p>
        </w:tc>
      </w:tr>
      <w:tr w14:paraId="5E9F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553DA0F">
            <w:pPr>
              <w:jc w:val="center"/>
              <w:rPr>
                <w:rFonts w:ascii="宋体" w:hAnsi="宋体"/>
                <w:bCs/>
                <w:sz w:val="24"/>
                <w:szCs w:val="24"/>
              </w:rPr>
            </w:pPr>
            <w:r>
              <w:rPr>
                <w:rFonts w:ascii="宋体" w:hAnsi="宋体"/>
                <w:bCs/>
                <w:sz w:val="24"/>
                <w:szCs w:val="24"/>
              </w:rPr>
              <w:t>…</w:t>
            </w:r>
          </w:p>
        </w:tc>
        <w:tc>
          <w:tcPr>
            <w:tcW w:w="3446" w:type="dxa"/>
            <w:vAlign w:val="center"/>
          </w:tcPr>
          <w:p w14:paraId="123EFFF9">
            <w:pPr>
              <w:jc w:val="center"/>
              <w:rPr>
                <w:rFonts w:ascii="宋体" w:hAnsi="宋体"/>
                <w:bCs/>
                <w:sz w:val="24"/>
                <w:szCs w:val="24"/>
              </w:rPr>
            </w:pPr>
            <w:r>
              <w:rPr>
                <w:rFonts w:hint="eastAsia" w:ascii="宋体" w:hAnsi="宋体"/>
                <w:bCs/>
                <w:szCs w:val="24"/>
              </w:rPr>
              <w:t>其他费用</w:t>
            </w:r>
          </w:p>
        </w:tc>
        <w:tc>
          <w:tcPr>
            <w:tcW w:w="1290" w:type="dxa"/>
            <w:vAlign w:val="center"/>
          </w:tcPr>
          <w:p w14:paraId="37769E5B">
            <w:pPr>
              <w:jc w:val="center"/>
              <w:rPr>
                <w:rFonts w:ascii="宋体" w:hAnsi="宋体"/>
                <w:bCs/>
                <w:sz w:val="24"/>
                <w:szCs w:val="24"/>
              </w:rPr>
            </w:pPr>
          </w:p>
        </w:tc>
        <w:tc>
          <w:tcPr>
            <w:tcW w:w="2883" w:type="dxa"/>
            <w:vAlign w:val="center"/>
          </w:tcPr>
          <w:p w14:paraId="3A43E4FA">
            <w:pPr>
              <w:jc w:val="center"/>
              <w:rPr>
                <w:rFonts w:ascii="宋体" w:hAnsi="宋体"/>
                <w:bCs/>
                <w:sz w:val="24"/>
                <w:szCs w:val="24"/>
              </w:rPr>
            </w:pPr>
          </w:p>
        </w:tc>
      </w:tr>
      <w:tr w14:paraId="0C6D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F1383A7">
            <w:pPr>
              <w:jc w:val="center"/>
              <w:rPr>
                <w:rFonts w:ascii="宋体" w:hAnsi="宋体"/>
                <w:bCs/>
                <w:sz w:val="24"/>
                <w:szCs w:val="24"/>
              </w:rPr>
            </w:pPr>
          </w:p>
        </w:tc>
        <w:tc>
          <w:tcPr>
            <w:tcW w:w="3446" w:type="dxa"/>
            <w:vAlign w:val="center"/>
          </w:tcPr>
          <w:p w14:paraId="522C1C57">
            <w:pPr>
              <w:pStyle w:val="62"/>
              <w:ind w:left="-108"/>
              <w:jc w:val="center"/>
              <w:rPr>
                <w:rFonts w:ascii="宋体" w:hAnsi="宋体"/>
                <w:bCs/>
                <w:szCs w:val="24"/>
              </w:rPr>
            </w:pPr>
          </w:p>
        </w:tc>
        <w:tc>
          <w:tcPr>
            <w:tcW w:w="1290" w:type="dxa"/>
            <w:vAlign w:val="center"/>
          </w:tcPr>
          <w:p w14:paraId="0F64FF65">
            <w:pPr>
              <w:jc w:val="center"/>
              <w:rPr>
                <w:rFonts w:ascii="宋体" w:hAnsi="宋体"/>
                <w:bCs/>
                <w:sz w:val="24"/>
                <w:szCs w:val="24"/>
              </w:rPr>
            </w:pPr>
          </w:p>
        </w:tc>
        <w:tc>
          <w:tcPr>
            <w:tcW w:w="2883" w:type="dxa"/>
            <w:vAlign w:val="center"/>
          </w:tcPr>
          <w:p w14:paraId="6E48A29D">
            <w:pPr>
              <w:jc w:val="center"/>
              <w:rPr>
                <w:rFonts w:ascii="宋体" w:hAnsi="宋体"/>
                <w:bCs/>
                <w:sz w:val="24"/>
                <w:szCs w:val="24"/>
              </w:rPr>
            </w:pPr>
          </w:p>
        </w:tc>
      </w:tr>
      <w:tr w14:paraId="1667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D79B6A6">
            <w:pPr>
              <w:jc w:val="center"/>
              <w:rPr>
                <w:rFonts w:ascii="宋体" w:hAnsi="宋体"/>
                <w:bCs/>
                <w:sz w:val="24"/>
                <w:szCs w:val="24"/>
              </w:rPr>
            </w:pPr>
          </w:p>
        </w:tc>
        <w:tc>
          <w:tcPr>
            <w:tcW w:w="4736" w:type="dxa"/>
            <w:gridSpan w:val="2"/>
            <w:vAlign w:val="center"/>
          </w:tcPr>
          <w:p w14:paraId="26D00787">
            <w:pPr>
              <w:jc w:val="center"/>
              <w:rPr>
                <w:rFonts w:ascii="宋体" w:hAnsi="宋体"/>
                <w:bCs/>
                <w:sz w:val="24"/>
                <w:szCs w:val="24"/>
              </w:rPr>
            </w:pPr>
            <w:r>
              <w:rPr>
                <w:rFonts w:hint="eastAsia" w:ascii="宋体" w:hAnsi="宋体"/>
                <w:bCs/>
                <w:sz w:val="24"/>
                <w:szCs w:val="24"/>
                <w:lang w:eastAsia="zh-CN"/>
              </w:rPr>
              <w:t>合计</w:t>
            </w:r>
          </w:p>
        </w:tc>
        <w:tc>
          <w:tcPr>
            <w:tcW w:w="2883" w:type="dxa"/>
            <w:vAlign w:val="center"/>
          </w:tcPr>
          <w:p w14:paraId="337513A8">
            <w:pPr>
              <w:jc w:val="center"/>
              <w:rPr>
                <w:rFonts w:ascii="宋体" w:hAnsi="宋体"/>
                <w:bCs/>
                <w:sz w:val="24"/>
                <w:szCs w:val="24"/>
              </w:rPr>
            </w:pPr>
            <w:r>
              <w:rPr>
                <w:rFonts w:hint="eastAsia" w:ascii="宋体" w:hAnsi="宋体" w:cs="宋体"/>
                <w:color w:val="auto"/>
                <w:sz w:val="24"/>
                <w:szCs w:val="24"/>
                <w:u w:val="single"/>
                <w:lang w:val="en-US" w:eastAsia="zh-CN"/>
              </w:rPr>
              <w:t>批复项目总投资的     %</w:t>
            </w:r>
          </w:p>
        </w:tc>
      </w:tr>
    </w:tbl>
    <w:p w14:paraId="781130E6">
      <w:pPr>
        <w:snapToGrid w:val="0"/>
        <w:spacing w:line="360" w:lineRule="auto"/>
        <w:rPr>
          <w:rFonts w:ascii="宋体" w:hAnsi="宋体"/>
          <w:bCs/>
          <w:sz w:val="24"/>
          <w:szCs w:val="24"/>
        </w:rPr>
      </w:pPr>
    </w:p>
    <w:p w14:paraId="6E286654">
      <w:pPr>
        <w:snapToGrid w:val="0"/>
        <w:spacing w:line="360" w:lineRule="auto"/>
        <w:rPr>
          <w:rFonts w:ascii="宋体" w:hAnsi="宋体"/>
          <w:bCs/>
          <w:sz w:val="24"/>
          <w:szCs w:val="24"/>
        </w:rPr>
      </w:pPr>
    </w:p>
    <w:p w14:paraId="27C3D745">
      <w:pPr>
        <w:spacing w:line="360" w:lineRule="auto"/>
        <w:ind w:right="480"/>
        <w:jc w:val="center"/>
        <w:rPr>
          <w:rFonts w:ascii="宋体" w:hAnsi="宋体"/>
          <w:b/>
          <w:bCs/>
          <w:sz w:val="24"/>
          <w:szCs w:val="24"/>
        </w:rPr>
      </w:pPr>
      <w:r>
        <w:rPr>
          <w:rFonts w:hint="eastAsia" w:ascii="宋体" w:hAnsi="宋体"/>
          <w:b/>
          <w:bCs/>
          <w:sz w:val="24"/>
          <w:szCs w:val="24"/>
        </w:rPr>
        <w:t xml:space="preserve">                            </w:t>
      </w:r>
    </w:p>
    <w:p w14:paraId="0A392996">
      <w:pPr>
        <w:spacing w:line="560" w:lineRule="exact"/>
        <w:ind w:right="480"/>
        <w:jc w:val="center"/>
        <w:rPr>
          <w:rFonts w:ascii="宋体" w:hAnsi="宋体"/>
          <w:b/>
          <w:bCs/>
          <w:sz w:val="24"/>
          <w:szCs w:val="24"/>
        </w:rPr>
      </w:pPr>
      <w:r>
        <w:rPr>
          <w:rFonts w:hint="eastAsia" w:ascii="宋体" w:hAnsi="宋体"/>
          <w:b/>
          <w:bCs/>
          <w:sz w:val="24"/>
          <w:szCs w:val="24"/>
        </w:rPr>
        <w:t xml:space="preserve">                              供应商电子签章：</w:t>
      </w:r>
    </w:p>
    <w:p w14:paraId="20C230A4">
      <w:pPr>
        <w:spacing w:line="560" w:lineRule="exact"/>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26F474E0">
      <w:pPr>
        <w:adjustRightInd w:val="0"/>
        <w:snapToGrid w:val="0"/>
        <w:spacing w:line="360" w:lineRule="auto"/>
        <w:rPr>
          <w:rFonts w:ascii="宋体" w:hAnsi="宋体"/>
          <w:b/>
          <w:sz w:val="24"/>
          <w:szCs w:val="24"/>
        </w:rPr>
      </w:pPr>
    </w:p>
    <w:p w14:paraId="35424B9C">
      <w:pPr>
        <w:adjustRightInd w:val="0"/>
        <w:snapToGrid w:val="0"/>
        <w:spacing w:line="360" w:lineRule="auto"/>
        <w:rPr>
          <w:rFonts w:ascii="宋体" w:hAnsi="宋体"/>
          <w:b/>
          <w:sz w:val="24"/>
          <w:szCs w:val="24"/>
        </w:rPr>
      </w:pPr>
    </w:p>
    <w:p w14:paraId="5DFF5F18">
      <w:pPr>
        <w:adjustRightInd w:val="0"/>
        <w:snapToGrid w:val="0"/>
        <w:spacing w:line="360" w:lineRule="auto"/>
        <w:rPr>
          <w:b/>
          <w:sz w:val="24"/>
          <w:szCs w:val="24"/>
        </w:rPr>
      </w:pPr>
      <w:r>
        <w:rPr>
          <w:rFonts w:hint="eastAsia" w:ascii="宋体" w:hAnsi="宋体"/>
          <w:b/>
          <w:sz w:val="24"/>
          <w:szCs w:val="24"/>
        </w:rPr>
        <w:t>注：表中所列服务为对应本项目需求的全部服务内容。如有漏项或缺项，投标供应商承担全部责任。</w:t>
      </w:r>
    </w:p>
    <w:p w14:paraId="6DAC09E4">
      <w:pPr>
        <w:spacing w:line="360" w:lineRule="auto"/>
        <w:rPr>
          <w:sz w:val="24"/>
          <w:szCs w:val="24"/>
        </w:rPr>
      </w:pPr>
    </w:p>
    <w:p w14:paraId="36A12CD6">
      <w:pPr>
        <w:spacing w:line="360" w:lineRule="auto"/>
        <w:rPr>
          <w:sz w:val="24"/>
          <w:szCs w:val="24"/>
        </w:rPr>
      </w:pPr>
    </w:p>
    <w:p w14:paraId="7D6007D7">
      <w:pPr>
        <w:spacing w:line="360" w:lineRule="auto"/>
        <w:rPr>
          <w:sz w:val="24"/>
          <w:szCs w:val="24"/>
        </w:rPr>
      </w:pPr>
    </w:p>
    <w:p w14:paraId="123601E7">
      <w:pPr>
        <w:spacing w:line="360" w:lineRule="auto"/>
        <w:rPr>
          <w:sz w:val="24"/>
          <w:szCs w:val="24"/>
        </w:rPr>
      </w:pPr>
    </w:p>
    <w:p w14:paraId="0B103682">
      <w:pPr>
        <w:spacing w:line="360" w:lineRule="auto"/>
        <w:rPr>
          <w:sz w:val="24"/>
          <w:szCs w:val="24"/>
        </w:rPr>
      </w:pPr>
    </w:p>
    <w:p w14:paraId="6242388E">
      <w:pPr>
        <w:spacing w:line="360" w:lineRule="auto"/>
        <w:rPr>
          <w:sz w:val="24"/>
          <w:szCs w:val="24"/>
        </w:rPr>
      </w:pPr>
    </w:p>
    <w:p w14:paraId="61926871">
      <w:pPr>
        <w:spacing w:line="360" w:lineRule="auto"/>
        <w:rPr>
          <w:sz w:val="24"/>
          <w:szCs w:val="24"/>
        </w:rPr>
      </w:pPr>
    </w:p>
    <w:p w14:paraId="0D76BDE7">
      <w:pPr>
        <w:jc w:val="left"/>
        <w:rPr>
          <w:rFonts w:ascii="宋体" w:hAnsi="宋体"/>
          <w:b/>
          <w:sz w:val="32"/>
          <w:szCs w:val="32"/>
        </w:rPr>
      </w:pPr>
      <w:r>
        <w:rPr>
          <w:rFonts w:hint="eastAsia" w:ascii="宋体" w:hAnsi="宋体"/>
          <w:b/>
          <w:sz w:val="32"/>
          <w:szCs w:val="32"/>
        </w:rPr>
        <w:br w:type="page"/>
      </w:r>
    </w:p>
    <w:p w14:paraId="59BE2C3C">
      <w:pPr>
        <w:pStyle w:val="6"/>
        <w:spacing w:before="0" w:after="0" w:line="560" w:lineRule="exact"/>
        <w:rPr>
          <w:rFonts w:ascii="宋体" w:hAnsi="宋体" w:eastAsia="宋体" w:cs="宋体"/>
          <w:sz w:val="24"/>
          <w:szCs w:val="24"/>
        </w:rPr>
      </w:pPr>
      <w:bookmarkStart w:id="128" w:name="_Toc9164"/>
      <w:r>
        <w:rPr>
          <w:rFonts w:hint="eastAsia" w:ascii="宋体" w:hAnsi="宋体" w:eastAsia="宋体" w:cs="宋体"/>
          <w:sz w:val="24"/>
          <w:szCs w:val="24"/>
        </w:rPr>
        <w:t>附件二</w:t>
      </w:r>
      <w:bookmarkEnd w:id="128"/>
    </w:p>
    <w:p w14:paraId="222E2322">
      <w:pPr>
        <w:pStyle w:val="6"/>
        <w:spacing w:before="0" w:after="0" w:line="560" w:lineRule="exact"/>
        <w:jc w:val="center"/>
        <w:rPr>
          <w:rFonts w:ascii="宋体" w:hAnsi="宋体" w:eastAsia="宋体" w:cs="宋体"/>
          <w:sz w:val="24"/>
          <w:szCs w:val="24"/>
        </w:rPr>
      </w:pPr>
      <w:bookmarkStart w:id="129" w:name="_Toc20406"/>
      <w:bookmarkStart w:id="130" w:name="_Toc17280"/>
      <w:bookmarkStart w:id="131" w:name="_Toc4686"/>
      <w:r>
        <w:rPr>
          <w:rFonts w:hint="eastAsia" w:ascii="宋体" w:hAnsi="宋体" w:eastAsia="宋体" w:cs="宋体"/>
          <w:sz w:val="24"/>
          <w:szCs w:val="24"/>
        </w:rPr>
        <w:t>供应商基本信息</w:t>
      </w:r>
      <w:bookmarkEnd w:id="129"/>
      <w:bookmarkEnd w:id="130"/>
      <w:bookmarkEnd w:id="131"/>
    </w:p>
    <w:p w14:paraId="6D8F57E1">
      <w:pPr>
        <w:spacing w:line="360" w:lineRule="auto"/>
        <w:jc w:val="center"/>
      </w:pPr>
      <w:r>
        <w:rPr>
          <w:rFonts w:hint="eastAsia"/>
          <w:sz w:val="24"/>
          <w:szCs w:val="24"/>
        </w:rPr>
        <w:t>（</w:t>
      </w:r>
      <w:r>
        <w:rPr>
          <w:rFonts w:hint="eastAsia"/>
          <w:sz w:val="24"/>
          <w:szCs w:val="24"/>
          <w:lang w:eastAsia="zh-CN"/>
        </w:rPr>
        <w:t>营业执照、资质证书等相关材料</w:t>
      </w:r>
      <w:r>
        <w:rPr>
          <w:rFonts w:hint="eastAsia"/>
          <w:sz w:val="24"/>
          <w:szCs w:val="24"/>
        </w:rPr>
        <w:t>）</w:t>
      </w:r>
    </w:p>
    <w:p w14:paraId="5C549F2F">
      <w:pPr>
        <w:pStyle w:val="6"/>
        <w:spacing w:before="0" w:after="0" w:line="560" w:lineRule="exact"/>
        <w:rPr>
          <w:rFonts w:ascii="宋体" w:hAnsi="宋体" w:eastAsia="宋体" w:cs="宋体"/>
          <w:sz w:val="24"/>
          <w:szCs w:val="24"/>
        </w:rPr>
      </w:pPr>
      <w:bookmarkStart w:id="132" w:name="_Toc18794"/>
      <w:r>
        <w:rPr>
          <w:rFonts w:hint="eastAsia" w:ascii="宋体" w:hAnsi="宋体" w:eastAsia="宋体" w:cs="宋体"/>
          <w:sz w:val="24"/>
          <w:szCs w:val="24"/>
        </w:rPr>
        <w:t>附件三</w:t>
      </w:r>
      <w:bookmarkEnd w:id="132"/>
    </w:p>
    <w:p w14:paraId="7EFCF1F6">
      <w:pPr>
        <w:pStyle w:val="6"/>
        <w:spacing w:before="0" w:after="0" w:line="560" w:lineRule="exact"/>
        <w:jc w:val="center"/>
        <w:rPr>
          <w:rFonts w:ascii="宋体" w:hAnsi="宋体" w:eastAsia="宋体" w:cs="宋体"/>
          <w:sz w:val="24"/>
          <w:szCs w:val="24"/>
        </w:rPr>
      </w:pPr>
      <w:bookmarkStart w:id="133" w:name="_Toc10696"/>
      <w:bookmarkStart w:id="134" w:name="_Toc2697"/>
      <w:bookmarkStart w:id="135" w:name="_Toc25318"/>
      <w:r>
        <w:rPr>
          <w:rFonts w:hint="eastAsia" w:ascii="宋体" w:hAnsi="宋体" w:eastAsia="宋体" w:cs="宋体"/>
          <w:sz w:val="24"/>
          <w:szCs w:val="24"/>
        </w:rPr>
        <w:t>谈判授权书</w:t>
      </w:r>
      <w:bookmarkEnd w:id="133"/>
      <w:bookmarkEnd w:id="134"/>
      <w:bookmarkEnd w:id="135"/>
    </w:p>
    <w:p w14:paraId="39A79380">
      <w:pPr>
        <w:rPr>
          <w:rFonts w:ascii="宋体" w:hAnsi="宋体"/>
          <w:sz w:val="24"/>
          <w:szCs w:val="24"/>
        </w:rPr>
      </w:pPr>
    </w:p>
    <w:p w14:paraId="57FCB6E4">
      <w:pPr>
        <w:spacing w:line="480" w:lineRule="auto"/>
        <w:jc w:val="left"/>
        <w:rPr>
          <w:rFonts w:ascii="宋体" w:hAnsi="宋体"/>
          <w:sz w:val="24"/>
          <w:szCs w:val="24"/>
        </w:rPr>
      </w:pPr>
      <w:r>
        <w:rPr>
          <w:rFonts w:hint="eastAsia" w:ascii="宋体" w:hAnsi="宋体"/>
          <w:sz w:val="24"/>
          <w:szCs w:val="24"/>
        </w:rPr>
        <w:t>致：_________________</w:t>
      </w:r>
    </w:p>
    <w:p w14:paraId="528F78B5">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6F2EDD8D">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61102428">
      <w:pPr>
        <w:spacing w:line="360" w:lineRule="auto"/>
        <w:jc w:val="left"/>
        <w:rPr>
          <w:rFonts w:ascii="宋体" w:hAnsi="宋体"/>
          <w:sz w:val="24"/>
          <w:szCs w:val="24"/>
        </w:rPr>
      </w:pPr>
    </w:p>
    <w:p w14:paraId="0752DE81">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91A3F6">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061B7D5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A97A40D">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27894604">
      <w:pPr>
        <w:spacing w:line="360" w:lineRule="auto"/>
        <w:ind w:firstLine="1084" w:firstLineChars="450"/>
        <w:jc w:val="left"/>
        <w:rPr>
          <w:rFonts w:ascii="宋体" w:hAnsi="宋体"/>
          <w:b/>
          <w:bCs/>
          <w:sz w:val="24"/>
          <w:szCs w:val="24"/>
        </w:rPr>
      </w:pPr>
    </w:p>
    <w:p w14:paraId="1BBFCFCD">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2D87CEB2">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46E607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5813B09">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0783EE7">
      <w:pPr>
        <w:spacing w:line="360" w:lineRule="auto"/>
        <w:jc w:val="left"/>
        <w:rPr>
          <w:rFonts w:ascii="宋体" w:hAnsi="宋体"/>
          <w:sz w:val="24"/>
          <w:szCs w:val="24"/>
        </w:rPr>
      </w:pPr>
    </w:p>
    <w:p w14:paraId="33424774">
      <w:pPr>
        <w:wordWrap w:val="0"/>
        <w:spacing w:line="360" w:lineRule="auto"/>
        <w:jc w:val="right"/>
        <w:rPr>
          <w:rFonts w:ascii="宋体" w:hAnsi="宋体"/>
          <w:sz w:val="24"/>
          <w:szCs w:val="24"/>
        </w:rPr>
      </w:pPr>
      <w:r>
        <w:rPr>
          <w:rFonts w:hint="eastAsia" w:ascii="宋体" w:hAnsi="宋体"/>
          <w:sz w:val="24"/>
          <w:szCs w:val="24"/>
        </w:rPr>
        <w:t xml:space="preserve">                                                      </w:t>
      </w:r>
    </w:p>
    <w:p w14:paraId="52100E7F">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1CF9939E">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14:paraId="2370F6F3">
      <w:pPr>
        <w:pStyle w:val="29"/>
        <w:rPr>
          <w:rFonts w:hint="eastAsia" w:ascii="宋体" w:hAnsi="宋体"/>
          <w:b/>
          <w:bCs/>
          <w:sz w:val="24"/>
          <w:szCs w:val="24"/>
        </w:rPr>
      </w:pPr>
    </w:p>
    <w:p w14:paraId="5C96B5D5">
      <w:pPr>
        <w:pStyle w:val="29"/>
        <w:rPr>
          <w:rFonts w:hint="eastAsia" w:ascii="宋体" w:hAnsi="宋体"/>
          <w:b/>
          <w:bCs/>
          <w:sz w:val="24"/>
          <w:szCs w:val="24"/>
        </w:rPr>
        <w:sectPr>
          <w:headerReference r:id="rId7" w:type="default"/>
          <w:footerReference r:id="rId9" w:type="default"/>
          <w:headerReference r:id="rId8" w:type="even"/>
          <w:footerReference r:id="rId10" w:type="even"/>
          <w:pgSz w:w="11906" w:h="16838"/>
          <w:pgMar w:top="1440" w:right="1531" w:bottom="1440" w:left="1531" w:header="851" w:footer="992" w:gutter="0"/>
          <w:pgNumType w:fmt="decimal"/>
          <w:cols w:space="425" w:num="1"/>
          <w:docGrid w:type="lines" w:linePitch="312" w:charSpace="0"/>
        </w:sectPr>
      </w:pPr>
    </w:p>
    <w:p w14:paraId="66170475">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FAD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6214F4CF">
            <w:pPr>
              <w:spacing w:line="240" w:lineRule="atLeast"/>
              <w:rPr>
                <w:rFonts w:ascii="宋体" w:hAnsi="宋体" w:cs="宋体"/>
                <w:b/>
                <w:sz w:val="24"/>
                <w:szCs w:val="24"/>
              </w:rPr>
            </w:pPr>
          </w:p>
          <w:p w14:paraId="2658456A">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02127355">
            <w:pPr>
              <w:spacing w:line="240" w:lineRule="atLeast"/>
              <w:rPr>
                <w:rFonts w:ascii="宋体" w:hAnsi="宋体" w:cs="宋体"/>
                <w:b/>
                <w:sz w:val="24"/>
                <w:szCs w:val="24"/>
              </w:rPr>
            </w:pPr>
          </w:p>
          <w:p w14:paraId="0E28B778">
            <w:pPr>
              <w:spacing w:line="240" w:lineRule="atLeast"/>
              <w:rPr>
                <w:rFonts w:ascii="宋体" w:hAnsi="宋体" w:cs="宋体"/>
                <w:b/>
                <w:sz w:val="24"/>
                <w:szCs w:val="24"/>
              </w:rPr>
            </w:pPr>
          </w:p>
          <w:p w14:paraId="55BA763D">
            <w:pPr>
              <w:spacing w:line="240" w:lineRule="atLeast"/>
              <w:rPr>
                <w:rFonts w:ascii="宋体" w:hAnsi="宋体" w:cs="宋体"/>
                <w:b/>
                <w:sz w:val="24"/>
                <w:szCs w:val="24"/>
              </w:rPr>
            </w:pPr>
          </w:p>
        </w:tc>
      </w:tr>
    </w:tbl>
    <w:p w14:paraId="0BDCACBD">
      <w:pPr>
        <w:spacing w:line="240" w:lineRule="atLeast"/>
        <w:rPr>
          <w:rFonts w:ascii="宋体" w:hAnsi="宋体" w:cs="宋体"/>
          <w:b/>
          <w:sz w:val="24"/>
          <w:szCs w:val="24"/>
        </w:rPr>
      </w:pP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2BA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5" w:hRule="atLeast"/>
          <w:jc w:val="center"/>
        </w:trPr>
        <w:tc>
          <w:tcPr>
            <w:tcW w:w="7578" w:type="dxa"/>
          </w:tcPr>
          <w:p w14:paraId="12655779">
            <w:pPr>
              <w:spacing w:line="240" w:lineRule="atLeast"/>
              <w:rPr>
                <w:rFonts w:ascii="宋体" w:hAnsi="宋体" w:cs="宋体"/>
                <w:b/>
                <w:sz w:val="24"/>
                <w:szCs w:val="24"/>
              </w:rPr>
            </w:pPr>
          </w:p>
          <w:p w14:paraId="7686443C">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3F5A1092">
            <w:pPr>
              <w:spacing w:line="240" w:lineRule="atLeast"/>
              <w:rPr>
                <w:rFonts w:ascii="宋体" w:hAnsi="宋体" w:cs="宋体"/>
                <w:b/>
                <w:sz w:val="24"/>
                <w:szCs w:val="24"/>
              </w:rPr>
            </w:pPr>
          </w:p>
          <w:p w14:paraId="6C818FC3">
            <w:pPr>
              <w:spacing w:line="240" w:lineRule="atLeast"/>
              <w:rPr>
                <w:rFonts w:ascii="宋体" w:hAnsi="宋体" w:cs="宋体"/>
                <w:b/>
                <w:sz w:val="24"/>
                <w:szCs w:val="24"/>
              </w:rPr>
            </w:pPr>
          </w:p>
          <w:p w14:paraId="799B9357">
            <w:pPr>
              <w:spacing w:line="240" w:lineRule="atLeast"/>
              <w:rPr>
                <w:rFonts w:ascii="宋体" w:hAnsi="宋体" w:cs="宋体"/>
                <w:b/>
                <w:sz w:val="24"/>
                <w:szCs w:val="24"/>
              </w:rPr>
            </w:pPr>
          </w:p>
          <w:p w14:paraId="2577799D">
            <w:pPr>
              <w:spacing w:line="240" w:lineRule="atLeast"/>
              <w:rPr>
                <w:rFonts w:ascii="宋体" w:hAnsi="宋体" w:cs="宋体"/>
                <w:b/>
                <w:sz w:val="24"/>
                <w:szCs w:val="24"/>
              </w:rPr>
            </w:pPr>
          </w:p>
        </w:tc>
      </w:tr>
    </w:tbl>
    <w:p w14:paraId="52DE7CC8">
      <w:pPr>
        <w:spacing w:line="240" w:lineRule="atLeast"/>
        <w:rPr>
          <w:rFonts w:ascii="宋体" w:hAnsi="宋体" w:cs="宋体"/>
          <w:b/>
          <w:sz w:val="24"/>
          <w:szCs w:val="24"/>
        </w:rPr>
      </w:pPr>
    </w:p>
    <w:p w14:paraId="341F749C">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F1A279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037C70A0">
      <w:pPr>
        <w:spacing w:line="360" w:lineRule="auto"/>
        <w:rPr>
          <w:rFonts w:ascii="宋体" w:hAnsi="宋体" w:cs="宋体"/>
          <w:b/>
          <w:sz w:val="24"/>
          <w:szCs w:val="24"/>
        </w:rPr>
      </w:pPr>
    </w:p>
    <w:p w14:paraId="65115B78">
      <w:pPr>
        <w:pStyle w:val="29"/>
        <w:rPr>
          <w:rFonts w:ascii="宋体" w:hAnsi="宋体" w:cs="宋体"/>
          <w:sz w:val="24"/>
          <w:szCs w:val="24"/>
        </w:rPr>
      </w:pPr>
    </w:p>
    <w:p w14:paraId="3FE67280">
      <w:pPr>
        <w:pStyle w:val="29"/>
        <w:rPr>
          <w:rFonts w:ascii="宋体" w:hAnsi="宋体" w:cs="宋体"/>
          <w:sz w:val="24"/>
          <w:szCs w:val="24"/>
        </w:rPr>
      </w:pPr>
    </w:p>
    <w:p w14:paraId="345D40FA">
      <w:pPr>
        <w:rPr>
          <w:rFonts w:ascii="宋体" w:hAnsi="宋体" w:cs="宋体"/>
          <w:sz w:val="24"/>
          <w:szCs w:val="24"/>
        </w:rPr>
      </w:pPr>
    </w:p>
    <w:p w14:paraId="75081A98">
      <w:pPr>
        <w:rPr>
          <w:rFonts w:ascii="宋体" w:hAnsi="宋体" w:cs="宋体"/>
          <w:sz w:val="24"/>
          <w:szCs w:val="24"/>
        </w:rPr>
      </w:pPr>
    </w:p>
    <w:p w14:paraId="402056D3">
      <w:pPr>
        <w:rPr>
          <w:rFonts w:ascii="宋体" w:hAnsi="宋体" w:cs="宋体"/>
          <w:sz w:val="24"/>
          <w:szCs w:val="24"/>
        </w:rPr>
      </w:pPr>
    </w:p>
    <w:p w14:paraId="6A24531E">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0DF7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14:paraId="69CEE8D7">
            <w:pPr>
              <w:spacing w:line="240" w:lineRule="atLeast"/>
              <w:rPr>
                <w:rFonts w:ascii="宋体" w:hAnsi="宋体" w:cs="宋体"/>
                <w:b/>
                <w:sz w:val="24"/>
                <w:szCs w:val="24"/>
              </w:rPr>
            </w:pPr>
          </w:p>
          <w:p w14:paraId="51516B6E">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4A5D4A19">
            <w:pPr>
              <w:spacing w:line="240" w:lineRule="atLeast"/>
              <w:rPr>
                <w:rFonts w:ascii="宋体" w:hAnsi="宋体" w:cs="宋体"/>
                <w:b/>
                <w:sz w:val="24"/>
                <w:szCs w:val="24"/>
              </w:rPr>
            </w:pPr>
          </w:p>
          <w:p w14:paraId="049D4A66">
            <w:pPr>
              <w:spacing w:line="240" w:lineRule="atLeast"/>
              <w:rPr>
                <w:rFonts w:ascii="宋体" w:hAnsi="宋体" w:cs="宋体"/>
                <w:b/>
                <w:sz w:val="24"/>
                <w:szCs w:val="24"/>
              </w:rPr>
            </w:pPr>
          </w:p>
          <w:p w14:paraId="12D954FC">
            <w:pPr>
              <w:spacing w:line="240" w:lineRule="atLeast"/>
              <w:rPr>
                <w:rFonts w:ascii="宋体" w:hAnsi="宋体" w:cs="宋体"/>
                <w:b/>
                <w:sz w:val="24"/>
                <w:szCs w:val="24"/>
              </w:rPr>
            </w:pPr>
          </w:p>
        </w:tc>
      </w:tr>
    </w:tbl>
    <w:p w14:paraId="16EDFDCA">
      <w:pPr>
        <w:spacing w:line="240" w:lineRule="atLeast"/>
        <w:rPr>
          <w:rFonts w:ascii="宋体" w:hAnsi="宋体" w:cs="宋体"/>
          <w:b/>
          <w:sz w:val="24"/>
          <w:szCs w:val="24"/>
        </w:rPr>
      </w:pP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5251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14:paraId="3A3A3DEE">
            <w:pPr>
              <w:spacing w:line="240" w:lineRule="atLeast"/>
              <w:rPr>
                <w:rFonts w:ascii="宋体" w:hAnsi="宋体" w:cs="宋体"/>
                <w:b/>
                <w:sz w:val="24"/>
                <w:szCs w:val="24"/>
              </w:rPr>
            </w:pPr>
          </w:p>
          <w:p w14:paraId="630A24AB">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11D2B89D">
            <w:pPr>
              <w:spacing w:line="240" w:lineRule="atLeast"/>
              <w:rPr>
                <w:rFonts w:ascii="宋体" w:hAnsi="宋体" w:cs="宋体"/>
                <w:b/>
                <w:sz w:val="24"/>
                <w:szCs w:val="24"/>
              </w:rPr>
            </w:pPr>
          </w:p>
          <w:p w14:paraId="7BEA1ADC">
            <w:pPr>
              <w:spacing w:line="240" w:lineRule="atLeast"/>
              <w:rPr>
                <w:rFonts w:ascii="宋体" w:hAnsi="宋体" w:cs="宋体"/>
                <w:b/>
                <w:sz w:val="24"/>
                <w:szCs w:val="24"/>
              </w:rPr>
            </w:pPr>
          </w:p>
          <w:p w14:paraId="755B423D">
            <w:pPr>
              <w:spacing w:line="240" w:lineRule="atLeast"/>
              <w:rPr>
                <w:rFonts w:ascii="宋体" w:hAnsi="宋体" w:cs="宋体"/>
                <w:b/>
                <w:sz w:val="24"/>
                <w:szCs w:val="24"/>
              </w:rPr>
            </w:pPr>
          </w:p>
        </w:tc>
      </w:tr>
    </w:tbl>
    <w:p w14:paraId="0BEB33EE">
      <w:pPr>
        <w:spacing w:line="240" w:lineRule="atLeast"/>
        <w:rPr>
          <w:rFonts w:ascii="宋体" w:hAnsi="宋体" w:cs="宋体"/>
          <w:b/>
          <w:sz w:val="24"/>
          <w:szCs w:val="24"/>
        </w:rPr>
      </w:pPr>
    </w:p>
    <w:p w14:paraId="41DA800B">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E18AEB7">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1678E96C">
      <w:pPr>
        <w:spacing w:line="360" w:lineRule="auto"/>
        <w:rPr>
          <w:rFonts w:ascii="宋体" w:hAnsi="宋体" w:cs="宋体"/>
          <w:b/>
          <w:sz w:val="24"/>
          <w:szCs w:val="24"/>
        </w:rPr>
      </w:pPr>
      <w:r>
        <w:rPr>
          <w:rFonts w:hint="eastAsia" w:ascii="宋体" w:hAnsi="宋体" w:cs="宋体"/>
          <w:b/>
          <w:sz w:val="24"/>
          <w:szCs w:val="24"/>
        </w:rPr>
        <w:t>特殊说明：</w:t>
      </w:r>
    </w:p>
    <w:p w14:paraId="5BB99A83">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07CB7F11">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4DE1520D">
      <w:pPr>
        <w:pStyle w:val="29"/>
        <w:rPr>
          <w:rFonts w:hint="eastAsia" w:ascii="宋体" w:hAnsi="宋体"/>
          <w:b/>
          <w:bCs/>
          <w:sz w:val="24"/>
          <w:szCs w:val="24"/>
        </w:rPr>
        <w:sectPr>
          <w:pgSz w:w="11906" w:h="16838"/>
          <w:pgMar w:top="1440" w:right="1531" w:bottom="1440" w:left="1531" w:header="851" w:footer="992" w:gutter="0"/>
          <w:pgNumType w:fmt="decimal"/>
          <w:cols w:space="425" w:num="1"/>
          <w:docGrid w:type="lines" w:linePitch="312" w:charSpace="0"/>
        </w:sectPr>
      </w:pPr>
    </w:p>
    <w:p w14:paraId="7C4DD901">
      <w:pPr>
        <w:pStyle w:val="6"/>
        <w:spacing w:before="0" w:after="0" w:line="560" w:lineRule="exact"/>
        <w:rPr>
          <w:rFonts w:ascii="宋体" w:hAnsi="宋体" w:eastAsia="宋体" w:cs="宋体"/>
          <w:sz w:val="24"/>
          <w:szCs w:val="24"/>
        </w:rPr>
      </w:pPr>
      <w:bookmarkStart w:id="136" w:name="_Toc17885"/>
      <w:r>
        <w:rPr>
          <w:rFonts w:hint="eastAsia" w:ascii="宋体" w:hAnsi="宋体" w:eastAsia="宋体" w:cs="宋体"/>
          <w:sz w:val="24"/>
          <w:szCs w:val="24"/>
        </w:rPr>
        <w:t>附件四</w:t>
      </w:r>
      <w:bookmarkEnd w:id="136"/>
    </w:p>
    <w:p w14:paraId="3FC664E4">
      <w:pPr>
        <w:pStyle w:val="6"/>
        <w:spacing w:before="0" w:after="0" w:line="560" w:lineRule="exact"/>
        <w:jc w:val="center"/>
        <w:rPr>
          <w:rFonts w:ascii="宋体" w:hAnsi="宋体" w:eastAsia="宋体" w:cs="宋体"/>
          <w:sz w:val="24"/>
          <w:szCs w:val="24"/>
        </w:rPr>
      </w:pPr>
      <w:bookmarkStart w:id="137" w:name="_Toc9758"/>
      <w:bookmarkStart w:id="138" w:name="_Toc1318"/>
      <w:bookmarkStart w:id="139" w:name="_Toc417045478"/>
      <w:r>
        <w:rPr>
          <w:rFonts w:hint="eastAsia" w:ascii="宋体" w:hAnsi="宋体" w:eastAsia="宋体" w:cs="宋体"/>
          <w:sz w:val="24"/>
          <w:szCs w:val="24"/>
        </w:rPr>
        <w:t>谈判响应函</w:t>
      </w:r>
      <w:bookmarkEnd w:id="137"/>
      <w:bookmarkEnd w:id="138"/>
    </w:p>
    <w:p w14:paraId="06E955B3">
      <w:pPr>
        <w:spacing w:line="360" w:lineRule="auto"/>
        <w:rPr>
          <w:rFonts w:ascii="宋体" w:hAnsi="宋体"/>
          <w:sz w:val="24"/>
          <w:szCs w:val="24"/>
        </w:rPr>
      </w:pPr>
      <w:r>
        <w:rPr>
          <w:rFonts w:hint="eastAsia" w:ascii="宋体" w:hAnsi="宋体"/>
          <w:sz w:val="24"/>
          <w:szCs w:val="24"/>
        </w:rPr>
        <w:t>致：XXX（代理机构名称）</w:t>
      </w:r>
    </w:p>
    <w:p w14:paraId="26960A76">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（供应商的名称）全权处理本项目谈判的有关事宜。</w:t>
      </w:r>
    </w:p>
    <w:p w14:paraId="52D9CA36">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06FAA70A">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3、一旦我方中标，我方将严格履行合同规定的责任和义务，保证于采购人要求的日期内完成服务，并交付买方验收、使用。</w:t>
      </w:r>
    </w:p>
    <w:p w14:paraId="647C56EF">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14A00571">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7D942DC3">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4E3DD137">
      <w:pPr>
        <w:tabs>
          <w:tab w:val="left" w:pos="0"/>
          <w:tab w:val="left" w:pos="840"/>
        </w:tabs>
        <w:spacing w:line="360" w:lineRule="auto"/>
        <w:jc w:val="left"/>
        <w:rPr>
          <w:rFonts w:ascii="宋体" w:hAnsi="宋体"/>
          <w:sz w:val="24"/>
          <w:szCs w:val="24"/>
        </w:rPr>
      </w:pPr>
    </w:p>
    <w:p w14:paraId="5274730E">
      <w:pPr>
        <w:tabs>
          <w:tab w:val="left" w:pos="0"/>
          <w:tab w:val="left" w:pos="840"/>
        </w:tabs>
        <w:rPr>
          <w:rFonts w:ascii="宋体" w:hAnsi="宋体"/>
          <w:sz w:val="24"/>
          <w:szCs w:val="24"/>
        </w:rPr>
      </w:pPr>
    </w:p>
    <w:p w14:paraId="12DC10A9">
      <w:pPr>
        <w:tabs>
          <w:tab w:val="left" w:pos="0"/>
          <w:tab w:val="left" w:pos="840"/>
        </w:tabs>
        <w:rPr>
          <w:rFonts w:ascii="宋体" w:hAnsi="宋体"/>
          <w:sz w:val="24"/>
          <w:szCs w:val="24"/>
        </w:rPr>
      </w:pPr>
    </w:p>
    <w:p w14:paraId="2C4F8D53">
      <w:pPr>
        <w:tabs>
          <w:tab w:val="left" w:pos="0"/>
          <w:tab w:val="left" w:pos="840"/>
        </w:tabs>
        <w:rPr>
          <w:rFonts w:ascii="宋体" w:hAnsi="宋体"/>
          <w:sz w:val="24"/>
          <w:szCs w:val="24"/>
        </w:rPr>
      </w:pPr>
    </w:p>
    <w:p w14:paraId="7EEF8171">
      <w:pPr>
        <w:tabs>
          <w:tab w:val="left" w:pos="0"/>
          <w:tab w:val="left" w:pos="840"/>
        </w:tabs>
        <w:rPr>
          <w:rFonts w:ascii="宋体" w:hAnsi="宋体"/>
          <w:sz w:val="24"/>
          <w:szCs w:val="24"/>
        </w:rPr>
      </w:pPr>
    </w:p>
    <w:p w14:paraId="16DE8CA9">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6F666F4C">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63B38977">
      <w:pPr>
        <w:pStyle w:val="7"/>
        <w:rPr>
          <w:sz w:val="24"/>
          <w:szCs w:val="24"/>
          <w:lang w:val="en-US"/>
        </w:rPr>
      </w:pPr>
    </w:p>
    <w:p w14:paraId="48596994"/>
    <w:p w14:paraId="7673753A"/>
    <w:p w14:paraId="7E5E363D">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E2CF78B">
      <w:pPr>
        <w:pStyle w:val="6"/>
        <w:spacing w:before="0" w:after="0" w:line="560" w:lineRule="exact"/>
        <w:rPr>
          <w:rFonts w:ascii="宋体" w:hAnsi="宋体" w:eastAsia="宋体" w:cs="宋体"/>
          <w:sz w:val="24"/>
          <w:szCs w:val="24"/>
        </w:rPr>
      </w:pPr>
      <w:bookmarkStart w:id="140" w:name="_Toc27501"/>
      <w:r>
        <w:rPr>
          <w:rFonts w:hint="eastAsia" w:ascii="宋体" w:hAnsi="宋体" w:eastAsia="宋体" w:cs="宋体"/>
          <w:sz w:val="24"/>
          <w:szCs w:val="24"/>
        </w:rPr>
        <w:t>附件</w:t>
      </w:r>
      <w:bookmarkEnd w:id="139"/>
      <w:r>
        <w:rPr>
          <w:rFonts w:hint="eastAsia" w:ascii="宋体" w:hAnsi="宋体" w:eastAsia="宋体" w:cs="宋体"/>
          <w:sz w:val="24"/>
          <w:szCs w:val="24"/>
        </w:rPr>
        <w:t>五</w:t>
      </w:r>
      <w:bookmarkEnd w:id="140"/>
    </w:p>
    <w:p w14:paraId="2EA00900">
      <w:pPr>
        <w:pStyle w:val="34"/>
        <w:ind w:firstLine="2891" w:firstLineChars="1200"/>
        <w:rPr>
          <w:rFonts w:ascii="宋体" w:hAnsi="宋体" w:cs="宋体"/>
          <w:b/>
          <w:szCs w:val="24"/>
          <w:lang w:val="zh-CN"/>
        </w:rPr>
      </w:pPr>
      <w:bookmarkStart w:id="141" w:name="_Toc363199274"/>
      <w:r>
        <w:rPr>
          <w:rFonts w:hint="eastAsia" w:ascii="宋体" w:hAnsi="宋体" w:cs="宋体"/>
          <w:b/>
          <w:szCs w:val="24"/>
          <w:lang w:val="zh-CN"/>
        </w:rPr>
        <w:t>无重大违法记录声明函</w:t>
      </w:r>
    </w:p>
    <w:p w14:paraId="2B9C0DB3">
      <w:pPr>
        <w:pStyle w:val="34"/>
        <w:ind w:firstLine="480" w:firstLineChars="200"/>
        <w:rPr>
          <w:rFonts w:ascii="宋体" w:hAnsi="宋体"/>
          <w:szCs w:val="24"/>
        </w:rPr>
      </w:pPr>
      <w:bookmarkStart w:id="142"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614CC645">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8D59C2B">
      <w:pPr>
        <w:spacing w:line="360" w:lineRule="auto"/>
        <w:ind w:firstLine="435"/>
        <w:rPr>
          <w:rFonts w:ascii="宋体" w:hAnsi="宋体"/>
          <w:sz w:val="24"/>
          <w:szCs w:val="24"/>
        </w:rPr>
      </w:pPr>
    </w:p>
    <w:p w14:paraId="6DE85446">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b/>
          <w:bCs/>
          <w:sz w:val="24"/>
          <w:szCs w:val="24"/>
        </w:rPr>
        <w:t>盖章</w:t>
      </w:r>
      <w:r>
        <w:rPr>
          <w:rFonts w:hint="eastAsia" w:ascii="宋体" w:hAnsi="宋体"/>
          <w:bCs/>
          <w:sz w:val="24"/>
          <w:szCs w:val="24"/>
        </w:rPr>
        <w:t>：</w:t>
      </w:r>
    </w:p>
    <w:p w14:paraId="7BCD63D4">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42"/>
    <w:p w14:paraId="207B82DD">
      <w:pPr>
        <w:pStyle w:val="34"/>
        <w:ind w:firstLine="210"/>
      </w:pPr>
    </w:p>
    <w:p w14:paraId="3046BA94">
      <w:pPr>
        <w:pStyle w:val="34"/>
        <w:ind w:firstLine="210"/>
      </w:pPr>
    </w:p>
    <w:p w14:paraId="451A8DCF">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61D12094">
      <w:pPr>
        <w:spacing w:line="360" w:lineRule="auto"/>
        <w:ind w:firstLine="435"/>
        <w:rPr>
          <w:rFonts w:ascii="宋体" w:hAnsi="宋体"/>
          <w:sz w:val="24"/>
          <w:szCs w:val="24"/>
        </w:rPr>
      </w:pPr>
      <w:bookmarkStart w:id="143" w:name="_Hlk77794010"/>
      <w:r>
        <w:rPr>
          <w:rFonts w:hint="eastAsia" w:ascii="宋体" w:hAnsi="宋体"/>
          <w:sz w:val="24"/>
          <w:szCs w:val="24"/>
        </w:rPr>
        <w:t>本公司郑重承诺，我公司无以下不良信用记录情形：</w:t>
      </w:r>
    </w:p>
    <w:p w14:paraId="18A37BA9">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ED80704">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4B5000A0">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2AED1758">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5C85709E">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3D1E5F5E">
      <w:pPr>
        <w:tabs>
          <w:tab w:val="left" w:pos="630"/>
        </w:tabs>
        <w:spacing w:line="360" w:lineRule="auto"/>
        <w:ind w:firstLine="630"/>
        <w:rPr>
          <w:rFonts w:ascii="宋体" w:hAnsi="宋体"/>
          <w:sz w:val="24"/>
          <w:szCs w:val="24"/>
        </w:rPr>
      </w:pPr>
    </w:p>
    <w:p w14:paraId="0FB6DCCE">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b/>
          <w:bCs/>
          <w:sz w:val="24"/>
          <w:szCs w:val="24"/>
        </w:rPr>
        <w:t>盖章</w:t>
      </w:r>
      <w:r>
        <w:rPr>
          <w:rFonts w:hint="eastAsia" w:ascii="宋体" w:hAnsi="宋体"/>
          <w:bCs/>
          <w:sz w:val="24"/>
          <w:szCs w:val="24"/>
        </w:rPr>
        <w:t>：</w:t>
      </w:r>
    </w:p>
    <w:p w14:paraId="3DC27C28">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p>
    <w:bookmarkEnd w:id="143"/>
    <w:p w14:paraId="5D1C5D25">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73616B3">
      <w:pPr>
        <w:pStyle w:val="6"/>
        <w:spacing w:before="0" w:after="0" w:line="560" w:lineRule="exact"/>
        <w:rPr>
          <w:rFonts w:ascii="宋体" w:hAnsi="宋体" w:eastAsia="宋体" w:cs="宋体"/>
          <w:sz w:val="24"/>
          <w:szCs w:val="24"/>
        </w:rPr>
      </w:pPr>
      <w:bookmarkStart w:id="144" w:name="_Toc30242"/>
      <w:r>
        <w:rPr>
          <w:rFonts w:hint="eastAsia" w:ascii="宋体" w:hAnsi="宋体" w:eastAsia="宋体" w:cs="宋体"/>
          <w:sz w:val="24"/>
          <w:szCs w:val="24"/>
        </w:rPr>
        <w:t>附件</w:t>
      </w:r>
      <w:bookmarkEnd w:id="141"/>
      <w:r>
        <w:rPr>
          <w:rFonts w:hint="eastAsia" w:ascii="宋体" w:hAnsi="宋体" w:eastAsia="宋体" w:cs="宋体"/>
          <w:sz w:val="24"/>
          <w:szCs w:val="24"/>
        </w:rPr>
        <w:t>六</w:t>
      </w:r>
      <w:bookmarkEnd w:id="144"/>
    </w:p>
    <w:p w14:paraId="257F743D">
      <w:pPr>
        <w:pStyle w:val="6"/>
        <w:spacing w:before="0" w:after="0" w:line="560" w:lineRule="exact"/>
        <w:jc w:val="center"/>
        <w:rPr>
          <w:rFonts w:ascii="宋体" w:hAnsi="宋体" w:eastAsia="宋体" w:cs="宋体"/>
          <w:sz w:val="24"/>
          <w:szCs w:val="24"/>
          <w:lang w:val="zh-CN"/>
        </w:rPr>
      </w:pPr>
      <w:bookmarkStart w:id="145" w:name="_Toc12738"/>
      <w:bookmarkStart w:id="146" w:name="_Toc25238"/>
      <w:bookmarkStart w:id="147" w:name="_Toc24468"/>
      <w:r>
        <w:rPr>
          <w:rFonts w:hint="eastAsia" w:ascii="宋体" w:hAnsi="宋体" w:eastAsia="宋体" w:cs="宋体"/>
          <w:sz w:val="24"/>
          <w:szCs w:val="24"/>
          <w:lang w:val="zh-CN"/>
        </w:rPr>
        <w:t>响应情况表</w:t>
      </w:r>
      <w:bookmarkEnd w:id="145"/>
      <w:bookmarkEnd w:id="146"/>
      <w:bookmarkEnd w:id="147"/>
    </w:p>
    <w:p w14:paraId="778E6521">
      <w:pPr>
        <w:jc w:val="center"/>
        <w:rPr>
          <w:bCs/>
          <w:sz w:val="24"/>
          <w:szCs w:val="24"/>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397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62FAB26">
            <w:pPr>
              <w:jc w:val="center"/>
              <w:rPr>
                <w:rFonts w:ascii="宋体" w:cs="宋体"/>
                <w:b/>
                <w:sz w:val="24"/>
                <w:szCs w:val="21"/>
              </w:rPr>
            </w:pPr>
            <w:bookmarkStart w:id="148" w:name="_Toc471299110"/>
            <w:r>
              <w:rPr>
                <w:rFonts w:hint="eastAsia" w:ascii="宋体" w:hAnsi="宋体" w:cs="宋体"/>
                <w:b/>
                <w:sz w:val="24"/>
                <w:szCs w:val="21"/>
              </w:rPr>
              <w:t>按谈判文件规定填写</w:t>
            </w:r>
          </w:p>
        </w:tc>
        <w:tc>
          <w:tcPr>
            <w:tcW w:w="4200" w:type="dxa"/>
            <w:gridSpan w:val="2"/>
            <w:vAlign w:val="center"/>
          </w:tcPr>
          <w:p w14:paraId="602F65FA">
            <w:pPr>
              <w:jc w:val="center"/>
              <w:rPr>
                <w:rFonts w:ascii="宋体" w:cs="宋体"/>
                <w:b/>
                <w:sz w:val="24"/>
                <w:szCs w:val="21"/>
              </w:rPr>
            </w:pPr>
            <w:r>
              <w:rPr>
                <w:rFonts w:hint="eastAsia" w:ascii="宋体" w:hAnsi="宋体" w:cs="宋体"/>
                <w:b/>
                <w:sz w:val="24"/>
                <w:szCs w:val="21"/>
              </w:rPr>
              <w:t>按供应商所投内容填写</w:t>
            </w:r>
          </w:p>
        </w:tc>
      </w:tr>
      <w:tr w14:paraId="3142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5CFD208">
            <w:pPr>
              <w:jc w:val="center"/>
              <w:rPr>
                <w:rFonts w:ascii="宋体" w:cs="宋体"/>
                <w:b/>
                <w:sz w:val="24"/>
                <w:szCs w:val="21"/>
              </w:rPr>
            </w:pPr>
            <w:r>
              <w:rPr>
                <w:rFonts w:hint="eastAsia" w:ascii="宋体" w:hAnsi="宋体" w:cs="宋体"/>
                <w:b/>
                <w:sz w:val="24"/>
                <w:szCs w:val="21"/>
              </w:rPr>
              <w:t>序号</w:t>
            </w:r>
          </w:p>
        </w:tc>
        <w:tc>
          <w:tcPr>
            <w:tcW w:w="1794" w:type="dxa"/>
            <w:vAlign w:val="center"/>
          </w:tcPr>
          <w:p w14:paraId="6F27D07F">
            <w:pPr>
              <w:jc w:val="center"/>
              <w:rPr>
                <w:rFonts w:ascii="宋体" w:cs="宋体"/>
                <w:b/>
                <w:sz w:val="24"/>
                <w:szCs w:val="21"/>
              </w:rPr>
            </w:pPr>
            <w:r>
              <w:rPr>
                <w:rFonts w:hint="eastAsia" w:ascii="宋体" w:hAnsi="宋体" w:cs="宋体"/>
                <w:b/>
                <w:sz w:val="24"/>
                <w:szCs w:val="21"/>
              </w:rPr>
              <w:t>内容</w:t>
            </w:r>
          </w:p>
        </w:tc>
        <w:tc>
          <w:tcPr>
            <w:tcW w:w="2196" w:type="dxa"/>
            <w:vAlign w:val="center"/>
          </w:tcPr>
          <w:p w14:paraId="6ED051E9">
            <w:pPr>
              <w:jc w:val="center"/>
              <w:rPr>
                <w:rFonts w:ascii="宋体" w:cs="宋体"/>
                <w:b/>
                <w:sz w:val="24"/>
                <w:szCs w:val="21"/>
              </w:rPr>
            </w:pPr>
            <w:r>
              <w:rPr>
                <w:rFonts w:hint="eastAsia" w:ascii="宋体" w:hAnsi="宋体" w:cs="宋体"/>
                <w:b/>
                <w:sz w:val="24"/>
                <w:szCs w:val="21"/>
              </w:rPr>
              <w:t>谈判文件要求</w:t>
            </w:r>
          </w:p>
        </w:tc>
        <w:tc>
          <w:tcPr>
            <w:tcW w:w="2222" w:type="dxa"/>
            <w:vAlign w:val="center"/>
          </w:tcPr>
          <w:p w14:paraId="09981CFA">
            <w:pPr>
              <w:jc w:val="center"/>
              <w:rPr>
                <w:rFonts w:ascii="宋体" w:cs="宋体"/>
                <w:b/>
                <w:sz w:val="24"/>
                <w:szCs w:val="21"/>
              </w:rPr>
            </w:pPr>
            <w:r>
              <w:rPr>
                <w:rFonts w:hint="eastAsia" w:ascii="宋体" w:hAnsi="宋体" w:cs="宋体"/>
                <w:b/>
                <w:sz w:val="24"/>
                <w:szCs w:val="21"/>
              </w:rPr>
              <w:t>响应承诺</w:t>
            </w:r>
          </w:p>
        </w:tc>
        <w:tc>
          <w:tcPr>
            <w:tcW w:w="1978" w:type="dxa"/>
            <w:vAlign w:val="center"/>
          </w:tcPr>
          <w:p w14:paraId="103800A6">
            <w:pPr>
              <w:jc w:val="center"/>
              <w:rPr>
                <w:rFonts w:ascii="宋体" w:cs="宋体"/>
                <w:b/>
                <w:sz w:val="24"/>
                <w:szCs w:val="21"/>
              </w:rPr>
            </w:pPr>
            <w:r>
              <w:rPr>
                <w:rFonts w:hint="eastAsia" w:ascii="宋体" w:hAnsi="宋体" w:cs="宋体"/>
                <w:b/>
                <w:sz w:val="24"/>
                <w:szCs w:val="21"/>
              </w:rPr>
              <w:t>偏离说明</w:t>
            </w:r>
          </w:p>
        </w:tc>
      </w:tr>
      <w:tr w14:paraId="737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9E75FDA">
            <w:pPr>
              <w:jc w:val="center"/>
              <w:rPr>
                <w:rFonts w:ascii="宋体" w:cs="宋体"/>
                <w:sz w:val="24"/>
                <w:szCs w:val="24"/>
              </w:rPr>
            </w:pPr>
            <w:r>
              <w:rPr>
                <w:rFonts w:ascii="宋体" w:hAnsi="宋体" w:cs="宋体"/>
                <w:sz w:val="24"/>
                <w:szCs w:val="24"/>
              </w:rPr>
              <w:t>1</w:t>
            </w:r>
          </w:p>
        </w:tc>
        <w:tc>
          <w:tcPr>
            <w:tcW w:w="1794" w:type="dxa"/>
            <w:vAlign w:val="center"/>
          </w:tcPr>
          <w:p w14:paraId="5089FD05">
            <w:pPr>
              <w:jc w:val="center"/>
              <w:rPr>
                <w:rFonts w:ascii="宋体" w:cs="宋体"/>
                <w:sz w:val="24"/>
                <w:szCs w:val="24"/>
              </w:rPr>
            </w:pPr>
            <w:r>
              <w:rPr>
                <w:rFonts w:hint="eastAsia" w:ascii="宋体" w:hAnsi="宋体"/>
                <w:sz w:val="24"/>
                <w:szCs w:val="28"/>
              </w:rPr>
              <w:t>技术响应</w:t>
            </w:r>
          </w:p>
        </w:tc>
        <w:tc>
          <w:tcPr>
            <w:tcW w:w="2196" w:type="dxa"/>
            <w:vAlign w:val="center"/>
          </w:tcPr>
          <w:p w14:paraId="4B7F59E2">
            <w:pPr>
              <w:rPr>
                <w:rFonts w:ascii="宋体" w:cs="宋体"/>
                <w:sz w:val="24"/>
                <w:szCs w:val="24"/>
              </w:rPr>
            </w:pPr>
          </w:p>
        </w:tc>
        <w:tc>
          <w:tcPr>
            <w:tcW w:w="2222" w:type="dxa"/>
            <w:vAlign w:val="center"/>
          </w:tcPr>
          <w:p w14:paraId="4FBC2BAD">
            <w:pPr>
              <w:rPr>
                <w:rFonts w:ascii="宋体" w:cs="宋体"/>
                <w:sz w:val="24"/>
                <w:szCs w:val="24"/>
              </w:rPr>
            </w:pPr>
          </w:p>
        </w:tc>
        <w:tc>
          <w:tcPr>
            <w:tcW w:w="1978" w:type="dxa"/>
            <w:vAlign w:val="center"/>
          </w:tcPr>
          <w:p w14:paraId="0B7747A7">
            <w:pPr>
              <w:rPr>
                <w:rFonts w:ascii="宋体" w:cs="宋体"/>
                <w:sz w:val="24"/>
                <w:szCs w:val="24"/>
              </w:rPr>
            </w:pPr>
          </w:p>
        </w:tc>
      </w:tr>
      <w:tr w14:paraId="485A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20BF9B4">
            <w:pPr>
              <w:jc w:val="center"/>
              <w:rPr>
                <w:rFonts w:ascii="宋体" w:cs="宋体"/>
                <w:sz w:val="24"/>
                <w:szCs w:val="24"/>
              </w:rPr>
            </w:pPr>
            <w:r>
              <w:rPr>
                <w:rFonts w:ascii="宋体" w:hAnsi="宋体" w:cs="宋体"/>
                <w:sz w:val="24"/>
                <w:szCs w:val="24"/>
              </w:rPr>
              <w:t>2</w:t>
            </w:r>
          </w:p>
        </w:tc>
        <w:tc>
          <w:tcPr>
            <w:tcW w:w="1794" w:type="dxa"/>
            <w:vAlign w:val="center"/>
          </w:tcPr>
          <w:p w14:paraId="2FE1D7FA">
            <w:pPr>
              <w:jc w:val="center"/>
              <w:rPr>
                <w:rFonts w:ascii="宋体" w:cs="宋体"/>
                <w:sz w:val="24"/>
                <w:szCs w:val="24"/>
              </w:rPr>
            </w:pPr>
            <w:r>
              <w:rPr>
                <w:rFonts w:hint="eastAsia" w:ascii="宋体" w:hAnsi="宋体"/>
                <w:sz w:val="24"/>
                <w:szCs w:val="28"/>
              </w:rPr>
              <w:t>付款响应</w:t>
            </w:r>
          </w:p>
        </w:tc>
        <w:tc>
          <w:tcPr>
            <w:tcW w:w="2196" w:type="dxa"/>
            <w:vAlign w:val="center"/>
          </w:tcPr>
          <w:p w14:paraId="15E41A88">
            <w:pPr>
              <w:rPr>
                <w:rFonts w:ascii="宋体" w:cs="宋体"/>
                <w:sz w:val="24"/>
                <w:szCs w:val="24"/>
              </w:rPr>
            </w:pPr>
          </w:p>
        </w:tc>
        <w:tc>
          <w:tcPr>
            <w:tcW w:w="2222" w:type="dxa"/>
            <w:vAlign w:val="center"/>
          </w:tcPr>
          <w:p w14:paraId="3A1E750E">
            <w:pPr>
              <w:rPr>
                <w:rFonts w:ascii="宋体" w:cs="宋体"/>
                <w:sz w:val="24"/>
                <w:szCs w:val="24"/>
              </w:rPr>
            </w:pPr>
          </w:p>
        </w:tc>
        <w:tc>
          <w:tcPr>
            <w:tcW w:w="1978" w:type="dxa"/>
            <w:vAlign w:val="center"/>
          </w:tcPr>
          <w:p w14:paraId="54B1A1B9">
            <w:pPr>
              <w:rPr>
                <w:rFonts w:ascii="宋体" w:cs="宋体"/>
                <w:sz w:val="24"/>
                <w:szCs w:val="24"/>
              </w:rPr>
            </w:pPr>
          </w:p>
        </w:tc>
      </w:tr>
      <w:tr w14:paraId="1BF4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1A64416">
            <w:pPr>
              <w:jc w:val="center"/>
              <w:rPr>
                <w:rFonts w:ascii="宋体" w:cs="宋体"/>
                <w:sz w:val="24"/>
                <w:szCs w:val="24"/>
              </w:rPr>
            </w:pPr>
            <w:r>
              <w:rPr>
                <w:rFonts w:ascii="宋体" w:hAnsi="宋体" w:cs="宋体"/>
                <w:sz w:val="24"/>
                <w:szCs w:val="24"/>
              </w:rPr>
              <w:t>3</w:t>
            </w:r>
          </w:p>
        </w:tc>
        <w:tc>
          <w:tcPr>
            <w:tcW w:w="1794" w:type="dxa"/>
            <w:vAlign w:val="center"/>
          </w:tcPr>
          <w:p w14:paraId="650E6C0B">
            <w:pPr>
              <w:jc w:val="center"/>
              <w:rPr>
                <w:rFonts w:ascii="宋体" w:cs="宋体"/>
                <w:sz w:val="24"/>
                <w:szCs w:val="24"/>
              </w:rPr>
            </w:pPr>
            <w:r>
              <w:rPr>
                <w:rFonts w:hint="eastAsia" w:ascii="宋体" w:hAnsi="宋体"/>
                <w:sz w:val="24"/>
                <w:szCs w:val="28"/>
              </w:rPr>
              <w:t>服务期响应</w:t>
            </w:r>
          </w:p>
        </w:tc>
        <w:tc>
          <w:tcPr>
            <w:tcW w:w="2196" w:type="dxa"/>
            <w:vAlign w:val="center"/>
          </w:tcPr>
          <w:p w14:paraId="1F769C6A">
            <w:pPr>
              <w:rPr>
                <w:rFonts w:ascii="宋体" w:cs="宋体"/>
                <w:sz w:val="24"/>
                <w:szCs w:val="24"/>
              </w:rPr>
            </w:pPr>
          </w:p>
        </w:tc>
        <w:tc>
          <w:tcPr>
            <w:tcW w:w="2222" w:type="dxa"/>
            <w:vAlign w:val="center"/>
          </w:tcPr>
          <w:p w14:paraId="55446F9A">
            <w:pPr>
              <w:rPr>
                <w:rFonts w:ascii="宋体" w:cs="宋体"/>
                <w:sz w:val="24"/>
                <w:szCs w:val="24"/>
              </w:rPr>
            </w:pPr>
          </w:p>
        </w:tc>
        <w:tc>
          <w:tcPr>
            <w:tcW w:w="1978" w:type="dxa"/>
            <w:vAlign w:val="center"/>
          </w:tcPr>
          <w:p w14:paraId="38E23904">
            <w:pPr>
              <w:rPr>
                <w:rFonts w:ascii="宋体" w:cs="宋体"/>
                <w:sz w:val="24"/>
                <w:szCs w:val="24"/>
              </w:rPr>
            </w:pPr>
          </w:p>
        </w:tc>
      </w:tr>
      <w:tr w14:paraId="2F2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DA142DC">
            <w:pPr>
              <w:jc w:val="center"/>
              <w:rPr>
                <w:rFonts w:ascii="宋体" w:cs="宋体"/>
                <w:sz w:val="24"/>
                <w:szCs w:val="24"/>
              </w:rPr>
            </w:pPr>
            <w:r>
              <w:rPr>
                <w:rFonts w:hint="eastAsia" w:ascii="宋体" w:cs="宋体"/>
                <w:sz w:val="24"/>
                <w:szCs w:val="24"/>
              </w:rPr>
              <w:t>4</w:t>
            </w:r>
          </w:p>
        </w:tc>
        <w:tc>
          <w:tcPr>
            <w:tcW w:w="1794" w:type="dxa"/>
            <w:vAlign w:val="center"/>
          </w:tcPr>
          <w:p w14:paraId="5EE107EC">
            <w:pPr>
              <w:jc w:val="center"/>
              <w:rPr>
                <w:rFonts w:ascii="宋体" w:cs="宋体"/>
                <w:sz w:val="24"/>
                <w:szCs w:val="24"/>
              </w:rPr>
            </w:pPr>
            <w:r>
              <w:rPr>
                <w:rFonts w:hint="eastAsia" w:ascii="宋体" w:hAnsi="宋体" w:cs="宋体"/>
                <w:sz w:val="24"/>
                <w:szCs w:val="24"/>
              </w:rPr>
              <w:t>其他</w:t>
            </w:r>
          </w:p>
        </w:tc>
        <w:tc>
          <w:tcPr>
            <w:tcW w:w="2196" w:type="dxa"/>
            <w:vAlign w:val="center"/>
          </w:tcPr>
          <w:p w14:paraId="2D9ED47E">
            <w:pPr>
              <w:rPr>
                <w:rFonts w:ascii="宋体" w:cs="宋体"/>
                <w:sz w:val="24"/>
                <w:szCs w:val="24"/>
              </w:rPr>
            </w:pPr>
          </w:p>
        </w:tc>
        <w:tc>
          <w:tcPr>
            <w:tcW w:w="2222" w:type="dxa"/>
            <w:vAlign w:val="center"/>
          </w:tcPr>
          <w:p w14:paraId="1F58B8C0">
            <w:pPr>
              <w:rPr>
                <w:rFonts w:ascii="宋体" w:cs="宋体"/>
                <w:sz w:val="24"/>
                <w:szCs w:val="24"/>
              </w:rPr>
            </w:pPr>
          </w:p>
        </w:tc>
        <w:tc>
          <w:tcPr>
            <w:tcW w:w="1978" w:type="dxa"/>
            <w:vAlign w:val="center"/>
          </w:tcPr>
          <w:p w14:paraId="7B19912F">
            <w:pPr>
              <w:rPr>
                <w:rFonts w:ascii="宋体" w:cs="宋体"/>
                <w:sz w:val="24"/>
                <w:szCs w:val="24"/>
              </w:rPr>
            </w:pPr>
          </w:p>
        </w:tc>
      </w:tr>
    </w:tbl>
    <w:p w14:paraId="2BAA51CA">
      <w:pPr>
        <w:spacing w:after="312" w:afterLines="100" w:line="520" w:lineRule="exact"/>
        <w:ind w:firstLine="482" w:firstLineChars="200"/>
        <w:rPr>
          <w:rFonts w:ascii="宋体" w:hAnsi="宋体"/>
          <w:sz w:val="24"/>
          <w:szCs w:val="28"/>
        </w:rPr>
      </w:pPr>
      <w:r>
        <w:rPr>
          <w:rFonts w:hint="eastAsia" w:ascii="宋体" w:hAnsi="宋体" w:cs="宋体"/>
          <w:b/>
          <w:sz w:val="24"/>
          <w:szCs w:val="24"/>
        </w:rPr>
        <w:t>注：</w:t>
      </w:r>
      <w:r>
        <w:rPr>
          <w:rFonts w:hint="eastAsia" w:ascii="宋体" w:hAnsi="宋体"/>
          <w:sz w:val="24"/>
          <w:szCs w:val="28"/>
        </w:rPr>
        <w:t>提供的服务满足采购需求；付款及服务期等均应响应谈判文件要求。</w:t>
      </w:r>
    </w:p>
    <w:p w14:paraId="19AB4D7B">
      <w:pPr>
        <w:spacing w:after="312" w:afterLines="100" w:line="520" w:lineRule="exact"/>
        <w:rPr>
          <w:rFonts w:ascii="宋体" w:hAnsi="宋体"/>
          <w:sz w:val="24"/>
          <w:szCs w:val="28"/>
        </w:rPr>
      </w:pPr>
    </w:p>
    <w:p w14:paraId="598913F5">
      <w:pPr>
        <w:rPr>
          <w:rFonts w:ascii="宋体" w:hAnsi="宋体"/>
          <w:sz w:val="24"/>
          <w:szCs w:val="24"/>
        </w:rPr>
      </w:pPr>
    </w:p>
    <w:p w14:paraId="3A14DEFA">
      <w:pPr>
        <w:rPr>
          <w:rFonts w:ascii="宋体" w:hAnsi="宋体"/>
          <w:sz w:val="24"/>
          <w:szCs w:val="24"/>
        </w:rPr>
      </w:pPr>
    </w:p>
    <w:p w14:paraId="7A420E8B">
      <w:pPr>
        <w:spacing w:line="360" w:lineRule="auto"/>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cs="宋体"/>
          <w:b/>
          <w:bCs/>
          <w:sz w:val="24"/>
          <w:szCs w:val="24"/>
        </w:rPr>
        <w:t>盖章</w:t>
      </w:r>
      <w:r>
        <w:rPr>
          <w:rFonts w:hint="eastAsia" w:ascii="宋体" w:hAnsi="宋体"/>
          <w:b/>
          <w:bCs/>
          <w:sz w:val="24"/>
          <w:szCs w:val="24"/>
        </w:rPr>
        <w:t>：</w:t>
      </w:r>
    </w:p>
    <w:p w14:paraId="1CA449C5">
      <w:pPr>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3925771D">
      <w:pPr>
        <w:pStyle w:val="7"/>
        <w:spacing w:before="0" w:after="0"/>
        <w:rPr>
          <w:sz w:val="24"/>
          <w:szCs w:val="24"/>
        </w:rPr>
      </w:pPr>
      <w:r>
        <w:rPr>
          <w:rFonts w:hint="eastAsia"/>
          <w:sz w:val="24"/>
          <w:szCs w:val="24"/>
        </w:rPr>
        <w:br w:type="page"/>
      </w:r>
    </w:p>
    <w:p w14:paraId="0D22BB83">
      <w:pPr>
        <w:pStyle w:val="6"/>
        <w:bidi w:val="0"/>
        <w:rPr>
          <w:rFonts w:hint="eastAsia" w:ascii="宋体" w:hAnsi="宋体" w:eastAsia="宋体" w:cs="宋体"/>
          <w:sz w:val="24"/>
          <w:szCs w:val="16"/>
        </w:rPr>
      </w:pPr>
      <w:bookmarkStart w:id="149" w:name="_Toc19848"/>
      <w:bookmarkStart w:id="150" w:name="_Toc32767"/>
      <w:r>
        <w:rPr>
          <w:rFonts w:hint="eastAsia" w:ascii="宋体" w:hAnsi="宋体" w:eastAsia="宋体" w:cs="宋体"/>
          <w:sz w:val="24"/>
          <w:szCs w:val="16"/>
        </w:rPr>
        <w:t>附件</w:t>
      </w:r>
      <w:bookmarkEnd w:id="148"/>
      <w:r>
        <w:rPr>
          <w:rFonts w:hint="eastAsia" w:ascii="宋体" w:hAnsi="宋体" w:eastAsia="宋体" w:cs="宋体"/>
          <w:sz w:val="24"/>
          <w:szCs w:val="16"/>
        </w:rPr>
        <w:t>七</w:t>
      </w:r>
      <w:bookmarkEnd w:id="149"/>
      <w:bookmarkEnd w:id="150"/>
    </w:p>
    <w:p w14:paraId="3D3F6833">
      <w:pPr>
        <w:ind w:firstLine="3373" w:firstLineChars="1400"/>
        <w:rPr>
          <w:rFonts w:ascii="仿宋_GB2312" w:hAnsi="仿宋_GB2312"/>
          <w:sz w:val="28"/>
          <w:szCs w:val="28"/>
        </w:rPr>
      </w:pPr>
      <w:bookmarkStart w:id="151" w:name="_Toc23594"/>
      <w:bookmarkStart w:id="152" w:name="_Toc4135"/>
      <w:r>
        <w:rPr>
          <w:rStyle w:val="48"/>
          <w:rFonts w:hint="eastAsia" w:ascii="宋体" w:hAnsi="宋体" w:eastAsia="宋体" w:cs="宋体"/>
          <w:bCs/>
          <w:kern w:val="2"/>
          <w:sz w:val="24"/>
          <w:szCs w:val="24"/>
        </w:rPr>
        <w:t>中小企业声明函</w:t>
      </w:r>
      <w:bookmarkEnd w:id="151"/>
      <w:bookmarkEnd w:id="152"/>
    </w:p>
    <w:p w14:paraId="302CA279">
      <w:pPr>
        <w:autoSpaceDE w:val="0"/>
        <w:spacing w:line="480" w:lineRule="exact"/>
        <w:rPr>
          <w:rFonts w:ascii="仿宋_GB2312" w:hAnsi="仿宋_GB2312"/>
          <w:sz w:val="28"/>
          <w:szCs w:val="28"/>
        </w:rPr>
      </w:pPr>
      <w:r>
        <w:rPr>
          <w:rFonts w:ascii="仿宋_GB2312" w:hAnsi="仿宋_GB2312"/>
          <w:sz w:val="28"/>
          <w:szCs w:val="28"/>
        </w:rPr>
        <w:t xml:space="preserve"> </w:t>
      </w:r>
    </w:p>
    <w:p w14:paraId="3F489D95">
      <w:pPr>
        <w:autoSpaceDE w:val="0"/>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 xml:space="preserve"> 采购活动</w:t>
      </w:r>
      <w:r>
        <w:rPr>
          <w:rFonts w:hint="eastAsia" w:ascii="宋体" w:hAnsi="宋体" w:cs="宋体"/>
          <w:sz w:val="24"/>
          <w:szCs w:val="24"/>
          <w:lang w:eastAsia="zh-CN"/>
        </w:rPr>
        <w:t>，</w:t>
      </w:r>
      <w:r>
        <w:rPr>
          <w:rFonts w:hint="eastAsia" w:ascii="宋体" w:hAnsi="宋体" w:cs="宋体"/>
          <w:sz w:val="24"/>
          <w:szCs w:val="24"/>
        </w:rPr>
        <w:t>工程的施工单位全部为符合政策要求的中小企业（或者：服务全部由符合政策要求的中小企业承接）。相关企业（含联合体中的中小企业、签订分包意向协议的中小企业）的具体情况如下：</w:t>
      </w:r>
    </w:p>
    <w:p w14:paraId="368F2BB1">
      <w:pPr>
        <w:autoSpaceDE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14:paraId="72B8F042">
      <w:pPr>
        <w:autoSpaceDE w:val="0"/>
        <w:spacing w:line="500" w:lineRule="exact"/>
        <w:ind w:firstLine="480" w:firstLineChars="200"/>
        <w:rPr>
          <w:rFonts w:ascii="宋体" w:hAnsi="宋体" w:cs="宋体"/>
          <w:sz w:val="24"/>
          <w:szCs w:val="24"/>
        </w:rPr>
      </w:pPr>
      <w:r>
        <w:rPr>
          <w:rFonts w:hint="eastAsia" w:ascii="宋体" w:hAnsi="宋体" w:cs="宋体"/>
          <w:sz w:val="24"/>
          <w:szCs w:val="24"/>
        </w:rPr>
        <w:t>......</w:t>
      </w:r>
    </w:p>
    <w:p w14:paraId="3857B730">
      <w:pPr>
        <w:pStyle w:val="3"/>
        <w:autoSpaceDE w:val="0"/>
        <w:spacing w:after="0"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8378BB">
      <w:pPr>
        <w:pStyle w:val="3"/>
        <w:autoSpaceDE w:val="0"/>
        <w:spacing w:after="0" w:line="500" w:lineRule="exact"/>
        <w:ind w:firstLine="480" w:firstLineChars="200"/>
        <w:rPr>
          <w:rFonts w:ascii="宋体" w:hAnsi="宋体" w:cs="宋体"/>
          <w:bCs/>
          <w:sz w:val="24"/>
        </w:rPr>
      </w:pPr>
      <w:r>
        <w:rPr>
          <w:rFonts w:hint="eastAsia" w:ascii="宋体" w:hAnsi="宋体" w:cs="宋体"/>
          <w:sz w:val="24"/>
        </w:rPr>
        <w:t>本企业对上述声明内容的真实性负责。</w:t>
      </w:r>
      <w:r>
        <w:rPr>
          <w:rFonts w:hint="eastAsia" w:ascii="宋体" w:hAnsi="宋体" w:cs="宋体"/>
          <w:color w:val="auto"/>
          <w:sz w:val="24"/>
          <w:lang w:eastAsia="zh-CN"/>
        </w:rPr>
        <w:t xml:space="preserve"> </w:t>
      </w:r>
      <w:r>
        <w:rPr>
          <w:rFonts w:hint="default" w:ascii="宋体" w:hAnsi="宋体" w:cs="宋体"/>
          <w:bCs/>
          <w:color w:val="auto"/>
          <w:sz w:val="24"/>
          <w:lang w:val="en-US"/>
        </w:rPr>
        <w:t>如有虚假，</w:t>
      </w:r>
      <w:r>
        <w:rPr>
          <w:rFonts w:hint="default" w:ascii="宋体" w:hAnsi="宋体" w:cs="宋体"/>
          <w:bCs/>
          <w:color w:val="auto"/>
          <w:sz w:val="24"/>
          <w:lang w:val="en-US" w:eastAsia="zh-CN"/>
        </w:rPr>
        <w:t>将依法承担相应责任</w:t>
      </w:r>
      <w:r>
        <w:rPr>
          <w:rFonts w:hint="eastAsia" w:ascii="宋体" w:hAnsi="宋体" w:cs="宋体"/>
          <w:bCs/>
          <w:color w:val="auto"/>
          <w:sz w:val="24"/>
        </w:rPr>
        <w:t>。</w:t>
      </w:r>
    </w:p>
    <w:p w14:paraId="5B43181F">
      <w:pPr>
        <w:spacing w:line="480" w:lineRule="exact"/>
        <w:rPr>
          <w:rFonts w:ascii="宋体" w:hAnsi="宋体"/>
          <w:b/>
          <w:sz w:val="24"/>
          <w:szCs w:val="24"/>
        </w:rPr>
      </w:pPr>
    </w:p>
    <w:p w14:paraId="3C3C506C">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w:t>
      </w:r>
      <w:r>
        <w:rPr>
          <w:rFonts w:hint="eastAsia" w:ascii="宋体" w:hAnsi="宋体"/>
          <w:b/>
          <w:sz w:val="24"/>
          <w:szCs w:val="24"/>
        </w:rPr>
        <w:t>章：</w:t>
      </w:r>
      <w:r>
        <w:rPr>
          <w:rFonts w:ascii="宋体" w:hAnsi="宋体"/>
          <w:b/>
          <w:sz w:val="24"/>
          <w:szCs w:val="24"/>
          <w:u w:val="single"/>
        </w:rPr>
        <w:t xml:space="preserve">              </w:t>
      </w:r>
    </w:p>
    <w:p w14:paraId="6F10AF47">
      <w:pPr>
        <w:pStyle w:val="34"/>
        <w:ind w:firstLine="5180" w:firstLineChars="2150"/>
        <w:rPr>
          <w:rFonts w:ascii="宋体" w:hAnsi="宋体" w:cs="宋体"/>
          <w:szCs w:val="24"/>
        </w:rPr>
      </w:pPr>
      <w:r>
        <w:rPr>
          <w:rFonts w:hint="eastAsia" w:ascii="宋体" w:hAnsi="宋体"/>
          <w:b/>
          <w:szCs w:val="24"/>
        </w:rPr>
        <w:t xml:space="preserve">日 </w:t>
      </w:r>
      <w:r>
        <w:rPr>
          <w:rFonts w:ascii="宋体" w:hAnsi="宋体"/>
          <w:b/>
          <w:szCs w:val="24"/>
        </w:rPr>
        <w:t xml:space="preserve">  </w:t>
      </w:r>
      <w:r>
        <w:rPr>
          <w:rFonts w:hint="eastAsia" w:ascii="宋体" w:hAnsi="宋体"/>
          <w:b/>
          <w:szCs w:val="24"/>
        </w:rPr>
        <w:t xml:space="preserve"> 期：</w:t>
      </w:r>
    </w:p>
    <w:p w14:paraId="0D9361A8">
      <w:pPr>
        <w:pStyle w:val="34"/>
      </w:pPr>
    </w:p>
    <w:p w14:paraId="0B1DA173">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1、从业人员、营业收入、资产总额填报上一年度数据，无上一年度数据的新成立企业可不填报。</w:t>
      </w:r>
    </w:p>
    <w:p w14:paraId="442F275A">
      <w:pPr>
        <w:pStyle w:val="34"/>
        <w:spacing w:after="0" w:line="500" w:lineRule="exact"/>
        <w:ind w:firstLine="480" w:firstLineChars="200"/>
      </w:pPr>
      <w:r>
        <w:rPr>
          <w:rFonts w:hint="eastAsia"/>
        </w:rPr>
        <w:t>2、企业划型标准按照《关于印发中小企业划型标准规定的通知》（工信部联企业〔2011〕300号）规定执行。</w:t>
      </w:r>
    </w:p>
    <w:p w14:paraId="4DB35D8A">
      <w:pPr>
        <w:rPr>
          <w:rFonts w:hint="eastAsia" w:ascii="宋体" w:hAnsi="宋体"/>
          <w:b/>
          <w:bCs/>
          <w:sz w:val="24"/>
          <w:szCs w:val="24"/>
        </w:rPr>
      </w:pPr>
    </w:p>
    <w:p w14:paraId="62A48B42">
      <w:pPr>
        <w:rPr>
          <w:rStyle w:val="48"/>
          <w:rFonts w:hint="eastAsia" w:ascii="宋体" w:hAnsi="宋体" w:cs="宋体"/>
          <w:bCs/>
          <w:kern w:val="2"/>
          <w:sz w:val="24"/>
          <w:szCs w:val="24"/>
          <w:lang w:eastAsia="zh-CN"/>
        </w:rPr>
      </w:pPr>
    </w:p>
    <w:p w14:paraId="6803BB70">
      <w:pPr>
        <w:rPr>
          <w:rFonts w:ascii="宋体" w:hAnsi="宋体"/>
          <w:b/>
          <w:bCs/>
          <w:sz w:val="24"/>
          <w:szCs w:val="24"/>
        </w:rPr>
      </w:pPr>
      <w:r>
        <w:rPr>
          <w:rStyle w:val="48"/>
          <w:rFonts w:hint="eastAsia" w:ascii="宋体" w:hAnsi="宋体" w:cs="宋体"/>
          <w:bCs/>
          <w:kern w:val="2"/>
          <w:sz w:val="24"/>
          <w:szCs w:val="24"/>
          <w:lang w:eastAsia="zh-CN"/>
        </w:rPr>
        <w:t>备注：此件本项目不作要求</w:t>
      </w:r>
      <w:r>
        <w:rPr>
          <w:rFonts w:hint="eastAsia" w:ascii="宋体" w:hAnsi="宋体"/>
          <w:b/>
          <w:bCs/>
          <w:sz w:val="24"/>
          <w:szCs w:val="24"/>
        </w:rPr>
        <w:br w:type="page"/>
      </w:r>
    </w:p>
    <w:p w14:paraId="743170C4">
      <w:pPr>
        <w:pStyle w:val="6"/>
        <w:bidi w:val="0"/>
        <w:ind w:left="0" w:leftChars="0" w:right="0" w:rightChars="0" w:firstLine="0" w:firstLineChars="0"/>
        <w:jc w:val="center"/>
        <w:rPr>
          <w:rFonts w:hint="eastAsia" w:ascii="宋体" w:hAnsi="宋体" w:eastAsia="宋体" w:cs="宋体"/>
          <w:sz w:val="24"/>
          <w:szCs w:val="16"/>
        </w:rPr>
      </w:pPr>
      <w:bookmarkStart w:id="153" w:name="_Toc21587"/>
      <w:r>
        <w:rPr>
          <w:rFonts w:hint="eastAsia" w:ascii="宋体" w:hAnsi="宋体" w:eastAsia="宋体" w:cs="宋体"/>
          <w:sz w:val="24"/>
          <w:szCs w:val="16"/>
        </w:rPr>
        <w:t>残疾人福利性单位声明函</w:t>
      </w:r>
      <w:bookmarkEnd w:id="153"/>
    </w:p>
    <w:p w14:paraId="4431EB48">
      <w:pPr>
        <w:pStyle w:val="17"/>
        <w:spacing w:line="480" w:lineRule="exact"/>
        <w:jc w:val="center"/>
        <w:rPr>
          <w:rFonts w:ascii="宋体" w:hAnsi="宋体" w:eastAsia="宋体" w:cs="宋体"/>
          <w:bCs/>
          <w:sz w:val="24"/>
          <w:szCs w:val="24"/>
        </w:rPr>
      </w:pPr>
      <w:r>
        <w:rPr>
          <w:rFonts w:hint="eastAsia" w:ascii="宋体" w:hAnsi="宋体" w:eastAsia="宋体" w:cs="宋体"/>
          <w:bCs/>
          <w:sz w:val="24"/>
          <w:szCs w:val="24"/>
        </w:rPr>
        <w:t>（非残疾人福利性单位不需此件）</w:t>
      </w:r>
    </w:p>
    <w:p w14:paraId="4066019A">
      <w:pPr>
        <w:spacing w:line="480" w:lineRule="exact"/>
      </w:pPr>
    </w:p>
    <w:p w14:paraId="5EB96ECA">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Cs/>
          <w:sz w:val="24"/>
          <w:szCs w:val="24"/>
          <w:u w:val="single"/>
        </w:rPr>
        <w:t xml:space="preserve">     </w:t>
      </w:r>
      <w:r>
        <w:rPr>
          <w:rFonts w:hint="eastAsia" w:ascii="宋体" w:hAnsi="宋体"/>
          <w:bCs/>
          <w:sz w:val="24"/>
          <w:szCs w:val="24"/>
          <w:lang w:val="zh-CN"/>
        </w:rPr>
        <w:t>项目（项目编号：</w:t>
      </w:r>
      <w:r>
        <w:rPr>
          <w:rFonts w:hint="eastAsia" w:ascii="宋体" w:hAnsi="宋体"/>
          <w:bCs/>
          <w:sz w:val="24"/>
          <w:szCs w:val="24"/>
          <w:u w:val="single"/>
        </w:rPr>
        <w:t xml:space="preserve">     </w:t>
      </w:r>
      <w:r>
        <w:rPr>
          <w:rFonts w:hint="eastAsia" w:ascii="宋体" w:hAnsi="宋体"/>
          <w:bCs/>
          <w:sz w:val="24"/>
          <w:szCs w:val="24"/>
          <w:lang w:val="zh-CN"/>
        </w:rPr>
        <w:t>）采购活动由本单位提供服务。</w:t>
      </w:r>
    </w:p>
    <w:p w14:paraId="3B0F6A06">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本单位对上述声明的真实性负责。如有虚假，将依法承担相应责任。</w:t>
      </w:r>
    </w:p>
    <w:p w14:paraId="044C237C">
      <w:pPr>
        <w:spacing w:line="480" w:lineRule="exact"/>
        <w:rPr>
          <w:rFonts w:ascii="宋体" w:hAnsi="宋体"/>
          <w:bCs/>
          <w:sz w:val="24"/>
          <w:szCs w:val="24"/>
        </w:rPr>
      </w:pPr>
    </w:p>
    <w:p w14:paraId="012E7366">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盖章</w:t>
      </w:r>
      <w:r>
        <w:rPr>
          <w:rFonts w:hint="eastAsia" w:ascii="宋体" w:hAnsi="宋体"/>
          <w:b/>
          <w:sz w:val="24"/>
          <w:szCs w:val="24"/>
        </w:rPr>
        <w:t>：</w:t>
      </w:r>
      <w:r>
        <w:rPr>
          <w:rFonts w:ascii="宋体" w:hAnsi="宋体"/>
          <w:b/>
          <w:sz w:val="24"/>
          <w:szCs w:val="24"/>
          <w:u w:val="single"/>
        </w:rPr>
        <w:t xml:space="preserve">              </w:t>
      </w:r>
    </w:p>
    <w:p w14:paraId="67954AFF">
      <w:pPr>
        <w:tabs>
          <w:tab w:val="left" w:pos="4620"/>
        </w:tabs>
        <w:spacing w:line="480" w:lineRule="exact"/>
        <w:ind w:firstLine="5060" w:firstLineChars="2100"/>
        <w:rPr>
          <w:rFonts w:ascii="宋体" w:hAnsi="宋体"/>
          <w:b/>
          <w:bCs/>
          <w:sz w:val="24"/>
          <w:szCs w:val="24"/>
        </w:rPr>
      </w:pPr>
      <w:r>
        <w:rPr>
          <w:rFonts w:hint="eastAsia" w:ascii="宋体" w:hAnsi="宋体"/>
          <w:b/>
          <w:sz w:val="24"/>
          <w:szCs w:val="24"/>
        </w:rPr>
        <w:t xml:space="preserve">日 </w:t>
      </w:r>
      <w:r>
        <w:rPr>
          <w:rFonts w:ascii="宋体" w:hAnsi="宋体"/>
          <w:b/>
          <w:sz w:val="24"/>
          <w:szCs w:val="24"/>
        </w:rPr>
        <w:t xml:space="preserve">  </w:t>
      </w:r>
      <w:r>
        <w:rPr>
          <w:rFonts w:hint="eastAsia" w:ascii="宋体" w:hAnsi="宋体"/>
          <w:b/>
          <w:sz w:val="24"/>
          <w:szCs w:val="24"/>
        </w:rPr>
        <w:t xml:space="preserve"> 期：</w:t>
      </w:r>
      <w:r>
        <w:rPr>
          <w:rFonts w:ascii="宋体" w:hAnsi="宋体"/>
          <w:b/>
          <w:sz w:val="24"/>
          <w:szCs w:val="24"/>
          <w:u w:val="single"/>
        </w:rPr>
        <w:t xml:space="preserve">                     </w:t>
      </w:r>
    </w:p>
    <w:p w14:paraId="30CE31C0">
      <w:pPr>
        <w:pStyle w:val="6"/>
        <w:spacing w:before="0" w:after="0" w:line="560" w:lineRule="exact"/>
        <w:rPr>
          <w:rFonts w:hint="eastAsia" w:ascii="宋体" w:hAnsi="宋体" w:eastAsia="宋体" w:cs="宋体"/>
          <w:sz w:val="24"/>
          <w:szCs w:val="24"/>
        </w:rPr>
      </w:pPr>
      <w:bookmarkStart w:id="154" w:name="_Toc14089"/>
    </w:p>
    <w:p w14:paraId="4DB43D13">
      <w:pPr>
        <w:pStyle w:val="6"/>
        <w:spacing w:before="0" w:after="0" w:line="560" w:lineRule="exact"/>
        <w:rPr>
          <w:rFonts w:hint="eastAsia" w:ascii="宋体" w:hAnsi="宋体" w:eastAsia="宋体" w:cs="宋体"/>
          <w:sz w:val="24"/>
          <w:szCs w:val="24"/>
        </w:rPr>
      </w:pPr>
      <w:r>
        <w:rPr>
          <w:rStyle w:val="48"/>
          <w:rFonts w:hint="eastAsia" w:ascii="宋体" w:hAnsi="宋体" w:cs="宋体"/>
          <w:b/>
          <w:bCs/>
          <w:kern w:val="2"/>
          <w:sz w:val="24"/>
          <w:szCs w:val="24"/>
          <w:lang w:eastAsia="zh-CN"/>
        </w:rPr>
        <w:t>备注：此件本项目不作要求。</w:t>
      </w:r>
    </w:p>
    <w:p w14:paraId="03CFB030">
      <w:pPr>
        <w:pStyle w:val="6"/>
        <w:spacing w:before="0" w:after="0" w:line="560" w:lineRule="exact"/>
        <w:rPr>
          <w:rFonts w:hint="eastAsia" w:ascii="宋体" w:hAnsi="宋体" w:eastAsia="宋体" w:cs="宋体"/>
          <w:sz w:val="24"/>
          <w:szCs w:val="24"/>
        </w:rPr>
      </w:pPr>
    </w:p>
    <w:p w14:paraId="38E91203">
      <w:pPr>
        <w:rPr>
          <w:rFonts w:hint="eastAsia" w:ascii="宋体" w:hAnsi="宋体" w:eastAsia="宋体" w:cs="宋体"/>
          <w:sz w:val="24"/>
          <w:szCs w:val="24"/>
        </w:rPr>
      </w:pPr>
    </w:p>
    <w:p w14:paraId="65BC1AD9">
      <w:pPr>
        <w:pStyle w:val="2"/>
        <w:rPr>
          <w:rFonts w:hint="eastAsia" w:ascii="宋体" w:hAnsi="宋体" w:eastAsia="宋体" w:cs="宋体"/>
          <w:sz w:val="24"/>
          <w:szCs w:val="24"/>
        </w:rPr>
      </w:pPr>
    </w:p>
    <w:p w14:paraId="3871BF6B">
      <w:pPr>
        <w:pStyle w:val="3"/>
        <w:rPr>
          <w:rFonts w:hint="eastAsia" w:ascii="宋体" w:hAnsi="宋体" w:eastAsia="宋体" w:cs="宋体"/>
          <w:sz w:val="24"/>
          <w:szCs w:val="24"/>
        </w:rPr>
      </w:pPr>
    </w:p>
    <w:p w14:paraId="2BBB0C02">
      <w:pPr>
        <w:pStyle w:val="4"/>
        <w:rPr>
          <w:rFonts w:hint="eastAsia" w:ascii="宋体" w:hAnsi="宋体" w:eastAsia="宋体" w:cs="宋体"/>
          <w:sz w:val="24"/>
          <w:szCs w:val="24"/>
        </w:rPr>
      </w:pPr>
    </w:p>
    <w:p w14:paraId="223ECEC9">
      <w:pPr>
        <w:pStyle w:val="4"/>
        <w:rPr>
          <w:rFonts w:hint="eastAsia" w:ascii="宋体" w:hAnsi="宋体" w:eastAsia="宋体" w:cs="宋体"/>
          <w:sz w:val="24"/>
          <w:szCs w:val="24"/>
        </w:rPr>
      </w:pPr>
    </w:p>
    <w:p w14:paraId="2E2B6E13">
      <w:pPr>
        <w:pStyle w:val="6"/>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八</w:t>
      </w:r>
      <w:bookmarkEnd w:id="154"/>
    </w:p>
    <w:p w14:paraId="71DC5A83">
      <w:pPr>
        <w:rPr>
          <w:rFonts w:ascii="宋体" w:hAnsi="宋体"/>
          <w:b/>
          <w:sz w:val="24"/>
          <w:szCs w:val="28"/>
        </w:rPr>
      </w:pPr>
    </w:p>
    <w:p w14:paraId="76FC6C81">
      <w:pPr>
        <w:rPr>
          <w:rFonts w:ascii="宋体" w:hAnsi="宋体"/>
          <w:b/>
          <w:sz w:val="24"/>
          <w:szCs w:val="28"/>
        </w:rPr>
      </w:pPr>
    </w:p>
    <w:p w14:paraId="0C5D7840">
      <w:pPr>
        <w:jc w:val="center"/>
        <w:rPr>
          <w:rFonts w:ascii="宋体" w:hAnsi="宋体" w:eastAsia="宋体" w:cs="宋体"/>
          <w:b w:val="0"/>
          <w:bCs/>
          <w:sz w:val="24"/>
          <w:szCs w:val="24"/>
        </w:rPr>
      </w:pPr>
      <w:bookmarkStart w:id="155" w:name="_Toc30670"/>
      <w:bookmarkStart w:id="156" w:name="_Toc28850"/>
      <w:bookmarkStart w:id="157" w:name="_Toc28453"/>
      <w:r>
        <w:rPr>
          <w:rFonts w:hint="eastAsia" w:ascii="宋体" w:hAnsi="宋体" w:eastAsia="宋体" w:cs="宋体"/>
          <w:b w:val="0"/>
          <w:bCs/>
          <w:sz w:val="24"/>
          <w:szCs w:val="24"/>
        </w:rPr>
        <w:t>谈判文件要求和供应商认为需要提供的其它说明和资料</w:t>
      </w:r>
      <w:bookmarkEnd w:id="155"/>
      <w:bookmarkEnd w:id="156"/>
      <w:bookmarkEnd w:id="157"/>
    </w:p>
    <w:p w14:paraId="1D283D94">
      <w:pPr>
        <w:rPr>
          <w:rFonts w:hAnsi="宋体" w:cs="宋体"/>
          <w:sz w:val="24"/>
          <w:szCs w:val="32"/>
        </w:rPr>
        <w:sectPr>
          <w:pgSz w:w="11906" w:h="16838"/>
          <w:pgMar w:top="1440" w:right="1531" w:bottom="1440" w:left="1531" w:header="851" w:footer="992" w:gutter="0"/>
          <w:pgNumType w:fmt="decimal"/>
          <w:cols w:space="425" w:num="1"/>
          <w:docGrid w:type="lines" w:linePitch="312" w:charSpace="0"/>
        </w:sectPr>
      </w:pPr>
    </w:p>
    <w:p w14:paraId="3A667222">
      <w:pPr>
        <w:pStyle w:val="6"/>
        <w:pageBreakBefore w:val="0"/>
        <w:kinsoku/>
        <w:overflowPunct/>
        <w:topLinePunct w:val="0"/>
        <w:bidi w:val="0"/>
        <w:spacing w:before="0" w:after="0" w:line="500" w:lineRule="exact"/>
        <w:rPr>
          <w:rStyle w:val="100"/>
          <w:rFonts w:ascii="宋体" w:hAnsi="宋体" w:eastAsia="宋体" w:cs="宋体"/>
          <w:b/>
          <w:sz w:val="24"/>
          <w:szCs w:val="24"/>
        </w:rPr>
      </w:pPr>
      <w:bookmarkStart w:id="158" w:name="_Toc23763"/>
      <w:bookmarkStart w:id="159" w:name="_Toc5314"/>
      <w:r>
        <w:rPr>
          <w:rFonts w:hint="eastAsia" w:ascii="宋体" w:hAnsi="宋体" w:eastAsia="宋体" w:cs="宋体"/>
          <w:sz w:val="24"/>
          <w:szCs w:val="24"/>
        </w:rPr>
        <w:t>附件九</w:t>
      </w:r>
      <w:bookmarkEnd w:id="158"/>
      <w:bookmarkEnd w:id="159"/>
      <w:r>
        <w:rPr>
          <w:rFonts w:hint="eastAsia" w:ascii="宋体" w:hAnsi="宋体" w:eastAsia="宋体" w:cs="宋体"/>
          <w:sz w:val="24"/>
          <w:szCs w:val="24"/>
          <w:lang w:val="en-US" w:eastAsia="zh-CN"/>
        </w:rPr>
        <w:t xml:space="preserve">                      </w:t>
      </w:r>
    </w:p>
    <w:p w14:paraId="45DDF4F3">
      <w:pPr>
        <w:pageBreakBefore w:val="0"/>
        <w:kinsoku/>
        <w:overflowPunct/>
        <w:topLinePunct w:val="0"/>
        <w:bidi w:val="0"/>
        <w:spacing w:line="50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2B9A0737">
      <w:pPr>
        <w:pageBreakBefore w:val="0"/>
        <w:widowControl w:val="0"/>
        <w:tabs>
          <w:tab w:val="left" w:pos="1663"/>
        </w:tabs>
        <w:kinsoku/>
        <w:overflowPunct/>
        <w:topLinePunct w:val="0"/>
        <w:autoSpaceDE w:val="0"/>
        <w:autoSpaceDN w:val="0"/>
        <w:bidi w:val="0"/>
        <w:spacing w:before="0" w:after="0" w:line="500" w:lineRule="exact"/>
        <w:ind w:left="96" w:right="0"/>
        <w:jc w:val="center"/>
        <w:outlineLvl w:val="3"/>
        <w:rPr>
          <w:rFonts w:ascii="宋体" w:hAnsi="宋体" w:eastAsia="宋体" w:cs="宋体"/>
          <w:b/>
          <w:sz w:val="12"/>
          <w:szCs w:val="24"/>
          <w:lang w:val="zh-CN" w:eastAsia="zh-CN" w:bidi="zh-CN"/>
        </w:rPr>
      </w:pPr>
      <w:r>
        <w:rPr>
          <w:rFonts w:hint="eastAsia" w:ascii="宋体" w:hAnsi="宋体" w:cs="宋体"/>
          <w:b w:val="0"/>
          <w:bCs w:val="0"/>
          <w:sz w:val="24"/>
          <w:szCs w:val="24"/>
          <w:lang w:val="en-US" w:eastAsia="zh-CN" w:bidi="zh-CN"/>
        </w:rPr>
        <w:t>(或</w:t>
      </w:r>
      <w:r>
        <w:rPr>
          <w:rFonts w:ascii="宋体" w:hAnsi="宋体" w:eastAsia="宋体" w:cs="宋体"/>
          <w:b w:val="0"/>
          <w:bCs w:val="0"/>
          <w:sz w:val="24"/>
          <w:szCs w:val="24"/>
          <w:lang w:val="zh-CN" w:eastAsia="zh-CN" w:bidi="zh-CN"/>
        </w:rPr>
        <w:t>第</w:t>
      </w:r>
      <w:r>
        <w:rPr>
          <w:rFonts w:ascii="宋体" w:hAnsi="宋体" w:eastAsia="宋体" w:cs="宋体"/>
          <w:b w:val="0"/>
          <w:bCs w:val="0"/>
          <w:sz w:val="24"/>
          <w:szCs w:val="24"/>
          <w:u w:val="single"/>
          <w:lang w:val="zh-CN" w:eastAsia="zh-CN" w:bidi="zh-CN"/>
        </w:rPr>
        <w:t xml:space="preserve"> </w:t>
      </w:r>
      <w:r>
        <w:rPr>
          <w:rFonts w:hint="eastAsia" w:ascii="宋体" w:hAnsi="宋体" w:cs="宋体"/>
          <w:b w:val="0"/>
          <w:bCs w:val="0"/>
          <w:sz w:val="24"/>
          <w:szCs w:val="24"/>
          <w:u w:val="single"/>
          <w:lang w:val="en-US"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58C9B0CC">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FC30A04">
      <w:pPr>
        <w:pageBreakBefore w:val="0"/>
        <w:widowControl w:val="0"/>
        <w:tabs>
          <w:tab w:val="left" w:pos="2992"/>
        </w:tabs>
        <w:kinsoku/>
        <w:overflowPunct/>
        <w:topLinePunct w:val="0"/>
        <w:autoSpaceDE w:val="0"/>
        <w:autoSpaceDN w:val="0"/>
        <w:bidi w:val="0"/>
        <w:spacing w:before="74" w:after="0" w:line="500" w:lineRule="exact"/>
        <w:ind w:left="220" w:right="5891"/>
        <w:jc w:val="left"/>
        <w:outlineLvl w:val="3"/>
        <w:rPr>
          <w:rFonts w:ascii="宋体" w:hAnsi="宋体" w:eastAsia="宋体" w:cs="宋体"/>
          <w:b/>
          <w:sz w:val="12"/>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107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2461" w:type="dxa"/>
            <w:noWrap w:val="0"/>
            <w:vAlign w:val="top"/>
          </w:tcPr>
          <w:p w14:paraId="103C3620">
            <w:pPr>
              <w:keepNext w:val="0"/>
              <w:keepLines w:val="0"/>
              <w:pageBreakBefore w:val="0"/>
              <w:widowControl w:val="0"/>
              <w:suppressLineNumbers w:val="0"/>
              <w:kinsoku/>
              <w:overflowPunct/>
              <w:topLinePunct w:val="0"/>
              <w:autoSpaceDE w:val="0"/>
              <w:autoSpaceDN w:val="0"/>
              <w:bidi w:val="0"/>
              <w:spacing w:before="177"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供应商名称</w:t>
            </w:r>
          </w:p>
        </w:tc>
        <w:tc>
          <w:tcPr>
            <w:tcW w:w="6064" w:type="dxa"/>
            <w:noWrap w:val="0"/>
            <w:vAlign w:val="top"/>
          </w:tcPr>
          <w:p w14:paraId="5F5115C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p>
        </w:tc>
      </w:tr>
      <w:tr w14:paraId="4968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trPr>
        <w:tc>
          <w:tcPr>
            <w:tcW w:w="2461" w:type="dxa"/>
            <w:noWrap w:val="0"/>
            <w:vAlign w:val="top"/>
          </w:tcPr>
          <w:p w14:paraId="40D5D830">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2A8A4556">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5" w:right="237"/>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en-US" w:eastAsia="zh-CN" w:bidi="zh-CN"/>
              </w:rPr>
              <w:t>谈判</w:t>
            </w:r>
            <w:r>
              <w:rPr>
                <w:rFonts w:hint="eastAsia" w:ascii="宋体" w:hAnsi="宋体" w:eastAsia="宋体" w:cs="宋体"/>
                <w:b/>
                <w:sz w:val="24"/>
                <w:szCs w:val="24"/>
                <w:lang w:val="zh-CN" w:eastAsia="zh-CN" w:bidi="zh-CN"/>
              </w:rPr>
              <w:t>范围</w:t>
            </w:r>
          </w:p>
        </w:tc>
        <w:tc>
          <w:tcPr>
            <w:tcW w:w="6064" w:type="dxa"/>
            <w:noWrap w:val="0"/>
            <w:vAlign w:val="top"/>
          </w:tcPr>
          <w:p w14:paraId="048BE9C2">
            <w:pPr>
              <w:keepNext w:val="0"/>
              <w:keepLines w:val="0"/>
              <w:pageBreakBefore w:val="0"/>
              <w:widowControl w:val="0"/>
              <w:suppressLineNumbers w:val="0"/>
              <w:kinsoku/>
              <w:overflowPunct/>
              <w:topLinePunct w:val="0"/>
              <w:autoSpaceDE w:val="0"/>
              <w:autoSpaceDN w:val="0"/>
              <w:bidi w:val="0"/>
              <w:spacing w:before="11" w:beforeAutospacing="0" w:after="0" w:afterAutospacing="0" w:line="500" w:lineRule="exact"/>
              <w:ind w:left="0" w:right="0"/>
              <w:jc w:val="left"/>
              <w:rPr>
                <w:rFonts w:hint="eastAsia" w:ascii="宋体" w:hAnsi="宋体" w:eastAsia="宋体" w:cs="宋体"/>
                <w:b/>
                <w:sz w:val="24"/>
                <w:szCs w:val="24"/>
                <w:lang w:val="zh-CN" w:eastAsia="zh-CN" w:bidi="zh-CN"/>
              </w:rPr>
            </w:pPr>
          </w:p>
          <w:p w14:paraId="02497361">
            <w:pPr>
              <w:keepNext w:val="0"/>
              <w:keepLines w:val="0"/>
              <w:pageBreakBefore w:val="0"/>
              <w:widowControl w:val="0"/>
              <w:suppressLineNumbers w:val="0"/>
              <w:tabs>
                <w:tab w:val="left" w:pos="1547"/>
              </w:tabs>
              <w:kinsoku/>
              <w:overflowPunct/>
              <w:topLinePunct w:val="0"/>
              <w:autoSpaceDE w:val="0"/>
              <w:autoSpaceDN w:val="0"/>
              <w:bidi w:val="0"/>
              <w:spacing w:before="0" w:beforeAutospacing="0" w:after="0" w:afterAutospacing="0" w:line="500" w:lineRule="exact"/>
              <w:ind w:left="107"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全部 </w:t>
            </w:r>
          </w:p>
        </w:tc>
      </w:tr>
      <w:tr w14:paraId="67DF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1" w:hRule="atLeast"/>
        </w:trPr>
        <w:tc>
          <w:tcPr>
            <w:tcW w:w="2461" w:type="dxa"/>
            <w:noWrap w:val="0"/>
            <w:vAlign w:val="top"/>
          </w:tcPr>
          <w:p w14:paraId="4F0946D6">
            <w:pPr>
              <w:keepNext w:val="0"/>
              <w:keepLines w:val="0"/>
              <w:pageBreakBefore w:val="0"/>
              <w:widowControl w:val="0"/>
              <w:suppressLineNumbers w:val="0"/>
              <w:kinsoku/>
              <w:overflowPunct/>
              <w:topLinePunct w:val="0"/>
              <w:autoSpaceDE w:val="0"/>
              <w:autoSpaceDN w:val="0"/>
              <w:bidi w:val="0"/>
              <w:spacing w:before="7" w:beforeAutospacing="0" w:after="0" w:afterAutospacing="0" w:line="500" w:lineRule="exact"/>
              <w:ind w:left="0" w:right="0"/>
              <w:jc w:val="left"/>
              <w:rPr>
                <w:rFonts w:hint="eastAsia" w:ascii="宋体" w:hAnsi="宋体" w:eastAsia="宋体" w:cs="宋体"/>
                <w:b/>
                <w:sz w:val="24"/>
                <w:szCs w:val="24"/>
                <w:lang w:val="zh-CN" w:eastAsia="zh-CN" w:bidi="zh-CN"/>
              </w:rPr>
            </w:pPr>
          </w:p>
          <w:p w14:paraId="7B225B6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报</w:t>
            </w:r>
            <w:r>
              <w:rPr>
                <w:rFonts w:hint="eastAsia" w:ascii="宋体" w:hAnsi="宋体" w:cs="宋体"/>
                <w:b/>
                <w:sz w:val="24"/>
                <w:szCs w:val="24"/>
                <w:lang w:val="en-US" w:eastAsia="zh-CN" w:bidi="zh-CN"/>
              </w:rPr>
              <w:t xml:space="preserve">   </w:t>
            </w:r>
            <w:r>
              <w:rPr>
                <w:rFonts w:hint="eastAsia" w:ascii="宋体" w:hAnsi="宋体" w:eastAsia="宋体" w:cs="宋体"/>
                <w:b/>
                <w:sz w:val="24"/>
                <w:szCs w:val="24"/>
                <w:lang w:val="zh-CN" w:eastAsia="zh-CN" w:bidi="zh-CN"/>
              </w:rPr>
              <w:t>价</w:t>
            </w:r>
          </w:p>
          <w:p w14:paraId="6CCF49CB">
            <w:pPr>
              <w:keepNext w:val="0"/>
              <w:keepLines w:val="0"/>
              <w:pageBreakBefore w:val="0"/>
              <w:widowControl w:val="0"/>
              <w:suppressLineNumbers w:val="0"/>
              <w:kinsoku/>
              <w:overflowPunct/>
              <w:topLinePunct w:val="0"/>
              <w:autoSpaceDE w:val="0"/>
              <w:autoSpaceDN w:val="0"/>
              <w:bidi w:val="0"/>
              <w:spacing w:before="161" w:beforeAutospacing="0" w:after="0" w:afterAutospacing="0" w:line="500" w:lineRule="exact"/>
              <w:ind w:left="245"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（详见备注说明）</w:t>
            </w:r>
          </w:p>
        </w:tc>
        <w:tc>
          <w:tcPr>
            <w:tcW w:w="6064" w:type="dxa"/>
            <w:noWrap w:val="0"/>
            <w:vAlign w:val="top"/>
          </w:tcPr>
          <w:p w14:paraId="3597D304">
            <w:pPr>
              <w:keepNext w:val="0"/>
              <w:keepLines w:val="0"/>
              <w:pageBreakBefore w:val="0"/>
              <w:widowControl w:val="0"/>
              <w:suppressLineNumbers w:val="0"/>
              <w:kinsoku/>
              <w:overflowPunct/>
              <w:topLinePunct w:val="0"/>
              <w:autoSpaceDE w:val="0"/>
              <w:autoSpaceDN w:val="0"/>
              <w:bidi w:val="0"/>
              <w:spacing w:before="9" w:beforeAutospacing="0" w:after="0" w:afterAutospacing="0" w:line="500" w:lineRule="exact"/>
              <w:ind w:left="0" w:right="0"/>
              <w:jc w:val="left"/>
              <w:rPr>
                <w:rFonts w:hint="eastAsia" w:ascii="宋体" w:hAnsi="宋体" w:eastAsia="宋体" w:cs="宋体"/>
                <w:b/>
                <w:sz w:val="24"/>
                <w:szCs w:val="24"/>
                <w:lang w:val="zh-CN" w:eastAsia="zh-CN" w:bidi="zh-CN"/>
              </w:rPr>
            </w:pPr>
          </w:p>
          <w:p w14:paraId="09363331">
            <w:pPr>
              <w:keepNext w:val="0"/>
              <w:keepLines w:val="0"/>
              <w:pageBreakBefore w:val="0"/>
              <w:widowControl w:val="0"/>
              <w:suppressLineNumbers w:val="0"/>
              <w:tabs>
                <w:tab w:val="left" w:pos="4482"/>
              </w:tabs>
              <w:kinsoku/>
              <w:overflowPunct/>
              <w:topLinePunct w:val="0"/>
              <w:autoSpaceDE w:val="0"/>
              <w:autoSpaceDN w:val="0"/>
              <w:bidi w:val="0"/>
              <w:spacing w:before="0" w:beforeAutospacing="0" w:after="0" w:afterAutospacing="0" w:line="500" w:lineRule="exact"/>
              <w:ind w:right="0" w:firstLine="240" w:firstLineChars="100"/>
              <w:jc w:val="left"/>
              <w:rPr>
                <w:rFonts w:hint="eastAsia" w:ascii="宋体" w:hAnsi="宋体" w:eastAsia="宋体" w:cs="宋体"/>
                <w:sz w:val="24"/>
                <w:szCs w:val="24"/>
                <w:lang w:val="zh-CN" w:eastAsia="zh-CN" w:bidi="zh-CN"/>
              </w:rPr>
            </w:pPr>
            <w:r>
              <w:rPr>
                <w:rFonts w:hint="eastAsia" w:ascii="宋体" w:hAnsi="宋体" w:cs="宋体"/>
                <w:color w:val="auto"/>
                <w:sz w:val="24"/>
                <w:szCs w:val="24"/>
                <w:u w:val="none"/>
                <w:lang w:val="en-US" w:eastAsia="zh-CN"/>
              </w:rPr>
              <w:t>批复项目总投资的</w:t>
            </w:r>
            <w:r>
              <w:rPr>
                <w:rFonts w:hint="eastAsia" w:ascii="宋体" w:hAnsi="宋体" w:cs="宋体"/>
                <w:color w:val="auto"/>
                <w:sz w:val="24"/>
                <w:szCs w:val="24"/>
                <w:u w:val="single"/>
                <w:lang w:val="en-US" w:eastAsia="zh-CN"/>
              </w:rPr>
              <w:t xml:space="preserve">        %</w:t>
            </w:r>
          </w:p>
        </w:tc>
      </w:tr>
      <w:tr w14:paraId="1099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461" w:type="dxa"/>
            <w:noWrap w:val="0"/>
            <w:vAlign w:val="top"/>
          </w:tcPr>
          <w:p w14:paraId="3AFC75C8">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p>
          <w:p w14:paraId="472AEF20">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243" w:right="238"/>
              <w:jc w:val="center"/>
              <w:rPr>
                <w:rFonts w:hint="eastAsia" w:ascii="宋体" w:hAnsi="宋体" w:eastAsia="宋体" w:cs="宋体"/>
                <w:b/>
                <w:sz w:val="24"/>
                <w:szCs w:val="24"/>
                <w:lang w:val="zh-CN" w:eastAsia="zh-CN" w:bidi="zh-CN"/>
              </w:rPr>
            </w:pPr>
            <w:r>
              <w:rPr>
                <w:rFonts w:hint="eastAsia" w:ascii="宋体" w:hAnsi="宋体" w:eastAsia="宋体" w:cs="宋体"/>
                <w:b/>
                <w:sz w:val="24"/>
                <w:szCs w:val="24"/>
                <w:lang w:val="zh-CN" w:eastAsia="zh-CN" w:bidi="zh-CN"/>
              </w:rPr>
              <w:t>备注说明</w:t>
            </w:r>
          </w:p>
        </w:tc>
        <w:tc>
          <w:tcPr>
            <w:tcW w:w="6064" w:type="dxa"/>
            <w:noWrap w:val="0"/>
            <w:vAlign w:val="top"/>
          </w:tcPr>
          <w:p w14:paraId="3957A11C">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 xml:space="preserve">上述报价包含完成本项目范围内工作内容的全部费用，该费用不再调整。 </w:t>
            </w:r>
          </w:p>
          <w:p w14:paraId="2D43DB7B">
            <w:pPr>
              <w:keepNext w:val="0"/>
              <w:keepLines w:val="0"/>
              <w:pageBreakBefore w:val="0"/>
              <w:widowControl w:val="0"/>
              <w:suppressLineNumbers w:val="0"/>
              <w:kinsoku/>
              <w:overflowPunct/>
              <w:topLinePunct w:val="0"/>
              <w:autoSpaceDE w:val="0"/>
              <w:autoSpaceDN w:val="0"/>
              <w:bidi w:val="0"/>
              <w:spacing w:before="0" w:beforeAutospacing="0" w:after="0" w:afterAutospacing="0" w:line="500" w:lineRule="exact"/>
              <w:ind w:left="0" w:right="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2、其他部分与响应文件内容一致。</w:t>
            </w:r>
          </w:p>
        </w:tc>
      </w:tr>
    </w:tbl>
    <w:p w14:paraId="4D60715B">
      <w:pPr>
        <w:pageBreakBefore w:val="0"/>
        <w:widowControl w:val="0"/>
        <w:kinsoku/>
        <w:overflowPunct/>
        <w:topLinePunct w:val="0"/>
        <w:autoSpaceDE w:val="0"/>
        <w:autoSpaceDN w:val="0"/>
        <w:bidi w:val="0"/>
        <w:spacing w:before="79" w:after="0" w:line="500" w:lineRule="exact"/>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046BAF61">
      <w:pPr>
        <w:pageBreakBefore w:val="0"/>
        <w:widowControl w:val="0"/>
        <w:tabs>
          <w:tab w:val="left" w:pos="5861"/>
          <w:tab w:val="left" w:pos="8556"/>
        </w:tabs>
        <w:kinsoku/>
        <w:overflowPunct/>
        <w:topLinePunct w:val="0"/>
        <w:autoSpaceDE w:val="0"/>
        <w:autoSpaceDN w:val="0"/>
        <w:bidi w:val="0"/>
        <w:spacing w:before="160" w:after="0" w:line="500" w:lineRule="exact"/>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0E5F1D09">
      <w:pPr>
        <w:pageBreakBefore w:val="0"/>
        <w:kinsoku/>
        <w:overflowPunct/>
        <w:topLinePunct w:val="0"/>
        <w:bidi w:val="0"/>
        <w:spacing w:line="500" w:lineRule="exact"/>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本页《最终承包报价书（第</w:t>
      </w:r>
      <w:r>
        <w:rPr>
          <w:rFonts w:hint="eastAsia" w:asciiTheme="minorEastAsia" w:hAnsiTheme="minorEastAsia" w:eastAsiaTheme="minorEastAsia" w:cstheme="minorEastAsia"/>
          <w:b/>
          <w:bCs/>
          <w:sz w:val="24"/>
          <w:szCs w:val="22"/>
          <w:u w:val="single"/>
          <w:lang w:val="zh-CN" w:eastAsia="zh-CN"/>
        </w:rPr>
        <w:t xml:space="preserve">    </w:t>
      </w:r>
      <w:r>
        <w:rPr>
          <w:rFonts w:hint="eastAsia" w:asciiTheme="minorEastAsia" w:hAnsiTheme="minorEastAsia" w:eastAsiaTheme="minorEastAsia" w:cstheme="minorEastAsia"/>
          <w:b/>
          <w:bCs/>
          <w:sz w:val="24"/>
          <w:szCs w:val="22"/>
          <w:u w:val="single"/>
          <w:lang w:val="zh-CN" w:eastAsia="zh-CN"/>
        </w:rPr>
        <w:tab/>
      </w:r>
      <w:r>
        <w:rPr>
          <w:rFonts w:hint="eastAsia" w:asciiTheme="minorEastAsia" w:hAnsiTheme="minorEastAsia" w:eastAsiaTheme="minorEastAsia" w:cstheme="minorEastAsia"/>
          <w:b/>
          <w:bCs/>
          <w:sz w:val="24"/>
          <w:szCs w:val="22"/>
          <w:lang w:val="zh-CN" w:eastAsia="zh-CN"/>
        </w:rPr>
        <w:t>次报价书）》由供应商在现场依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w:t>
      </w:r>
      <w:r>
        <w:rPr>
          <w:rFonts w:hint="eastAsia" w:ascii="宋体" w:hAnsi="宋体" w:eastAsia="宋体" w:cs="宋体"/>
          <w:b/>
          <w:color w:val="auto"/>
          <w:sz w:val="24"/>
          <w:szCs w:val="24"/>
          <w:highlight w:val="none"/>
        </w:rPr>
        <w:t>（勿需装订在谈判文件内）</w:t>
      </w:r>
      <w:r>
        <w:rPr>
          <w:rFonts w:hint="eastAsia" w:ascii="宋体" w:hAnsi="宋体" w:eastAsia="宋体" w:cs="宋体"/>
          <w:b/>
          <w:color w:val="auto"/>
          <w:sz w:val="24"/>
          <w:szCs w:val="24"/>
          <w:highlight w:val="none"/>
          <w:lang w:eastAsia="zh-CN"/>
        </w:rPr>
        <w:t>，</w:t>
      </w:r>
      <w:r>
        <w:rPr>
          <w:rFonts w:hint="eastAsia" w:asciiTheme="minorEastAsia" w:hAnsiTheme="minorEastAsia" w:eastAsiaTheme="minorEastAsia" w:cstheme="minorEastAsia"/>
          <w:b/>
          <w:bCs/>
          <w:sz w:val="24"/>
          <w:szCs w:val="22"/>
          <w:lang w:val="zh-CN" w:eastAsia="zh-CN"/>
        </w:rPr>
        <w:t>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w:t>
      </w:r>
    </w:p>
    <w:p w14:paraId="62233294">
      <w:pPr>
        <w:pageBreakBefore w:val="0"/>
        <w:numPr>
          <w:ilvl w:val="0"/>
          <w:numId w:val="0"/>
        </w:numPr>
        <w:kinsoku/>
        <w:overflowPunct/>
        <w:topLinePunct w:val="0"/>
        <w:bidi w:val="0"/>
        <w:spacing w:line="500" w:lineRule="exact"/>
        <w:rPr>
          <w:bCs/>
          <w:color w:val="auto"/>
        </w:rPr>
      </w:pPr>
      <w:r>
        <w:rPr>
          <w:rFonts w:hint="eastAsia" w:ascii="宋体" w:hAnsi="宋体" w:eastAsia="宋体" w:cs="宋体"/>
          <w:b/>
          <w:color w:val="auto"/>
          <w:kern w:val="2"/>
          <w:sz w:val="24"/>
          <w:szCs w:val="24"/>
          <w:lang w:val="en-US" w:eastAsia="zh-CN" w:bidi="ar-SA"/>
        </w:rPr>
        <w:t>2、</w:t>
      </w:r>
      <w:r>
        <w:rPr>
          <w:rFonts w:hint="eastAsia" w:ascii="宋体" w:hAnsi="宋体" w:eastAsia="宋体" w:cs="宋体"/>
          <w:b/>
          <w:color w:val="auto"/>
          <w:kern w:val="2"/>
          <w:sz w:val="24"/>
          <w:szCs w:val="24"/>
          <w:highlight w:val="none"/>
          <w:lang w:val="en-US" w:eastAsia="zh-CN" w:bidi="ar-SA"/>
        </w:rPr>
        <w:t>最终报价为</w:t>
      </w:r>
      <w:r>
        <w:rPr>
          <w:rFonts w:hint="eastAsia" w:ascii="宋体" w:hAnsi="宋体" w:cs="宋体"/>
          <w:b/>
          <w:color w:val="auto"/>
          <w:kern w:val="2"/>
          <w:sz w:val="24"/>
          <w:szCs w:val="24"/>
          <w:highlight w:val="none"/>
          <w:lang w:val="en-US" w:eastAsia="zh-CN" w:bidi="ar-SA"/>
        </w:rPr>
        <w:t>费率报价</w:t>
      </w:r>
      <w:r>
        <w:rPr>
          <w:rFonts w:hint="eastAsia" w:ascii="宋体" w:hAnsi="宋体" w:eastAsia="宋体" w:cs="宋体"/>
          <w:b/>
          <w:color w:val="auto"/>
          <w:kern w:val="2"/>
          <w:sz w:val="24"/>
          <w:szCs w:val="24"/>
          <w:highlight w:val="none"/>
          <w:lang w:val="en-US" w:eastAsia="zh-CN" w:bidi="ar-SA"/>
        </w:rPr>
        <w:t>，最多保留</w:t>
      </w:r>
      <w:r>
        <w:rPr>
          <w:rFonts w:hint="eastAsia" w:ascii="宋体" w:hAnsi="宋体" w:cs="宋体"/>
          <w:b/>
          <w:color w:val="auto"/>
          <w:kern w:val="2"/>
          <w:sz w:val="24"/>
          <w:szCs w:val="24"/>
          <w:highlight w:val="none"/>
          <w:lang w:val="en-US" w:eastAsia="zh-CN" w:bidi="ar-SA"/>
        </w:rPr>
        <w:t>小数点后</w:t>
      </w:r>
      <w:r>
        <w:rPr>
          <w:rFonts w:hint="eastAsia" w:ascii="宋体" w:hAnsi="宋体" w:eastAsia="宋体" w:cs="宋体"/>
          <w:b/>
          <w:color w:val="auto"/>
          <w:kern w:val="2"/>
          <w:sz w:val="24"/>
          <w:szCs w:val="24"/>
          <w:highlight w:val="none"/>
          <w:lang w:val="en-US" w:eastAsia="zh-CN" w:bidi="ar-SA"/>
        </w:rPr>
        <w:t>两位。</w:t>
      </w:r>
    </w:p>
    <w:p w14:paraId="3B9B2DDD">
      <w:pPr>
        <w:rPr>
          <w:rFonts w:hAnsi="宋体" w:cs="宋体"/>
          <w:sz w:val="24"/>
          <w:szCs w:val="32"/>
        </w:rPr>
      </w:pPr>
    </w:p>
    <w:sectPr>
      <w:headerReference r:id="rId11" w:type="default"/>
      <w:footerReference r:id="rId13" w:type="default"/>
      <w:headerReference r:id="rId12" w:type="even"/>
      <w:footerReference r:id="rId14" w:type="even"/>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DotumChe">
    <w:altName w:val="Times New Roman"/>
    <w:panose1 w:val="020B0609000101010101"/>
    <w:charset w:val="81"/>
    <w:family w:val="moder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963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9181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10C9181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FD56">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A4A00">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5ABA4A00">
                    <w:pPr>
                      <w:pStyle w:val="2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2E3C3F">
                          <w:pPr>
                            <w:pStyle w:val="2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62E3C3F">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6A0F">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9F2B1A">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D08s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2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V0PTyzwEAAKoDAAAOAAAAAAAAAAEAIAAAAB4BAABkcnMv&#10;ZTJvRG9jLnhtbFBLBQYAAAAABgAGAFkBAABfBQAAAAA=&#10;">
              <v:fill on="f" focussize="0,0"/>
              <v:stroke on="f"/>
              <v:imagedata o:title=""/>
              <o:lock v:ext="edit" aspectratio="f"/>
              <v:textbox inset="0mm,0mm,0mm,0mm" style="mso-fit-shape-to-text:t;">
                <w:txbxContent>
                  <w:p w14:paraId="5E9F2B1A">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D3FA">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78B600">
                          <w:pPr>
                            <w:pStyle w:val="20"/>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QY0Hs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QY0HsoBAACcAwAADgAAAAAAAAABACAAAAAeAQAAZHJzL2Uyb0Rv&#10;Yy54bWxQSwUGAAAAAAYABgBZAQAAWgUAAAAA&#10;">
              <v:fill on="f" focussize="0,0"/>
              <v:stroke on="f"/>
              <v:imagedata o:title=""/>
              <o:lock v:ext="edit" aspectratio="f"/>
              <v:textbox inset="0mm,0mm,0mm,0mm" style="mso-fit-shape-to-text:t;">
                <w:txbxContent>
                  <w:p w14:paraId="4078B600">
                    <w:pPr>
                      <w:pStyle w:val="2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B6C3A">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09D2216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DB70">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DC7CC">
                          <w:pPr>
                            <w:pStyle w:val="2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xOKM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TijLAQAAnAMAAA4AAAAAAAAAAQAgAAAAHgEAAGRycy9lMm9E&#10;b2MueG1sUEsFBgAAAAAGAAYAWQEAAFsFAAAAAA==&#10;">
              <v:fill on="f" focussize="0,0"/>
              <v:stroke on="f"/>
              <v:imagedata o:title=""/>
              <o:lock v:ext="edit" aspectratio="f"/>
              <v:textbox inset="0mm,0mm,0mm,0mm" style="mso-fit-shape-to-text:t;">
                <w:txbxContent>
                  <w:p w14:paraId="4BCDC7CC">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46E8B">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3AA3FDD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EF2A">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55CF">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4E2C">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490E6939">
    <w:pPr>
      <w:pStyle w:val="22"/>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3AC1">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56CB">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60A7558F">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06AFB53"/>
    <w:multiLevelType w:val="singleLevel"/>
    <w:tmpl w:val="606AFB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95D2C"/>
    <w:rsid w:val="002A5B98"/>
    <w:rsid w:val="002C3E11"/>
    <w:rsid w:val="002C5B38"/>
    <w:rsid w:val="002D508E"/>
    <w:rsid w:val="002D677B"/>
    <w:rsid w:val="002F334D"/>
    <w:rsid w:val="002F39AD"/>
    <w:rsid w:val="002F5374"/>
    <w:rsid w:val="002F5CAB"/>
    <w:rsid w:val="003342EF"/>
    <w:rsid w:val="00341CB0"/>
    <w:rsid w:val="003452C5"/>
    <w:rsid w:val="003540FC"/>
    <w:rsid w:val="003808D6"/>
    <w:rsid w:val="0039588E"/>
    <w:rsid w:val="003A03AB"/>
    <w:rsid w:val="003A6740"/>
    <w:rsid w:val="003B2EDC"/>
    <w:rsid w:val="003B7B6B"/>
    <w:rsid w:val="003C2E20"/>
    <w:rsid w:val="003E0B3C"/>
    <w:rsid w:val="003E7C3B"/>
    <w:rsid w:val="00424DA5"/>
    <w:rsid w:val="0042639B"/>
    <w:rsid w:val="0044129B"/>
    <w:rsid w:val="004413B4"/>
    <w:rsid w:val="00453F7D"/>
    <w:rsid w:val="00467683"/>
    <w:rsid w:val="00480533"/>
    <w:rsid w:val="004B422C"/>
    <w:rsid w:val="004C64FF"/>
    <w:rsid w:val="004D417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490B"/>
    <w:rsid w:val="00B57818"/>
    <w:rsid w:val="00B70C68"/>
    <w:rsid w:val="00B80346"/>
    <w:rsid w:val="00B83865"/>
    <w:rsid w:val="00BA10A8"/>
    <w:rsid w:val="00BA136D"/>
    <w:rsid w:val="00BA3764"/>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E11038"/>
    <w:rsid w:val="00E12E66"/>
    <w:rsid w:val="00E20914"/>
    <w:rsid w:val="00E51EF9"/>
    <w:rsid w:val="00E566FF"/>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91C4B"/>
    <w:rsid w:val="00F977E8"/>
    <w:rsid w:val="00FA1EEE"/>
    <w:rsid w:val="00FA35DA"/>
    <w:rsid w:val="00FB2149"/>
    <w:rsid w:val="00FC1D08"/>
    <w:rsid w:val="00FC7A00"/>
    <w:rsid w:val="00FD0939"/>
    <w:rsid w:val="00FF1C7C"/>
    <w:rsid w:val="017E1B19"/>
    <w:rsid w:val="01D029E9"/>
    <w:rsid w:val="01ED3B47"/>
    <w:rsid w:val="03062E20"/>
    <w:rsid w:val="03B22505"/>
    <w:rsid w:val="04013293"/>
    <w:rsid w:val="04067181"/>
    <w:rsid w:val="04103CCA"/>
    <w:rsid w:val="04EE7346"/>
    <w:rsid w:val="05036D27"/>
    <w:rsid w:val="05045387"/>
    <w:rsid w:val="05104E6D"/>
    <w:rsid w:val="05ED76CD"/>
    <w:rsid w:val="062214BD"/>
    <w:rsid w:val="06262FF6"/>
    <w:rsid w:val="063254ED"/>
    <w:rsid w:val="070E6A0C"/>
    <w:rsid w:val="07267565"/>
    <w:rsid w:val="078C18B4"/>
    <w:rsid w:val="07A20F5E"/>
    <w:rsid w:val="0861256E"/>
    <w:rsid w:val="095F7F4C"/>
    <w:rsid w:val="09A60123"/>
    <w:rsid w:val="09AE75F4"/>
    <w:rsid w:val="09B95F2A"/>
    <w:rsid w:val="0A0C7574"/>
    <w:rsid w:val="0A161A89"/>
    <w:rsid w:val="0A424E4D"/>
    <w:rsid w:val="0AF82AC1"/>
    <w:rsid w:val="0B216451"/>
    <w:rsid w:val="0B66533A"/>
    <w:rsid w:val="0B84414D"/>
    <w:rsid w:val="0BD46BAD"/>
    <w:rsid w:val="0BE120B2"/>
    <w:rsid w:val="0C26399B"/>
    <w:rsid w:val="0CEC43CA"/>
    <w:rsid w:val="0D50431A"/>
    <w:rsid w:val="0D712E27"/>
    <w:rsid w:val="0DF624E0"/>
    <w:rsid w:val="0E346850"/>
    <w:rsid w:val="0E404088"/>
    <w:rsid w:val="0EA113FA"/>
    <w:rsid w:val="0EB53450"/>
    <w:rsid w:val="0ECA11CC"/>
    <w:rsid w:val="0F390E8E"/>
    <w:rsid w:val="0F625791"/>
    <w:rsid w:val="0F8F57EF"/>
    <w:rsid w:val="0FF97625"/>
    <w:rsid w:val="1018304A"/>
    <w:rsid w:val="110475FD"/>
    <w:rsid w:val="11820B13"/>
    <w:rsid w:val="119066D9"/>
    <w:rsid w:val="11A335B5"/>
    <w:rsid w:val="1219428E"/>
    <w:rsid w:val="13490C7D"/>
    <w:rsid w:val="135C3D02"/>
    <w:rsid w:val="14E1184E"/>
    <w:rsid w:val="14E27C21"/>
    <w:rsid w:val="153B2049"/>
    <w:rsid w:val="15614DA8"/>
    <w:rsid w:val="15AD79BC"/>
    <w:rsid w:val="15C36A6F"/>
    <w:rsid w:val="16066864"/>
    <w:rsid w:val="16991EF7"/>
    <w:rsid w:val="173850A7"/>
    <w:rsid w:val="174C0AC9"/>
    <w:rsid w:val="177B4CDC"/>
    <w:rsid w:val="17822319"/>
    <w:rsid w:val="17BA7FA6"/>
    <w:rsid w:val="188B7B07"/>
    <w:rsid w:val="192B2CC7"/>
    <w:rsid w:val="198B1495"/>
    <w:rsid w:val="1997486D"/>
    <w:rsid w:val="1A00092C"/>
    <w:rsid w:val="1A6C248D"/>
    <w:rsid w:val="1AC76DF0"/>
    <w:rsid w:val="1AE159B8"/>
    <w:rsid w:val="1AF45622"/>
    <w:rsid w:val="1B5A7D5C"/>
    <w:rsid w:val="1B7B26E1"/>
    <w:rsid w:val="1BFC2F54"/>
    <w:rsid w:val="1C1A0C17"/>
    <w:rsid w:val="1C32741A"/>
    <w:rsid w:val="1C3F0B4C"/>
    <w:rsid w:val="1C405AE5"/>
    <w:rsid w:val="1CA15803"/>
    <w:rsid w:val="1D765EE5"/>
    <w:rsid w:val="1D960483"/>
    <w:rsid w:val="1DF15284"/>
    <w:rsid w:val="1E0F670C"/>
    <w:rsid w:val="1F1437EE"/>
    <w:rsid w:val="1F171CFB"/>
    <w:rsid w:val="1F3C13B6"/>
    <w:rsid w:val="1F4B49D6"/>
    <w:rsid w:val="1FF85069"/>
    <w:rsid w:val="20F41885"/>
    <w:rsid w:val="21993B18"/>
    <w:rsid w:val="22464B8D"/>
    <w:rsid w:val="229A201B"/>
    <w:rsid w:val="22BDFA33"/>
    <w:rsid w:val="236E2F6E"/>
    <w:rsid w:val="239974D6"/>
    <w:rsid w:val="23E266D0"/>
    <w:rsid w:val="23E4618A"/>
    <w:rsid w:val="244E3D8C"/>
    <w:rsid w:val="24995226"/>
    <w:rsid w:val="24B335CE"/>
    <w:rsid w:val="252C74BE"/>
    <w:rsid w:val="25CC174F"/>
    <w:rsid w:val="25EF0E4B"/>
    <w:rsid w:val="269C26E3"/>
    <w:rsid w:val="27001EC8"/>
    <w:rsid w:val="272E2D63"/>
    <w:rsid w:val="27410CB9"/>
    <w:rsid w:val="276D441A"/>
    <w:rsid w:val="279A5DB4"/>
    <w:rsid w:val="27A504B9"/>
    <w:rsid w:val="2861396F"/>
    <w:rsid w:val="28B44010"/>
    <w:rsid w:val="29384EA8"/>
    <w:rsid w:val="29E26463"/>
    <w:rsid w:val="2A023B5C"/>
    <w:rsid w:val="2A07065D"/>
    <w:rsid w:val="2A0A08C3"/>
    <w:rsid w:val="2A1801B0"/>
    <w:rsid w:val="2A534564"/>
    <w:rsid w:val="2A573A70"/>
    <w:rsid w:val="2ADB55E8"/>
    <w:rsid w:val="2CBD48CE"/>
    <w:rsid w:val="2CE211B2"/>
    <w:rsid w:val="2E015B36"/>
    <w:rsid w:val="2E275F81"/>
    <w:rsid w:val="2E453834"/>
    <w:rsid w:val="2E4E51C2"/>
    <w:rsid w:val="2E77681E"/>
    <w:rsid w:val="2F4B2B19"/>
    <w:rsid w:val="2F6246CC"/>
    <w:rsid w:val="2F6F0CA0"/>
    <w:rsid w:val="2FC53683"/>
    <w:rsid w:val="2FE97A5F"/>
    <w:rsid w:val="305A47DE"/>
    <w:rsid w:val="309E348C"/>
    <w:rsid w:val="310F3CAE"/>
    <w:rsid w:val="31394322"/>
    <w:rsid w:val="3184082E"/>
    <w:rsid w:val="32617B06"/>
    <w:rsid w:val="328304A8"/>
    <w:rsid w:val="32BC5F4D"/>
    <w:rsid w:val="336C7C50"/>
    <w:rsid w:val="33896203"/>
    <w:rsid w:val="33FE364D"/>
    <w:rsid w:val="341512ED"/>
    <w:rsid w:val="3429115A"/>
    <w:rsid w:val="34F2580B"/>
    <w:rsid w:val="35A45821"/>
    <w:rsid w:val="36024564"/>
    <w:rsid w:val="36276335"/>
    <w:rsid w:val="36981B5D"/>
    <w:rsid w:val="36A9634B"/>
    <w:rsid w:val="36D079C8"/>
    <w:rsid w:val="36E40795"/>
    <w:rsid w:val="37D716E7"/>
    <w:rsid w:val="37FE6A0C"/>
    <w:rsid w:val="38C0120A"/>
    <w:rsid w:val="39034B3A"/>
    <w:rsid w:val="391D218E"/>
    <w:rsid w:val="39D761EF"/>
    <w:rsid w:val="39DB72F7"/>
    <w:rsid w:val="3A342638"/>
    <w:rsid w:val="3A8F3EBA"/>
    <w:rsid w:val="3AB10259"/>
    <w:rsid w:val="3ABA6222"/>
    <w:rsid w:val="3AE4207A"/>
    <w:rsid w:val="3AF64E5C"/>
    <w:rsid w:val="3B301F44"/>
    <w:rsid w:val="3BAE4829"/>
    <w:rsid w:val="3BDF73C5"/>
    <w:rsid w:val="3C7E6224"/>
    <w:rsid w:val="3D902D22"/>
    <w:rsid w:val="3DF4021A"/>
    <w:rsid w:val="3E047963"/>
    <w:rsid w:val="3E8E5BBA"/>
    <w:rsid w:val="3EB86069"/>
    <w:rsid w:val="3ECE69ED"/>
    <w:rsid w:val="3EDC10FF"/>
    <w:rsid w:val="3F0A5E23"/>
    <w:rsid w:val="3F0B5D57"/>
    <w:rsid w:val="3F446ADE"/>
    <w:rsid w:val="3F785608"/>
    <w:rsid w:val="3FA30576"/>
    <w:rsid w:val="3FFEC4E3"/>
    <w:rsid w:val="402734A4"/>
    <w:rsid w:val="405A4873"/>
    <w:rsid w:val="407B3EBF"/>
    <w:rsid w:val="408B7AEC"/>
    <w:rsid w:val="40DF693D"/>
    <w:rsid w:val="40F16A8E"/>
    <w:rsid w:val="412545BE"/>
    <w:rsid w:val="4184340D"/>
    <w:rsid w:val="41E21275"/>
    <w:rsid w:val="428C60A6"/>
    <w:rsid w:val="42D67AEC"/>
    <w:rsid w:val="42F6152E"/>
    <w:rsid w:val="42FF6CFF"/>
    <w:rsid w:val="430F2571"/>
    <w:rsid w:val="43771108"/>
    <w:rsid w:val="438C4E1A"/>
    <w:rsid w:val="44374467"/>
    <w:rsid w:val="4440126D"/>
    <w:rsid w:val="446523D2"/>
    <w:rsid w:val="44952E2D"/>
    <w:rsid w:val="44C956AE"/>
    <w:rsid w:val="44DA0696"/>
    <w:rsid w:val="44E45943"/>
    <w:rsid w:val="4583380E"/>
    <w:rsid w:val="45993146"/>
    <w:rsid w:val="45EB3538"/>
    <w:rsid w:val="4619382C"/>
    <w:rsid w:val="46440499"/>
    <w:rsid w:val="465F65FE"/>
    <w:rsid w:val="46771AC0"/>
    <w:rsid w:val="47867C8A"/>
    <w:rsid w:val="479B001B"/>
    <w:rsid w:val="47D21CE6"/>
    <w:rsid w:val="48876507"/>
    <w:rsid w:val="4895151C"/>
    <w:rsid w:val="48A14890"/>
    <w:rsid w:val="495628A5"/>
    <w:rsid w:val="4A355BCD"/>
    <w:rsid w:val="4A4C0CEF"/>
    <w:rsid w:val="4A67403B"/>
    <w:rsid w:val="4A6A6784"/>
    <w:rsid w:val="4A734E79"/>
    <w:rsid w:val="4AD27698"/>
    <w:rsid w:val="4AFE6652"/>
    <w:rsid w:val="4B1B114F"/>
    <w:rsid w:val="4B250368"/>
    <w:rsid w:val="4B7F6C9B"/>
    <w:rsid w:val="4BB01238"/>
    <w:rsid w:val="4BF93ABC"/>
    <w:rsid w:val="4C2F1AF1"/>
    <w:rsid w:val="4C3F1A69"/>
    <w:rsid w:val="4C4C7D4D"/>
    <w:rsid w:val="4C692E82"/>
    <w:rsid w:val="4C974380"/>
    <w:rsid w:val="4CA7336B"/>
    <w:rsid w:val="4CDE5874"/>
    <w:rsid w:val="4D001539"/>
    <w:rsid w:val="4D060FF1"/>
    <w:rsid w:val="4D714797"/>
    <w:rsid w:val="4D7809BA"/>
    <w:rsid w:val="4D9F0EEA"/>
    <w:rsid w:val="4E9C1B32"/>
    <w:rsid w:val="4F095D32"/>
    <w:rsid w:val="4F1A4882"/>
    <w:rsid w:val="4F3C4DEC"/>
    <w:rsid w:val="4FFD6F40"/>
    <w:rsid w:val="504900D3"/>
    <w:rsid w:val="516B5FEC"/>
    <w:rsid w:val="52892F5B"/>
    <w:rsid w:val="52F61709"/>
    <w:rsid w:val="530F0207"/>
    <w:rsid w:val="54073585"/>
    <w:rsid w:val="54995B0C"/>
    <w:rsid w:val="54DB7C79"/>
    <w:rsid w:val="54E74E26"/>
    <w:rsid w:val="55580A4D"/>
    <w:rsid w:val="55B45B96"/>
    <w:rsid w:val="55DC1770"/>
    <w:rsid w:val="55EB22AC"/>
    <w:rsid w:val="561133F2"/>
    <w:rsid w:val="56571FFA"/>
    <w:rsid w:val="56A35AD2"/>
    <w:rsid w:val="56A92CC7"/>
    <w:rsid w:val="577C2B01"/>
    <w:rsid w:val="58BD10F2"/>
    <w:rsid w:val="58CD33C2"/>
    <w:rsid w:val="596469D4"/>
    <w:rsid w:val="59F26FBD"/>
    <w:rsid w:val="5A435D8A"/>
    <w:rsid w:val="5B7B3FD9"/>
    <w:rsid w:val="5BBC1D09"/>
    <w:rsid w:val="5C34380B"/>
    <w:rsid w:val="5CC52620"/>
    <w:rsid w:val="5CFC6999"/>
    <w:rsid w:val="5E3FDF58"/>
    <w:rsid w:val="5E425939"/>
    <w:rsid w:val="5E841E57"/>
    <w:rsid w:val="5F8A0857"/>
    <w:rsid w:val="5F912AC4"/>
    <w:rsid w:val="5FD14724"/>
    <w:rsid w:val="5FEF8784"/>
    <w:rsid w:val="5FF870D3"/>
    <w:rsid w:val="60700F30"/>
    <w:rsid w:val="607B7DDA"/>
    <w:rsid w:val="609B19AB"/>
    <w:rsid w:val="61A76748"/>
    <w:rsid w:val="62B731FE"/>
    <w:rsid w:val="63023C80"/>
    <w:rsid w:val="632E6FDA"/>
    <w:rsid w:val="636D3AA1"/>
    <w:rsid w:val="64F22548"/>
    <w:rsid w:val="656062CA"/>
    <w:rsid w:val="659106E2"/>
    <w:rsid w:val="65AB236D"/>
    <w:rsid w:val="65B8080F"/>
    <w:rsid w:val="66483EC5"/>
    <w:rsid w:val="66704DB4"/>
    <w:rsid w:val="67102453"/>
    <w:rsid w:val="67937D5D"/>
    <w:rsid w:val="68A67F29"/>
    <w:rsid w:val="68C15CCA"/>
    <w:rsid w:val="696939B3"/>
    <w:rsid w:val="697D619C"/>
    <w:rsid w:val="69EE3D79"/>
    <w:rsid w:val="6A0E091D"/>
    <w:rsid w:val="6A3C12E4"/>
    <w:rsid w:val="6ABA50AD"/>
    <w:rsid w:val="6B525C47"/>
    <w:rsid w:val="6B58725B"/>
    <w:rsid w:val="6BA94127"/>
    <w:rsid w:val="6BFE46EA"/>
    <w:rsid w:val="6C7F53F2"/>
    <w:rsid w:val="6C8B20CC"/>
    <w:rsid w:val="6CA74CA3"/>
    <w:rsid w:val="6CFD412D"/>
    <w:rsid w:val="6F480127"/>
    <w:rsid w:val="6FE653D7"/>
    <w:rsid w:val="704217E5"/>
    <w:rsid w:val="70694B7B"/>
    <w:rsid w:val="71106C43"/>
    <w:rsid w:val="71152000"/>
    <w:rsid w:val="71964031"/>
    <w:rsid w:val="721756F7"/>
    <w:rsid w:val="7231680E"/>
    <w:rsid w:val="727355E1"/>
    <w:rsid w:val="72A23850"/>
    <w:rsid w:val="73775DA3"/>
    <w:rsid w:val="73917324"/>
    <w:rsid w:val="753528B6"/>
    <w:rsid w:val="7556B6C1"/>
    <w:rsid w:val="75743AE4"/>
    <w:rsid w:val="75F95225"/>
    <w:rsid w:val="7656661E"/>
    <w:rsid w:val="76DA32A9"/>
    <w:rsid w:val="76E68039"/>
    <w:rsid w:val="76ED37EF"/>
    <w:rsid w:val="770F21D1"/>
    <w:rsid w:val="774B7D02"/>
    <w:rsid w:val="77CF85C6"/>
    <w:rsid w:val="77ED98B5"/>
    <w:rsid w:val="78A7019A"/>
    <w:rsid w:val="78C06712"/>
    <w:rsid w:val="78D51252"/>
    <w:rsid w:val="79621333"/>
    <w:rsid w:val="79BA3B0E"/>
    <w:rsid w:val="7A7237F8"/>
    <w:rsid w:val="7ABB6962"/>
    <w:rsid w:val="7AF4539C"/>
    <w:rsid w:val="7AFE1857"/>
    <w:rsid w:val="7BA6539F"/>
    <w:rsid w:val="7BED92A8"/>
    <w:rsid w:val="7C013D85"/>
    <w:rsid w:val="7C662C4B"/>
    <w:rsid w:val="7DB40A20"/>
    <w:rsid w:val="7E136A50"/>
    <w:rsid w:val="7E49765A"/>
    <w:rsid w:val="7E4C0FEB"/>
    <w:rsid w:val="7E827B25"/>
    <w:rsid w:val="7EBE0C5A"/>
    <w:rsid w:val="7EFB3C47"/>
    <w:rsid w:val="7F850ECB"/>
    <w:rsid w:val="7F8F875D"/>
    <w:rsid w:val="7F9F1736"/>
    <w:rsid w:val="7FD32E51"/>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7"/>
    <w:autoRedefine/>
    <w:qFormat/>
    <w:uiPriority w:val="0"/>
    <w:pPr>
      <w:keepNext/>
      <w:outlineLvl w:val="0"/>
    </w:pPr>
    <w:rPr>
      <w:sz w:val="28"/>
      <w:szCs w:val="24"/>
    </w:rPr>
  </w:style>
  <w:style w:type="paragraph" w:styleId="6">
    <w:name w:val="heading 2"/>
    <w:basedOn w:val="1"/>
    <w:next w:val="1"/>
    <w:link w:val="100"/>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9"/>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50"/>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2"/>
    <w:autoRedefine/>
    <w:qFormat/>
    <w:uiPriority w:val="0"/>
    <w:pPr>
      <w:ind w:firstLine="540"/>
    </w:pPr>
    <w:rPr>
      <w:rFonts w:eastAsia="仿宋_GB2312"/>
      <w:sz w:val="28"/>
    </w:rPr>
  </w:style>
  <w:style w:type="paragraph" w:styleId="3">
    <w:name w:val="Body Text"/>
    <w:basedOn w:val="1"/>
    <w:next w:val="4"/>
    <w:link w:val="63"/>
    <w:autoRedefine/>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9">
    <w:name w:val="toc 7"/>
    <w:basedOn w:val="1"/>
    <w:next w:val="1"/>
    <w:autoRedefine/>
    <w:qFormat/>
    <w:uiPriority w:val="0"/>
    <w:pPr>
      <w:ind w:left="2520" w:leftChars="1200"/>
    </w:pPr>
  </w:style>
  <w:style w:type="paragraph" w:styleId="10">
    <w:name w:val="Document Map"/>
    <w:basedOn w:val="1"/>
    <w:link w:val="74"/>
    <w:autoRedefine/>
    <w:qFormat/>
    <w:uiPriority w:val="0"/>
    <w:pPr>
      <w:shd w:val="clear" w:color="auto" w:fill="000080"/>
    </w:pPr>
  </w:style>
  <w:style w:type="paragraph" w:styleId="11">
    <w:name w:val="annotation text"/>
    <w:basedOn w:val="1"/>
    <w:link w:val="68"/>
    <w:autoRedefine/>
    <w:semiHidden/>
    <w:qFormat/>
    <w:uiPriority w:val="99"/>
    <w:pPr>
      <w:jc w:val="left"/>
    </w:pPr>
  </w:style>
  <w:style w:type="paragraph" w:styleId="12">
    <w:name w:val="Body Text 3"/>
    <w:basedOn w:val="1"/>
    <w:link w:val="89"/>
    <w:autoRedefine/>
    <w:unhideWhenUsed/>
    <w:qFormat/>
    <w:uiPriority w:val="99"/>
    <w:pPr>
      <w:spacing w:after="120"/>
    </w:pPr>
    <w:rPr>
      <w:rFonts w:ascii="Calibri" w:hAnsi="Calibri"/>
      <w:sz w:val="16"/>
      <w:szCs w:val="16"/>
      <w:lang w:val="zh-CN"/>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39"/>
    <w:pPr>
      <w:ind w:left="840" w:leftChars="400"/>
    </w:pPr>
  </w:style>
  <w:style w:type="paragraph" w:styleId="15">
    <w:name w:val="Plain Text"/>
    <w:basedOn w:val="1"/>
    <w:link w:val="71"/>
    <w:autoRedefine/>
    <w:qFormat/>
    <w:uiPriority w:val="0"/>
    <w:rPr>
      <w:rFonts w:ascii="宋体" w:hAnsi="Courier New" w:cstheme="minorBidi"/>
      <w:szCs w:val="22"/>
    </w:rPr>
  </w:style>
  <w:style w:type="paragraph" w:styleId="16">
    <w:name w:val="toc 8"/>
    <w:basedOn w:val="1"/>
    <w:next w:val="1"/>
    <w:autoRedefine/>
    <w:qFormat/>
    <w:uiPriority w:val="0"/>
    <w:pPr>
      <w:ind w:left="2940" w:leftChars="1400"/>
    </w:pPr>
  </w:style>
  <w:style w:type="paragraph" w:styleId="17">
    <w:name w:val="Date"/>
    <w:basedOn w:val="1"/>
    <w:next w:val="1"/>
    <w:link w:val="51"/>
    <w:autoRedefine/>
    <w:qFormat/>
    <w:uiPriority w:val="0"/>
    <w:rPr>
      <w:rFonts w:ascii="Arial" w:hAnsi="Arial" w:eastAsia="楷体_GB2312"/>
      <w:sz w:val="28"/>
    </w:rPr>
  </w:style>
  <w:style w:type="paragraph" w:styleId="18">
    <w:name w:val="Body Text Indent 2"/>
    <w:basedOn w:val="1"/>
    <w:link w:val="54"/>
    <w:autoRedefine/>
    <w:qFormat/>
    <w:uiPriority w:val="0"/>
    <w:pPr>
      <w:tabs>
        <w:tab w:val="left" w:pos="720"/>
      </w:tabs>
      <w:ind w:right="-506" w:rightChars="-241" w:firstLine="538" w:firstLineChars="192"/>
    </w:pPr>
    <w:rPr>
      <w:rFonts w:eastAsia="仿宋_GB2312"/>
      <w:sz w:val="28"/>
    </w:rPr>
  </w:style>
  <w:style w:type="paragraph" w:styleId="19">
    <w:name w:val="Balloon Text"/>
    <w:basedOn w:val="1"/>
    <w:link w:val="65"/>
    <w:autoRedefine/>
    <w:qFormat/>
    <w:uiPriority w:val="0"/>
    <w:rPr>
      <w:sz w:val="18"/>
      <w:szCs w:val="18"/>
    </w:rPr>
  </w:style>
  <w:style w:type="paragraph" w:styleId="20">
    <w:name w:val="footer"/>
    <w:basedOn w:val="1"/>
    <w:link w:val="46"/>
    <w:autoRedefine/>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spacing w:line="360" w:lineRule="auto"/>
    </w:pPr>
    <w:rPr>
      <w:rFonts w:ascii="Arial" w:hAnsi="Arial" w:cs="Arial"/>
    </w:rPr>
  </w:style>
  <w:style w:type="paragraph" w:styleId="22">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Body Text Indent 3"/>
    <w:basedOn w:val="1"/>
    <w:link w:val="60"/>
    <w:autoRedefine/>
    <w:qFormat/>
    <w:uiPriority w:val="0"/>
    <w:pPr>
      <w:ind w:left="178" w:leftChars="85" w:firstLine="560" w:firstLineChars="200"/>
    </w:pPr>
    <w:rPr>
      <w:rFonts w:ascii="仿宋_GB2312" w:hAnsi="Arial" w:eastAsia="仿宋_GB2312"/>
      <w:sz w:val="28"/>
      <w:szCs w:val="24"/>
    </w:rPr>
  </w:style>
  <w:style w:type="paragraph" w:styleId="27">
    <w:name w:val="toc 2"/>
    <w:basedOn w:val="1"/>
    <w:next w:val="1"/>
    <w:autoRedefine/>
    <w:qFormat/>
    <w:uiPriority w:val="39"/>
    <w:pPr>
      <w:ind w:left="420" w:leftChars="200"/>
    </w:pPr>
  </w:style>
  <w:style w:type="paragraph" w:styleId="28">
    <w:name w:val="toc 9"/>
    <w:basedOn w:val="1"/>
    <w:next w:val="1"/>
    <w:autoRedefine/>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1"/>
    <w:next w:val="11"/>
    <w:link w:val="69"/>
    <w:autoRedefine/>
    <w:semiHidden/>
    <w:qFormat/>
    <w:uiPriority w:val="99"/>
    <w:rPr>
      <w:b/>
      <w:bCs/>
    </w:rPr>
  </w:style>
  <w:style w:type="paragraph" w:styleId="34">
    <w:name w:val="Body Text First Indent"/>
    <w:basedOn w:val="3"/>
    <w:autoRedefine/>
    <w:unhideWhenUsed/>
    <w:qFormat/>
    <w:uiPriority w:val="99"/>
    <w:pPr>
      <w:spacing w:line="400" w:lineRule="atLeast"/>
      <w:ind w:firstLine="426"/>
    </w:pPr>
    <w:rPr>
      <w:sz w:val="24"/>
      <w:szCs w:val="20"/>
    </w:rPr>
  </w:style>
  <w:style w:type="paragraph" w:styleId="35">
    <w:name w:val="Body Text First Indent 2"/>
    <w:basedOn w:val="2"/>
    <w:next w:val="1"/>
    <w:qFormat/>
    <w:uiPriority w:val="0"/>
    <w:pPr>
      <w:spacing w:line="360" w:lineRule="auto"/>
      <w:jc w:val="left"/>
    </w:pPr>
    <w:rPr>
      <w:rFonts w:cs="宋体"/>
      <w:sz w:val="28"/>
      <w:szCs w:val="28"/>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basedOn w:val="38"/>
    <w:autoRedefine/>
    <w:unhideWhenUsed/>
    <w:qFormat/>
    <w:uiPriority w:val="99"/>
    <w:rPr>
      <w:color w:val="954F72" w:themeColor="followedHyperlink"/>
      <w:u w:val="single"/>
      <w14:textFill>
        <w14:solidFill>
          <w14:schemeClr w14:val="folHlink"/>
        </w14:solidFill>
      </w14:textFill>
    </w:rPr>
  </w:style>
  <w:style w:type="character" w:styleId="42">
    <w:name w:val="Hyperlink"/>
    <w:basedOn w:val="38"/>
    <w:autoRedefine/>
    <w:qFormat/>
    <w:uiPriority w:val="99"/>
    <w:rPr>
      <w:color w:val="333333"/>
      <w:u w:val="none"/>
    </w:rPr>
  </w:style>
  <w:style w:type="character" w:styleId="43">
    <w:name w:val="annotation reference"/>
    <w:autoRedefine/>
    <w:semiHidden/>
    <w:qFormat/>
    <w:uiPriority w:val="99"/>
    <w:rPr>
      <w:sz w:val="21"/>
      <w:szCs w:val="21"/>
    </w:rPr>
  </w:style>
  <w:style w:type="paragraph" w:customStyle="1" w:styleId="44">
    <w:name w:val="目录 71"/>
    <w:basedOn w:val="1"/>
    <w:next w:val="1"/>
    <w:autoRedefine/>
    <w:qFormat/>
    <w:uiPriority w:val="0"/>
    <w:pPr>
      <w:ind w:left="2520"/>
    </w:pPr>
    <w:rPr>
      <w:rFonts w:ascii="Calibri"/>
    </w:rPr>
  </w:style>
  <w:style w:type="character" w:customStyle="1" w:styleId="45">
    <w:name w:val="页眉 Char"/>
    <w:basedOn w:val="38"/>
    <w:link w:val="22"/>
    <w:autoRedefine/>
    <w:qFormat/>
    <w:uiPriority w:val="0"/>
    <w:rPr>
      <w:sz w:val="18"/>
      <w:szCs w:val="18"/>
    </w:rPr>
  </w:style>
  <w:style w:type="character" w:customStyle="1" w:styleId="46">
    <w:name w:val="页脚 Char"/>
    <w:basedOn w:val="38"/>
    <w:link w:val="20"/>
    <w:autoRedefine/>
    <w:qFormat/>
    <w:uiPriority w:val="99"/>
    <w:rPr>
      <w:sz w:val="18"/>
      <w:szCs w:val="18"/>
    </w:rPr>
  </w:style>
  <w:style w:type="character" w:customStyle="1" w:styleId="47">
    <w:name w:val="标题 1 Char"/>
    <w:basedOn w:val="38"/>
    <w:link w:val="5"/>
    <w:autoRedefine/>
    <w:qFormat/>
    <w:uiPriority w:val="0"/>
    <w:rPr>
      <w:rFonts w:ascii="Times New Roman" w:hAnsi="Times New Roman" w:eastAsia="宋体" w:cs="Times New Roman"/>
      <w:sz w:val="28"/>
      <w:szCs w:val="24"/>
    </w:rPr>
  </w:style>
  <w:style w:type="character" w:customStyle="1" w:styleId="48">
    <w:name w:val="标题 2 Char"/>
    <w:basedOn w:val="38"/>
    <w:link w:val="6"/>
    <w:autoRedefine/>
    <w:qFormat/>
    <w:uiPriority w:val="0"/>
    <w:rPr>
      <w:rFonts w:ascii="Arial" w:hAnsi="Arial" w:eastAsia="黑体" w:cs="Times New Roman"/>
      <w:b/>
      <w:kern w:val="0"/>
      <w:sz w:val="32"/>
      <w:szCs w:val="20"/>
    </w:rPr>
  </w:style>
  <w:style w:type="character" w:customStyle="1" w:styleId="49">
    <w:name w:val="标题 3 Char"/>
    <w:basedOn w:val="38"/>
    <w:link w:val="7"/>
    <w:autoRedefine/>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8"/>
    <w:autoRedefine/>
    <w:qFormat/>
    <w:uiPriority w:val="0"/>
    <w:rPr>
      <w:rFonts w:ascii="Arial" w:hAnsi="Arial" w:eastAsia="黑体" w:cs="Times New Roman"/>
      <w:b/>
      <w:kern w:val="0"/>
      <w:sz w:val="28"/>
      <w:szCs w:val="20"/>
    </w:rPr>
  </w:style>
  <w:style w:type="character" w:customStyle="1" w:styleId="51">
    <w:name w:val="日期 Char"/>
    <w:basedOn w:val="38"/>
    <w:link w:val="17"/>
    <w:autoRedefine/>
    <w:qFormat/>
    <w:uiPriority w:val="0"/>
    <w:rPr>
      <w:rFonts w:ascii="Arial" w:hAnsi="Arial" w:eastAsia="楷体_GB2312" w:cs="Times New Roman"/>
      <w:sz w:val="28"/>
      <w:szCs w:val="20"/>
    </w:rPr>
  </w:style>
  <w:style w:type="character" w:customStyle="1" w:styleId="52">
    <w:name w:val="正文文本缩进 Char"/>
    <w:basedOn w:val="38"/>
    <w:link w:val="2"/>
    <w:autoRedefine/>
    <w:qFormat/>
    <w:uiPriority w:val="0"/>
    <w:rPr>
      <w:rFonts w:ascii="Times New Roman" w:hAnsi="Times New Roman" w:eastAsia="仿宋_GB2312" w:cs="Times New Roman"/>
      <w:sz w:val="28"/>
      <w:szCs w:val="20"/>
    </w:rPr>
  </w:style>
  <w:style w:type="paragraph" w:customStyle="1" w:styleId="53">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18"/>
    <w:autoRedefine/>
    <w:qFormat/>
    <w:uiPriority w:val="0"/>
    <w:rPr>
      <w:rFonts w:ascii="Times New Roman" w:hAnsi="Times New Roman" w:eastAsia="仿宋_GB2312" w:cs="Times New Roman"/>
      <w:sz w:val="28"/>
      <w:szCs w:val="20"/>
    </w:rPr>
  </w:style>
  <w:style w:type="paragraph" w:customStyle="1" w:styleId="55">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58">
    <w:name w:val="Char Char Char Char Char"/>
    <w:basedOn w:val="1"/>
    <w:autoRedefine/>
    <w:qFormat/>
    <w:uiPriority w:val="0"/>
    <w:rPr>
      <w:rFonts w:ascii="Tahoma" w:hAnsi="Tahoma"/>
      <w:sz w:val="24"/>
    </w:rPr>
  </w:style>
  <w:style w:type="paragraph" w:customStyle="1" w:styleId="59">
    <w:name w:val="Char"/>
    <w:basedOn w:val="1"/>
    <w:autoRedefine/>
    <w:qFormat/>
    <w:uiPriority w:val="0"/>
    <w:rPr>
      <w:rFonts w:ascii="Tahoma" w:hAnsi="Tahoma"/>
      <w:sz w:val="24"/>
    </w:rPr>
  </w:style>
  <w:style w:type="character" w:customStyle="1" w:styleId="60">
    <w:name w:val="正文文本缩进 3 Char"/>
    <w:basedOn w:val="38"/>
    <w:link w:val="26"/>
    <w:autoRedefine/>
    <w:qFormat/>
    <w:uiPriority w:val="0"/>
    <w:rPr>
      <w:rFonts w:ascii="仿宋_GB2312" w:hAnsi="Arial" w:eastAsia="仿宋_GB2312" w:cs="Times New Roman"/>
      <w:sz w:val="28"/>
      <w:szCs w:val="24"/>
    </w:rPr>
  </w:style>
  <w:style w:type="paragraph" w:customStyle="1" w:styleId="61">
    <w:name w:val="Char1"/>
    <w:basedOn w:val="1"/>
    <w:autoRedefine/>
    <w:qFormat/>
    <w:uiPriority w:val="0"/>
    <w:rPr>
      <w:rFonts w:ascii="Tahoma" w:hAnsi="Tahoma" w:eastAsia="仿宋_GB2312"/>
      <w:sz w:val="24"/>
    </w:rPr>
  </w:style>
  <w:style w:type="paragraph" w:customStyle="1" w:styleId="62">
    <w:name w:val="Char Char Char Char Char Char Char1 Char"/>
    <w:basedOn w:val="1"/>
    <w:autoRedefine/>
    <w:qFormat/>
    <w:uiPriority w:val="0"/>
    <w:rPr>
      <w:rFonts w:ascii="Tahoma" w:hAnsi="Tahoma"/>
      <w:sz w:val="24"/>
    </w:rPr>
  </w:style>
  <w:style w:type="character" w:customStyle="1" w:styleId="63">
    <w:name w:val="正文文本 Char"/>
    <w:basedOn w:val="38"/>
    <w:link w:val="3"/>
    <w:autoRedefine/>
    <w:qFormat/>
    <w:uiPriority w:val="0"/>
    <w:rPr>
      <w:rFonts w:ascii="Times New Roman" w:hAnsi="Times New Roman" w:eastAsia="宋体" w:cs="Times New Roman"/>
      <w:szCs w:val="24"/>
    </w:rPr>
  </w:style>
  <w:style w:type="paragraph" w:customStyle="1" w:styleId="64">
    <w:name w:val="Char Char Char Char"/>
    <w:basedOn w:val="1"/>
    <w:next w:val="1"/>
    <w:autoRedefine/>
    <w:qFormat/>
    <w:uiPriority w:val="0"/>
    <w:pPr>
      <w:widowControl/>
      <w:spacing w:line="360" w:lineRule="auto"/>
      <w:jc w:val="left"/>
    </w:pPr>
  </w:style>
  <w:style w:type="character" w:customStyle="1" w:styleId="65">
    <w:name w:val="批注框文本 Char"/>
    <w:basedOn w:val="38"/>
    <w:link w:val="19"/>
    <w:autoRedefine/>
    <w:qFormat/>
    <w:uiPriority w:val="0"/>
    <w:rPr>
      <w:rFonts w:ascii="Times New Roman" w:hAnsi="Times New Roman" w:eastAsia="宋体" w:cs="Times New Roman"/>
      <w:sz w:val="18"/>
      <w:szCs w:val="18"/>
    </w:rPr>
  </w:style>
  <w:style w:type="paragraph" w:customStyle="1" w:styleId="66">
    <w:name w:val="Char Char Char"/>
    <w:basedOn w:val="1"/>
    <w:autoRedefine/>
    <w:qFormat/>
    <w:uiPriority w:val="0"/>
    <w:rPr>
      <w:rFonts w:ascii="Tahoma" w:hAnsi="Tahoma"/>
      <w:sz w:val="24"/>
    </w:rPr>
  </w:style>
  <w:style w:type="paragraph" w:customStyle="1" w:styleId="67">
    <w:name w:val="Char Char Char Char Char Char Char Char Char Char"/>
    <w:basedOn w:val="1"/>
    <w:autoRedefine/>
    <w:qFormat/>
    <w:uiPriority w:val="0"/>
    <w:rPr>
      <w:rFonts w:ascii="Tahoma" w:hAnsi="Tahoma" w:cs="仿宋_GB2312"/>
      <w:sz w:val="24"/>
    </w:rPr>
  </w:style>
  <w:style w:type="character" w:customStyle="1" w:styleId="68">
    <w:name w:val="批注文字 Char"/>
    <w:basedOn w:val="38"/>
    <w:link w:val="11"/>
    <w:autoRedefine/>
    <w:semiHidden/>
    <w:qFormat/>
    <w:uiPriority w:val="99"/>
    <w:rPr>
      <w:rFonts w:ascii="Times New Roman" w:hAnsi="Times New Roman" w:eastAsia="宋体" w:cs="Times New Roman"/>
      <w:szCs w:val="20"/>
    </w:rPr>
  </w:style>
  <w:style w:type="character" w:customStyle="1" w:styleId="69">
    <w:name w:val="批注主题 Char"/>
    <w:basedOn w:val="68"/>
    <w:link w:val="33"/>
    <w:autoRedefine/>
    <w:semiHidden/>
    <w:qFormat/>
    <w:uiPriority w:val="99"/>
    <w:rPr>
      <w:rFonts w:ascii="Times New Roman" w:hAnsi="Times New Roman" w:eastAsia="宋体" w:cs="Times New Roman"/>
      <w:b/>
      <w:bCs/>
      <w:szCs w:val="20"/>
    </w:rPr>
  </w:style>
  <w:style w:type="paragraph" w:customStyle="1" w:styleId="70">
    <w:name w:val="Char Char Char Char Char Char"/>
    <w:basedOn w:val="1"/>
    <w:autoRedefine/>
    <w:qFormat/>
    <w:uiPriority w:val="0"/>
  </w:style>
  <w:style w:type="character" w:customStyle="1" w:styleId="71">
    <w:name w:val="纯文本 Char"/>
    <w:link w:val="15"/>
    <w:autoRedefine/>
    <w:qFormat/>
    <w:uiPriority w:val="0"/>
    <w:rPr>
      <w:rFonts w:ascii="宋体" w:hAnsi="Courier New" w:eastAsia="宋体"/>
    </w:rPr>
  </w:style>
  <w:style w:type="character" w:customStyle="1" w:styleId="72">
    <w:name w:val="纯文本 Char1"/>
    <w:basedOn w:val="38"/>
    <w:autoRedefine/>
    <w:semiHidden/>
    <w:qFormat/>
    <w:uiPriority w:val="99"/>
    <w:rPr>
      <w:rFonts w:ascii="宋体" w:hAnsi="Courier New" w:eastAsia="宋体" w:cs="Courier New"/>
      <w:szCs w:val="21"/>
    </w:rPr>
  </w:style>
  <w:style w:type="paragraph" w:customStyle="1" w:styleId="73">
    <w:name w:val="Char12 Char Char Char"/>
    <w:basedOn w:val="1"/>
    <w:autoRedefine/>
    <w:qFormat/>
    <w:uiPriority w:val="0"/>
  </w:style>
  <w:style w:type="character" w:customStyle="1" w:styleId="74">
    <w:name w:val="文档结构图 Char"/>
    <w:basedOn w:val="38"/>
    <w:link w:val="10"/>
    <w:autoRedefine/>
    <w:qFormat/>
    <w:uiPriority w:val="0"/>
    <w:rPr>
      <w:rFonts w:ascii="Times New Roman" w:hAnsi="Times New Roman" w:eastAsia="宋体" w:cs="Times New Roman"/>
      <w:szCs w:val="20"/>
      <w:shd w:val="clear" w:color="auto" w:fill="000080"/>
    </w:rPr>
  </w:style>
  <w:style w:type="character" w:customStyle="1" w:styleId="75">
    <w:name w:val="style29"/>
    <w:autoRedefine/>
    <w:qFormat/>
    <w:uiPriority w:val="0"/>
  </w:style>
  <w:style w:type="character" w:customStyle="1" w:styleId="76">
    <w:name w:val="正文1"/>
    <w:autoRedefine/>
    <w:qFormat/>
    <w:uiPriority w:val="0"/>
  </w:style>
  <w:style w:type="character" w:customStyle="1" w:styleId="77">
    <w:name w:val="font11"/>
    <w:autoRedefine/>
    <w:qFormat/>
    <w:uiPriority w:val="0"/>
    <w:rPr>
      <w:rFonts w:hint="default" w:ascii="Times New Roman" w:hAnsi="Times New Roman" w:cs="Times New Roman"/>
      <w:color w:val="3366FF"/>
      <w:sz w:val="24"/>
      <w:szCs w:val="24"/>
      <w:u w:val="none"/>
    </w:rPr>
  </w:style>
  <w:style w:type="character" w:customStyle="1" w:styleId="78">
    <w:name w:val="font21"/>
    <w:autoRedefine/>
    <w:qFormat/>
    <w:uiPriority w:val="0"/>
    <w:rPr>
      <w:rFonts w:hint="eastAsia" w:ascii="宋体" w:hAnsi="宋体" w:eastAsia="宋体"/>
      <w:color w:val="3366FF"/>
      <w:sz w:val="24"/>
      <w:szCs w:val="24"/>
      <w:u w:val="none"/>
    </w:rPr>
  </w:style>
  <w:style w:type="paragraph" w:customStyle="1" w:styleId="79">
    <w:name w:val="Char Char15"/>
    <w:basedOn w:val="1"/>
    <w:autoRedefine/>
    <w:qFormat/>
    <w:uiPriority w:val="0"/>
    <w:rPr>
      <w:rFonts w:ascii="Tahoma" w:hAnsi="Tahoma" w:eastAsia="仿宋_GB2312"/>
      <w:sz w:val="24"/>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Char2"/>
    <w:basedOn w:val="1"/>
    <w:autoRedefine/>
    <w:qFormat/>
    <w:uiPriority w:val="0"/>
    <w:pPr>
      <w:tabs>
        <w:tab w:val="left" w:pos="360"/>
      </w:tabs>
    </w:pPr>
    <w:rPr>
      <w:sz w:val="24"/>
      <w:szCs w:val="24"/>
    </w:rPr>
  </w:style>
  <w:style w:type="paragraph" w:customStyle="1" w:styleId="82">
    <w:name w:val="Char16"/>
    <w:basedOn w:val="1"/>
    <w:autoRedefine/>
    <w:qFormat/>
    <w:uiPriority w:val="0"/>
    <w:rPr>
      <w:rFonts w:ascii="Tahoma" w:hAnsi="Tahoma" w:eastAsia="仿宋_GB2312"/>
      <w:sz w:val="24"/>
    </w:rPr>
  </w:style>
  <w:style w:type="paragraph" w:customStyle="1" w:styleId="83">
    <w:name w:val="Char Char1"/>
    <w:basedOn w:val="1"/>
    <w:autoRedefine/>
    <w:qFormat/>
    <w:uiPriority w:val="0"/>
    <w:rPr>
      <w:rFonts w:ascii="Tahoma" w:hAnsi="Tahoma"/>
      <w:sz w:val="24"/>
    </w:rPr>
  </w:style>
  <w:style w:type="paragraph" w:customStyle="1" w:styleId="84">
    <w:name w:val="Char Char Char Char Char Char Char"/>
    <w:basedOn w:val="1"/>
    <w:autoRedefine/>
    <w:qFormat/>
    <w:uiPriority w:val="0"/>
    <w:rPr>
      <w:szCs w:val="24"/>
    </w:rPr>
  </w:style>
  <w:style w:type="paragraph" w:customStyle="1" w:styleId="85">
    <w:name w:val="Char Char"/>
    <w:basedOn w:val="1"/>
    <w:autoRedefine/>
    <w:qFormat/>
    <w:uiPriority w:val="0"/>
    <w:rPr>
      <w:rFonts w:ascii="Tahoma" w:hAnsi="Tahoma" w:cs="仿宋_GB2312"/>
      <w:sz w:val="24"/>
    </w:rPr>
  </w:style>
  <w:style w:type="paragraph" w:customStyle="1" w:styleId="86">
    <w:name w:val="Char Char2"/>
    <w:basedOn w:val="1"/>
    <w:autoRedefine/>
    <w:qFormat/>
    <w:uiPriority w:val="0"/>
    <w:rPr>
      <w:rFonts w:ascii="Tahoma" w:hAnsi="Tahoma" w:cs="仿宋_GB2312"/>
      <w:sz w:val="24"/>
    </w:rPr>
  </w:style>
  <w:style w:type="paragraph" w:customStyle="1" w:styleId="87">
    <w:name w:val="Char Char Char1"/>
    <w:basedOn w:val="1"/>
    <w:autoRedefine/>
    <w:qFormat/>
    <w:uiPriority w:val="0"/>
    <w:rPr>
      <w:rFonts w:ascii="Tahoma" w:hAnsi="Tahoma"/>
      <w:sz w:val="24"/>
    </w:rPr>
  </w:style>
  <w:style w:type="paragraph" w:customStyle="1" w:styleId="88">
    <w:name w:val="D&amp;L"/>
    <w:basedOn w:val="22"/>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12"/>
    <w:autoRedefine/>
    <w:qFormat/>
    <w:uiPriority w:val="99"/>
    <w:rPr>
      <w:rFonts w:ascii="Calibri" w:hAnsi="Calibri" w:eastAsia="宋体" w:cs="Times New Roman"/>
      <w:sz w:val="16"/>
      <w:szCs w:val="16"/>
      <w:lang w:val="zh-CN" w:eastAsia="zh-CN"/>
    </w:rPr>
  </w:style>
  <w:style w:type="paragraph" w:customStyle="1" w:styleId="90">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autoRedefine/>
    <w:qFormat/>
    <w:uiPriority w:val="0"/>
    <w:rPr>
      <w:rFonts w:ascii="Times New Roman" w:hAnsi="Times New Roman" w:eastAsia="宋体"/>
    </w:rPr>
  </w:style>
  <w:style w:type="paragraph" w:customStyle="1" w:styleId="93">
    <w:name w:val="p0"/>
    <w:basedOn w:val="1"/>
    <w:autoRedefine/>
    <w:qFormat/>
    <w:uiPriority w:val="0"/>
    <w:pPr>
      <w:widowControl/>
      <w:jc w:val="left"/>
    </w:pPr>
    <w:rPr>
      <w:rFonts w:ascii="等线" w:hAnsi="等线" w:eastAsia="等线" w:cs="等线"/>
      <w:kern w:val="0"/>
      <w:sz w:val="20"/>
      <w:szCs w:val="22"/>
    </w:rPr>
  </w:style>
  <w:style w:type="paragraph" w:customStyle="1" w:styleId="94">
    <w:name w:val="列表段落1"/>
    <w:basedOn w:val="1"/>
    <w:autoRedefine/>
    <w:qFormat/>
    <w:uiPriority w:val="34"/>
    <w:pPr>
      <w:ind w:firstLine="420" w:firstLineChars="200"/>
    </w:pPr>
    <w:rPr>
      <w:szCs w:val="24"/>
    </w:rPr>
  </w:style>
  <w:style w:type="paragraph" w:customStyle="1" w:styleId="9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6">
    <w:name w:val="List Paragraph"/>
    <w:basedOn w:val="1"/>
    <w:autoRedefine/>
    <w:qFormat/>
    <w:uiPriority w:val="99"/>
    <w:pPr>
      <w:ind w:firstLine="420" w:firstLineChars="200"/>
    </w:pPr>
  </w:style>
  <w:style w:type="table" w:customStyle="1" w:styleId="97">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98">
    <w:name w:val="Table Text"/>
    <w:basedOn w:val="1"/>
    <w:autoRedefine/>
    <w:semiHidden/>
    <w:qFormat/>
    <w:uiPriority w:val="0"/>
    <w:rPr>
      <w:rFonts w:ascii="仿宋" w:hAnsi="仿宋" w:eastAsia="仿宋" w:cs="仿宋"/>
      <w:sz w:val="22"/>
      <w:szCs w:val="22"/>
      <w:lang w:val="en-US" w:eastAsia="en-US" w:bidi="ar-SA"/>
    </w:rPr>
  </w:style>
  <w:style w:type="paragraph" w:customStyle="1" w:styleId="99">
    <w:name w:val="Table Paragraph"/>
    <w:basedOn w:val="1"/>
    <w:qFormat/>
    <w:uiPriority w:val="99"/>
    <w:pPr>
      <w:jc w:val="left"/>
    </w:pPr>
    <w:rPr>
      <w:rFonts w:ascii="宋体" w:hAnsi="宋体" w:cs="宋体"/>
      <w:kern w:val="0"/>
      <w:sz w:val="22"/>
      <w:szCs w:val="22"/>
      <w:lang w:eastAsia="en-US"/>
    </w:rPr>
  </w:style>
  <w:style w:type="character" w:customStyle="1" w:styleId="100">
    <w:name w:val="标题 2 字符"/>
    <w:link w:val="6"/>
    <w:autoRedefine/>
    <w:qFormat/>
    <w:uiPriority w:val="0"/>
    <w:rPr>
      <w:rFonts w:ascii="Arial" w:hAnsi="Arial" w:eastAsia="黑体"/>
      <w:b/>
      <w:bCs/>
      <w:sz w:val="32"/>
      <w:szCs w:val="32"/>
    </w:rPr>
  </w:style>
  <w:style w:type="paragraph" w:customStyle="1" w:styleId="101">
    <w:name w:val="样式 标题 2 + 段前: 1 行 段后: 1 行"/>
    <w:basedOn w:val="6"/>
    <w:qFormat/>
    <w:uiPriority w:val="0"/>
    <w:pPr>
      <w:spacing w:before="0" w:beforeLines="0" w:after="0" w:afterLines="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11236</Words>
  <Characters>12126</Characters>
  <Lines>173</Lines>
  <Paragraphs>48</Paragraphs>
  <TotalTime>2</TotalTime>
  <ScaleCrop>false</ScaleCrop>
  <LinksUpToDate>false</LinksUpToDate>
  <CharactersWithSpaces>13077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Administrator</cp:lastModifiedBy>
  <cp:lastPrinted>2023-10-28T03:27:00Z</cp:lastPrinted>
  <dcterms:modified xsi:type="dcterms:W3CDTF">2024-12-09T08:16:59Z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AB11F8B1E2A24B0E8EB77EA4DEFE031D_13</vt:lpwstr>
  </property>
</Properties>
</file>