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F8064">
      <w:pPr>
        <w:jc w:val="center"/>
        <w:rPr>
          <w:rFonts w:ascii="宋体" w:hAnsi="宋体"/>
          <w:b/>
          <w:sz w:val="22"/>
          <w:szCs w:val="22"/>
        </w:rPr>
      </w:pPr>
    </w:p>
    <w:p w14:paraId="0050202E">
      <w:pPr>
        <w:jc w:val="center"/>
        <w:rPr>
          <w:rFonts w:hint="eastAsia" w:ascii="华文中宋" w:hAnsi="华文中宋" w:eastAsia="华文中宋" w:cs="华文中宋"/>
          <w:b w:val="0"/>
          <w:bCs/>
          <w:kern w:val="0"/>
          <w:sz w:val="44"/>
          <w:szCs w:val="44"/>
          <w:lang w:val="en-US" w:eastAsia="zh-CN" w:bidi="ar-SA"/>
        </w:rPr>
      </w:pPr>
      <w:r>
        <w:rPr>
          <w:rFonts w:hint="eastAsia" w:ascii="华文中宋" w:hAnsi="华文中宋" w:eastAsia="华文中宋" w:cs="华文中宋"/>
          <w:b w:val="0"/>
          <w:bCs/>
          <w:kern w:val="0"/>
          <w:sz w:val="44"/>
          <w:szCs w:val="44"/>
          <w:lang w:val="en-US" w:eastAsia="zh-CN" w:bidi="ar-SA"/>
        </w:rPr>
        <w:t>霍山县全域旅游基础设施及核心区提升</w:t>
      </w:r>
    </w:p>
    <w:p w14:paraId="2F3349CD">
      <w:pPr>
        <w:jc w:val="center"/>
        <w:rPr>
          <w:rFonts w:hint="eastAsia" w:ascii="华文中宋" w:hAnsi="华文中宋" w:eastAsia="华文中宋" w:cs="华文中宋"/>
          <w:b w:val="0"/>
          <w:bCs/>
          <w:kern w:val="0"/>
          <w:sz w:val="44"/>
          <w:szCs w:val="44"/>
          <w:lang w:val="en-US" w:eastAsia="zh-CN" w:bidi="ar-SA"/>
        </w:rPr>
      </w:pPr>
      <w:r>
        <w:rPr>
          <w:rFonts w:hint="eastAsia" w:ascii="华文中宋" w:hAnsi="华文中宋" w:eastAsia="华文中宋" w:cs="华文中宋"/>
          <w:b w:val="0"/>
          <w:bCs/>
          <w:kern w:val="0"/>
          <w:sz w:val="44"/>
          <w:szCs w:val="44"/>
          <w:lang w:val="en-US" w:eastAsia="zh-CN" w:bidi="ar-SA"/>
        </w:rPr>
        <w:t>项目策划服务</w:t>
      </w:r>
    </w:p>
    <w:p w14:paraId="01FA2D36">
      <w:pPr>
        <w:jc w:val="center"/>
        <w:rPr>
          <w:rFonts w:ascii="宋体" w:hAnsi="宋体"/>
          <w:b/>
          <w:sz w:val="32"/>
          <w:szCs w:val="32"/>
        </w:rPr>
      </w:pPr>
    </w:p>
    <w:p w14:paraId="2D777AF6">
      <w:pPr>
        <w:spacing w:line="720" w:lineRule="auto"/>
        <w:jc w:val="center"/>
        <w:rPr>
          <w:rFonts w:ascii="宋体" w:hAnsi="宋体"/>
          <w:b/>
          <w:sz w:val="48"/>
          <w:szCs w:val="48"/>
        </w:rPr>
      </w:pPr>
      <w:r>
        <w:rPr>
          <w:rFonts w:hint="eastAsia" w:ascii="宋体" w:hAnsi="宋体"/>
          <w:b/>
          <w:sz w:val="48"/>
          <w:szCs w:val="48"/>
        </w:rPr>
        <w:t>竞</w:t>
      </w:r>
    </w:p>
    <w:p w14:paraId="5A67E244">
      <w:pPr>
        <w:spacing w:line="720" w:lineRule="auto"/>
        <w:jc w:val="center"/>
        <w:rPr>
          <w:rFonts w:ascii="宋体" w:hAnsi="宋体"/>
          <w:b/>
          <w:sz w:val="48"/>
          <w:szCs w:val="48"/>
        </w:rPr>
      </w:pPr>
      <w:r>
        <w:rPr>
          <w:rFonts w:hint="eastAsia" w:ascii="宋体" w:hAnsi="宋体"/>
          <w:b/>
          <w:sz w:val="48"/>
          <w:szCs w:val="48"/>
        </w:rPr>
        <w:t>争</w:t>
      </w:r>
    </w:p>
    <w:p w14:paraId="73D1F6DA">
      <w:pPr>
        <w:spacing w:line="720" w:lineRule="auto"/>
        <w:jc w:val="center"/>
        <w:rPr>
          <w:rFonts w:ascii="宋体" w:hAnsi="宋体"/>
          <w:b/>
          <w:sz w:val="48"/>
          <w:szCs w:val="48"/>
        </w:rPr>
      </w:pPr>
      <w:r>
        <w:rPr>
          <w:rFonts w:hint="eastAsia" w:ascii="宋体" w:hAnsi="宋体"/>
          <w:b/>
          <w:sz w:val="48"/>
          <w:szCs w:val="48"/>
        </w:rPr>
        <w:t>性</w:t>
      </w:r>
    </w:p>
    <w:p w14:paraId="0ABD259A">
      <w:pPr>
        <w:spacing w:line="720" w:lineRule="auto"/>
        <w:jc w:val="center"/>
        <w:rPr>
          <w:rFonts w:ascii="宋体" w:hAnsi="宋体"/>
          <w:b/>
          <w:sz w:val="48"/>
          <w:szCs w:val="48"/>
        </w:rPr>
      </w:pPr>
      <w:r>
        <w:rPr>
          <w:rFonts w:hint="eastAsia" w:ascii="宋体" w:hAnsi="宋体"/>
          <w:b/>
          <w:sz w:val="48"/>
          <w:szCs w:val="48"/>
        </w:rPr>
        <w:t>谈</w:t>
      </w:r>
    </w:p>
    <w:p w14:paraId="244171C8">
      <w:pPr>
        <w:spacing w:line="720" w:lineRule="auto"/>
        <w:jc w:val="center"/>
        <w:rPr>
          <w:sz w:val="20"/>
          <w:szCs w:val="18"/>
        </w:rPr>
      </w:pPr>
      <w:r>
        <w:rPr>
          <w:rFonts w:hint="eastAsia" w:ascii="宋体" w:hAnsi="宋体"/>
          <w:b/>
          <w:sz w:val="48"/>
          <w:szCs w:val="48"/>
        </w:rPr>
        <w:t>判</w:t>
      </w:r>
    </w:p>
    <w:p w14:paraId="31222647">
      <w:pPr>
        <w:spacing w:line="720" w:lineRule="auto"/>
        <w:jc w:val="center"/>
        <w:rPr>
          <w:rFonts w:ascii="宋体" w:hAnsi="宋体"/>
          <w:b/>
          <w:sz w:val="48"/>
          <w:szCs w:val="48"/>
        </w:rPr>
      </w:pPr>
      <w:r>
        <w:rPr>
          <w:rFonts w:hint="eastAsia" w:ascii="宋体" w:hAnsi="宋体"/>
          <w:b/>
          <w:sz w:val="48"/>
          <w:szCs w:val="48"/>
        </w:rPr>
        <w:t>文</w:t>
      </w:r>
    </w:p>
    <w:p w14:paraId="2D41F3D3">
      <w:pPr>
        <w:spacing w:line="720" w:lineRule="auto"/>
        <w:jc w:val="center"/>
        <w:rPr>
          <w:rFonts w:ascii="宋体" w:hAnsi="宋体"/>
          <w:b/>
          <w:sz w:val="52"/>
          <w:szCs w:val="52"/>
        </w:rPr>
      </w:pPr>
      <w:r>
        <w:rPr>
          <w:rFonts w:hint="eastAsia" w:ascii="宋体" w:hAnsi="宋体"/>
          <w:b/>
          <w:sz w:val="48"/>
          <w:szCs w:val="48"/>
        </w:rPr>
        <w:t>件</w:t>
      </w:r>
    </w:p>
    <w:p w14:paraId="7F5B6E4D">
      <w:pPr>
        <w:pStyle w:val="33"/>
        <w:ind w:left="0" w:leftChars="0" w:firstLine="0" w:firstLineChars="0"/>
      </w:pPr>
    </w:p>
    <w:p w14:paraId="3829BB6D">
      <w:pPr>
        <w:tabs>
          <w:tab w:val="left" w:pos="2410"/>
        </w:tabs>
        <w:autoSpaceDE w:val="0"/>
        <w:autoSpaceDN w:val="0"/>
        <w:adjustRightInd w:val="0"/>
        <w:snapToGrid w:val="0"/>
        <w:spacing w:line="600" w:lineRule="exact"/>
        <w:ind w:left="1050" w:leftChars="500" w:firstLine="606" w:firstLineChars="200"/>
        <w:jc w:val="left"/>
        <w:rPr>
          <w:rFonts w:ascii="宋体" w:hAnsi="DotumChe" w:cs="宋体"/>
          <w:b/>
          <w:spacing w:val="11"/>
          <w:kern w:val="0"/>
          <w:sz w:val="28"/>
          <w:szCs w:val="28"/>
        </w:rPr>
      </w:pPr>
    </w:p>
    <w:p w14:paraId="4AB90B9C">
      <w:pPr>
        <w:tabs>
          <w:tab w:val="left" w:pos="2410"/>
        </w:tabs>
        <w:autoSpaceDE w:val="0"/>
        <w:autoSpaceDN w:val="0"/>
        <w:adjustRightInd w:val="0"/>
        <w:snapToGrid w:val="0"/>
        <w:spacing w:line="600" w:lineRule="exact"/>
        <w:ind w:left="1050" w:leftChars="500" w:firstLine="1030" w:firstLineChars="300"/>
        <w:jc w:val="left"/>
        <w:rPr>
          <w:rFonts w:hint="eastAsia" w:ascii="宋体" w:hAnsi="宋体" w:eastAsia="宋体" w:cs="宋体"/>
          <w:b/>
          <w:color w:val="000000"/>
          <w:spacing w:val="23"/>
          <w:sz w:val="32"/>
          <w:szCs w:val="32"/>
          <w:lang w:eastAsia="zh-CN"/>
        </w:rPr>
      </w:pPr>
      <w:r>
        <w:rPr>
          <w:rFonts w:hint="eastAsia" w:ascii="宋体" w:hAnsi="DotumChe" w:cs="宋体"/>
          <w:b/>
          <w:spacing w:val="11"/>
          <w:kern w:val="0"/>
          <w:sz w:val="32"/>
          <w:szCs w:val="32"/>
        </w:rPr>
        <w:t>项目编号：</w:t>
      </w:r>
      <w:r>
        <w:rPr>
          <w:rFonts w:hint="eastAsia" w:ascii="宋体" w:hAnsi="宋体" w:cs="宋体"/>
          <w:b/>
          <w:color w:val="000000"/>
          <w:spacing w:val="23"/>
          <w:sz w:val="32"/>
          <w:szCs w:val="32"/>
        </w:rPr>
        <w:t>HYCG-2024-01</w:t>
      </w:r>
      <w:r>
        <w:rPr>
          <w:rFonts w:hint="eastAsia" w:ascii="宋体" w:hAnsi="宋体" w:cs="宋体"/>
          <w:b/>
          <w:color w:val="000000"/>
          <w:spacing w:val="23"/>
          <w:sz w:val="32"/>
          <w:szCs w:val="32"/>
          <w:lang w:val="en-US" w:eastAsia="zh-CN"/>
        </w:rPr>
        <w:t>4</w:t>
      </w:r>
    </w:p>
    <w:p w14:paraId="1519A626">
      <w:pPr>
        <w:tabs>
          <w:tab w:val="left" w:pos="2410"/>
        </w:tabs>
        <w:autoSpaceDE w:val="0"/>
        <w:autoSpaceDN w:val="0"/>
        <w:adjustRightInd w:val="0"/>
        <w:snapToGrid w:val="0"/>
        <w:spacing w:line="600" w:lineRule="exact"/>
        <w:ind w:left="1050" w:leftChars="500" w:firstLine="1030" w:firstLineChars="300"/>
        <w:jc w:val="left"/>
        <w:rPr>
          <w:rFonts w:ascii="宋体" w:hAnsi="DotumChe" w:cs="宋体"/>
          <w:b/>
          <w:spacing w:val="11"/>
          <w:kern w:val="0"/>
          <w:sz w:val="32"/>
          <w:szCs w:val="32"/>
        </w:rPr>
      </w:pPr>
      <w:r>
        <w:rPr>
          <w:rFonts w:hint="eastAsia" w:ascii="宋体" w:hAnsi="DotumChe" w:cs="宋体"/>
          <w:b/>
          <w:spacing w:val="11"/>
          <w:kern w:val="0"/>
          <w:sz w:val="32"/>
          <w:szCs w:val="32"/>
        </w:rPr>
        <w:t>采 购 人：</w:t>
      </w:r>
      <w:r>
        <w:rPr>
          <w:rFonts w:hint="eastAsia" w:ascii="宋体" w:hAnsi="DotumChe" w:cs="宋体"/>
          <w:b/>
          <w:spacing w:val="11"/>
          <w:kern w:val="0"/>
          <w:sz w:val="32"/>
          <w:szCs w:val="32"/>
          <w:lang w:val="en-US" w:eastAsia="zh-CN"/>
        </w:rPr>
        <w:t>霍山县文化旅游体育局</w:t>
      </w:r>
    </w:p>
    <w:p w14:paraId="6C84C85C">
      <w:pPr>
        <w:tabs>
          <w:tab w:val="left" w:pos="2410"/>
        </w:tabs>
        <w:autoSpaceDE w:val="0"/>
        <w:autoSpaceDN w:val="0"/>
        <w:adjustRightInd w:val="0"/>
        <w:snapToGrid w:val="0"/>
        <w:spacing w:line="600" w:lineRule="exact"/>
        <w:ind w:left="1050" w:leftChars="500" w:firstLine="1030" w:firstLineChars="300"/>
        <w:jc w:val="left"/>
        <w:rPr>
          <w:rFonts w:ascii="宋体" w:hAnsi="宋体" w:cs="宋体"/>
          <w:b/>
          <w:color w:val="000000"/>
          <w:sz w:val="32"/>
          <w:szCs w:val="32"/>
        </w:rPr>
      </w:pPr>
      <w:r>
        <w:rPr>
          <w:rFonts w:hint="eastAsia" w:ascii="宋体" w:hAnsi="DotumChe" w:cs="宋体"/>
          <w:b/>
          <w:spacing w:val="11"/>
          <w:kern w:val="0"/>
          <w:sz w:val="32"/>
          <w:szCs w:val="32"/>
        </w:rPr>
        <w:t>采购代理机构：</w:t>
      </w:r>
      <w:r>
        <w:rPr>
          <w:rFonts w:hint="eastAsia" w:ascii="宋体" w:hAnsi="宋体" w:cs="宋体"/>
          <w:b/>
          <w:color w:val="000000"/>
          <w:sz w:val="32"/>
          <w:szCs w:val="32"/>
        </w:rPr>
        <w:t>安徽衡宇工程咨询有限公司</w:t>
      </w:r>
    </w:p>
    <w:p w14:paraId="431D8654">
      <w:pPr>
        <w:tabs>
          <w:tab w:val="left" w:pos="2410"/>
        </w:tabs>
        <w:autoSpaceDE w:val="0"/>
        <w:autoSpaceDN w:val="0"/>
        <w:adjustRightInd w:val="0"/>
        <w:snapToGrid w:val="0"/>
        <w:spacing w:line="600" w:lineRule="exact"/>
        <w:ind w:left="1050" w:leftChars="500" w:firstLine="1030" w:firstLineChars="300"/>
        <w:jc w:val="left"/>
        <w:rPr>
          <w:rFonts w:ascii="仿宋" w:hAnsi="仿宋" w:eastAsia="仿宋" w:cs="仿宋"/>
          <w:sz w:val="36"/>
          <w:szCs w:val="36"/>
        </w:rPr>
      </w:pPr>
      <w:r>
        <w:rPr>
          <w:rFonts w:hint="eastAsia" w:ascii="宋体" w:hAnsi="DotumChe" w:cs="宋体"/>
          <w:b/>
          <w:spacing w:val="11"/>
          <w:kern w:val="0"/>
          <w:sz w:val="32"/>
          <w:szCs w:val="32"/>
        </w:rPr>
        <w:t>采购时间：</w:t>
      </w:r>
      <w:r>
        <w:rPr>
          <w:rFonts w:hint="eastAsia" w:ascii="宋体" w:hAnsi="宋体" w:cs="宋体"/>
          <w:b/>
          <w:color w:val="000000"/>
          <w:sz w:val="32"/>
          <w:szCs w:val="32"/>
        </w:rPr>
        <w:t>2024年</w:t>
      </w:r>
      <w:r>
        <w:rPr>
          <w:rFonts w:hint="eastAsia" w:ascii="宋体" w:hAnsi="宋体" w:cs="宋体"/>
          <w:b/>
          <w:color w:val="000000"/>
          <w:sz w:val="32"/>
          <w:szCs w:val="32"/>
          <w:lang w:val="en-US" w:eastAsia="zh-CN"/>
        </w:rPr>
        <w:t>10</w:t>
      </w:r>
      <w:r>
        <w:rPr>
          <w:rFonts w:hint="eastAsia" w:ascii="宋体" w:hAnsi="宋体" w:cs="宋体"/>
          <w:b/>
          <w:color w:val="000000"/>
          <w:sz w:val="32"/>
          <w:szCs w:val="32"/>
        </w:rPr>
        <w:t>月</w:t>
      </w:r>
    </w:p>
    <w:p w14:paraId="5114CD0B">
      <w:pPr>
        <w:pStyle w:val="33"/>
      </w:pPr>
    </w:p>
    <w:p w14:paraId="21F7DB63">
      <w:pPr>
        <w:pStyle w:val="3"/>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5" w:type="first"/>
          <w:footerReference r:id="rId4" w:type="default"/>
          <w:pgSz w:w="11906" w:h="16838"/>
          <w:pgMar w:top="1440" w:right="1080" w:bottom="1440" w:left="1080" w:header="851" w:footer="992" w:gutter="0"/>
          <w:pgNumType w:fmt="decimal" w:start="1"/>
          <w:cols w:space="720" w:num="1"/>
          <w:titlePg/>
          <w:docGrid w:type="lines" w:linePitch="312" w:charSpace="0"/>
        </w:sectPr>
      </w:pPr>
    </w:p>
    <w:p w14:paraId="5DBC4EFD">
      <w:pPr>
        <w:pStyle w:val="3"/>
        <w:spacing w:before="120" w:beforeLines="50" w:after="120" w:afterLines="50" w:line="520" w:lineRule="exact"/>
        <w:jc w:val="center"/>
        <w:rPr>
          <w:rFonts w:ascii="华文中宋" w:hAnsi="华文中宋" w:eastAsia="华文中宋" w:cs="华文中宋"/>
          <w:b w:val="0"/>
          <w:bCs/>
          <w:sz w:val="40"/>
          <w:szCs w:val="40"/>
        </w:rPr>
      </w:pPr>
      <w:bookmarkStart w:id="0" w:name="_Toc13779"/>
      <w:bookmarkStart w:id="1" w:name="_Toc30186"/>
      <w:bookmarkStart w:id="2" w:name="_Toc363199264"/>
      <w:bookmarkStart w:id="3" w:name="_Toc216158623"/>
      <w:r>
        <w:rPr>
          <w:rFonts w:hint="eastAsia" w:ascii="华文中宋" w:hAnsi="华文中宋" w:eastAsia="华文中宋" w:cs="华文中宋"/>
          <w:b w:val="0"/>
          <w:bCs/>
          <w:sz w:val="40"/>
          <w:szCs w:val="40"/>
          <w:lang w:val="en-US" w:eastAsia="zh-CN"/>
        </w:rPr>
        <w:t>霍山县全域旅游基础设施及核心区提升项目策划服务</w:t>
      </w:r>
      <w:r>
        <w:rPr>
          <w:rFonts w:hint="eastAsia" w:ascii="华文中宋" w:hAnsi="华文中宋" w:eastAsia="华文中宋" w:cs="华文中宋"/>
          <w:b w:val="0"/>
          <w:bCs/>
          <w:sz w:val="40"/>
          <w:szCs w:val="40"/>
        </w:rPr>
        <w:t>竞争性谈判公告</w:t>
      </w:r>
      <w:bookmarkEnd w:id="0"/>
      <w:bookmarkEnd w:id="1"/>
    </w:p>
    <w:p w14:paraId="578F5FA3">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项目概况：</w:t>
      </w:r>
      <w:r>
        <w:rPr>
          <w:rFonts w:hint="eastAsia" w:ascii="宋体" w:hAnsi="宋体" w:cs="宋体"/>
          <w:sz w:val="24"/>
          <w:szCs w:val="24"/>
          <w:u w:val="single"/>
          <w:lang w:val="en-US" w:eastAsia="zh-CN"/>
        </w:rPr>
        <w:t>霍山县全域旅游基础设施及核心区提升项目策划服务</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项目编号：</w:t>
      </w:r>
      <w:r>
        <w:rPr>
          <w:rFonts w:hint="eastAsia" w:ascii="宋体" w:hAnsi="宋体" w:eastAsia="宋体" w:cs="宋体"/>
          <w:sz w:val="24"/>
          <w:szCs w:val="24"/>
          <w:u w:val="single"/>
        </w:rPr>
        <w:t>HYCG-2024-01</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w:t>
      </w:r>
      <w:r>
        <w:rPr>
          <w:rFonts w:hint="eastAsia" w:ascii="宋体" w:hAnsi="宋体" w:eastAsia="宋体" w:cs="宋体"/>
          <w:sz w:val="24"/>
          <w:szCs w:val="24"/>
          <w:lang w:eastAsia="zh-CN"/>
        </w:rPr>
        <w:t>收到</w:t>
      </w:r>
      <w:r>
        <w:rPr>
          <w:rFonts w:hint="eastAsia" w:ascii="宋体" w:hAnsi="宋体" w:eastAsia="宋体" w:cs="宋体"/>
          <w:sz w:val="24"/>
          <w:szCs w:val="24"/>
          <w:lang w:val="en-US" w:eastAsia="zh-CN"/>
        </w:rPr>
        <w:t>采购人</w:t>
      </w:r>
      <w:r>
        <w:rPr>
          <w:rFonts w:hint="eastAsia" w:ascii="宋体" w:hAnsi="宋体" w:eastAsia="宋体" w:cs="宋体"/>
          <w:sz w:val="24"/>
          <w:szCs w:val="24"/>
          <w:lang w:eastAsia="zh-CN"/>
        </w:rPr>
        <w:t>邀请函的</w:t>
      </w:r>
      <w:r>
        <w:rPr>
          <w:rFonts w:hint="eastAsia" w:ascii="宋体" w:hAnsi="宋体" w:eastAsia="宋体" w:cs="宋体"/>
          <w:sz w:val="24"/>
          <w:szCs w:val="24"/>
        </w:rPr>
        <w:t>供应商应在六安市公共资源交易电子服务系统（</w:t>
      </w:r>
      <w:r>
        <w:rPr>
          <w:rFonts w:hint="eastAsia" w:ascii="宋体" w:hAnsi="宋体" w:eastAsia="宋体" w:cs="宋体"/>
          <w:color w:val="auto"/>
          <w:sz w:val="24"/>
          <w:szCs w:val="24"/>
          <w:u w:val="none"/>
        </w:rPr>
        <w:t>http://ggzy.luan.gov.cn）</w:t>
      </w:r>
      <w:r>
        <w:rPr>
          <w:rFonts w:hint="eastAsia" w:ascii="宋体" w:hAnsi="宋体" w:eastAsia="宋体" w:cs="宋体"/>
          <w:color w:val="auto"/>
          <w:sz w:val="24"/>
          <w:szCs w:val="24"/>
          <w:u w:val="none"/>
          <w:lang w:eastAsia="zh-CN"/>
        </w:rPr>
        <w:t>、</w:t>
      </w:r>
      <w:r>
        <w:rPr>
          <w:rFonts w:hint="eastAsia" w:ascii="宋体" w:hAnsi="宋体" w:eastAsia="宋体" w:cs="宋体"/>
          <w:sz w:val="24"/>
          <w:szCs w:val="24"/>
        </w:rPr>
        <w:t>安徽衡宇工程咨询有限公司网（http://www.ahhygczx.com）</w:t>
      </w:r>
      <w:r>
        <w:rPr>
          <w:rFonts w:hint="eastAsia" w:ascii="宋体" w:hAnsi="宋体" w:eastAsia="宋体" w:cs="宋体"/>
          <w:color w:val="auto"/>
          <w:sz w:val="24"/>
          <w:szCs w:val="24"/>
          <w:u w:val="none"/>
        </w:rPr>
        <w:t>获取采购文件，并于</w:t>
      </w: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10</w:t>
      </w:r>
      <w:r>
        <w:rPr>
          <w:rFonts w:hint="eastAsia" w:ascii="宋体" w:hAnsi="宋体" w:eastAsia="宋体" w:cs="宋体"/>
          <w:sz w:val="24"/>
          <w:szCs w:val="24"/>
        </w:rPr>
        <w:t>月</w:t>
      </w:r>
      <w:r>
        <w:rPr>
          <w:rFonts w:hint="eastAsia" w:ascii="宋体" w:hAnsi="宋体" w:cs="宋体"/>
          <w:sz w:val="24"/>
          <w:szCs w:val="24"/>
          <w:u w:val="single"/>
          <w:lang w:val="en-US" w:eastAsia="zh-CN"/>
        </w:rPr>
        <w:t>28</w:t>
      </w:r>
      <w:r>
        <w:rPr>
          <w:rFonts w:hint="eastAsia" w:ascii="宋体" w:hAnsi="宋体" w:eastAsia="宋体" w:cs="宋体"/>
          <w:sz w:val="24"/>
          <w:szCs w:val="24"/>
          <w:highlight w:val="none"/>
        </w:rPr>
        <w:t>日</w:t>
      </w:r>
      <w:r>
        <w:rPr>
          <w:rFonts w:hint="eastAsia" w:ascii="宋体" w:hAnsi="宋体" w:cs="宋体"/>
          <w:sz w:val="24"/>
          <w:szCs w:val="24"/>
          <w:highlight w:val="none"/>
          <w:u w:val="single"/>
          <w:lang w:val="en-US" w:eastAsia="zh-CN"/>
        </w:rPr>
        <w:t>15</w:t>
      </w:r>
      <w:r>
        <w:rPr>
          <w:rFonts w:hint="eastAsia" w:ascii="宋体" w:hAnsi="宋体" w:eastAsia="宋体" w:cs="宋体"/>
          <w:sz w:val="24"/>
          <w:szCs w:val="24"/>
          <w:highlight w:val="non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rPr>
        <w:t>分（北</w:t>
      </w:r>
      <w:r>
        <w:rPr>
          <w:rFonts w:hint="eastAsia" w:ascii="宋体" w:hAnsi="宋体" w:eastAsia="宋体" w:cs="宋体"/>
          <w:sz w:val="24"/>
          <w:szCs w:val="24"/>
        </w:rPr>
        <w:t>京时间）前提交响应文件。</w:t>
      </w:r>
    </w:p>
    <w:p w14:paraId="6C9F569C">
      <w:pPr>
        <w:pStyle w:val="3"/>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bCs w:val="0"/>
          <w:sz w:val="24"/>
          <w:szCs w:val="24"/>
        </w:rPr>
      </w:pPr>
      <w:bookmarkStart w:id="4" w:name="_Toc35393798"/>
      <w:bookmarkStart w:id="5" w:name="_Toc28359089"/>
      <w:bookmarkStart w:id="6" w:name="_Toc25634"/>
      <w:bookmarkStart w:id="7" w:name="_Toc32104"/>
      <w:bookmarkStart w:id="8" w:name="_Toc28359012"/>
      <w:bookmarkStart w:id="9" w:name="_Toc35393629"/>
      <w:r>
        <w:rPr>
          <w:rFonts w:hint="eastAsia" w:ascii="宋体" w:hAnsi="宋体" w:eastAsia="宋体" w:cs="宋体"/>
          <w:b/>
          <w:bCs w:val="0"/>
          <w:sz w:val="24"/>
          <w:szCs w:val="24"/>
        </w:rPr>
        <w:t>一、项目基本情况</w:t>
      </w:r>
      <w:bookmarkEnd w:id="4"/>
      <w:bookmarkEnd w:id="5"/>
      <w:bookmarkEnd w:id="6"/>
      <w:bookmarkEnd w:id="7"/>
      <w:bookmarkEnd w:id="8"/>
      <w:bookmarkEnd w:id="9"/>
    </w:p>
    <w:p w14:paraId="34BF9CF1">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1、项目编号：HYCG-2024-01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p>
    <w:p w14:paraId="6A101D17">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2、项目名称：</w:t>
      </w:r>
      <w:r>
        <w:rPr>
          <w:rFonts w:hint="eastAsia" w:ascii="宋体" w:hAnsi="宋体" w:cs="宋体"/>
          <w:sz w:val="24"/>
          <w:szCs w:val="24"/>
          <w:lang w:val="en-US" w:eastAsia="zh-CN"/>
        </w:rPr>
        <w:t>霍山县全域旅游基础设施及核心区提升项目策划服务</w:t>
      </w:r>
    </w:p>
    <w:p w14:paraId="7601C3E9">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3、项目类型：服务类</w:t>
      </w:r>
    </w:p>
    <w:p w14:paraId="01EA16D9">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4、采购方式：竞争性谈判</w:t>
      </w:r>
    </w:p>
    <w:p w14:paraId="3F7692D7">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FF0000"/>
          <w:sz w:val="24"/>
          <w:szCs w:val="24"/>
        </w:rPr>
      </w:pPr>
      <w:r>
        <w:rPr>
          <w:rFonts w:hint="eastAsia" w:ascii="宋体" w:hAnsi="宋体" w:eastAsia="宋体" w:cs="宋体"/>
          <w:sz w:val="24"/>
          <w:szCs w:val="24"/>
        </w:rPr>
        <w:t>5、预算金</w:t>
      </w:r>
      <w:r>
        <w:rPr>
          <w:rFonts w:hint="eastAsia" w:ascii="宋体" w:hAnsi="宋体" w:eastAsia="宋体" w:cs="宋体"/>
          <w:color w:val="auto"/>
          <w:sz w:val="24"/>
          <w:szCs w:val="24"/>
        </w:rPr>
        <w:t>额：</w:t>
      </w:r>
      <w:r>
        <w:rPr>
          <w:rFonts w:hint="eastAsia" w:ascii="宋体" w:hAnsi="宋体" w:eastAsia="宋体" w:cs="宋体"/>
          <w:color w:val="auto"/>
          <w:sz w:val="24"/>
          <w:szCs w:val="24"/>
          <w:u w:val="single"/>
          <w:lang w:val="en-US" w:eastAsia="zh-CN"/>
        </w:rPr>
        <w:t>2</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rPr>
        <w:t>万元</w:t>
      </w:r>
    </w:p>
    <w:p w14:paraId="6B6943BD">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6、最高限价：</w:t>
      </w:r>
      <w:r>
        <w:rPr>
          <w:rFonts w:hint="eastAsia" w:ascii="宋体" w:hAnsi="宋体" w:eastAsia="宋体" w:cs="宋体"/>
          <w:sz w:val="24"/>
          <w:szCs w:val="24"/>
          <w:u w:val="single"/>
          <w:lang w:val="en-US" w:eastAsia="zh-CN"/>
        </w:rPr>
        <w:t>2</w:t>
      </w:r>
      <w:r>
        <w:rPr>
          <w:rFonts w:hint="eastAsia" w:ascii="宋体" w:hAnsi="宋体" w:cs="宋体"/>
          <w:sz w:val="24"/>
          <w:szCs w:val="24"/>
          <w:u w:val="single"/>
          <w:lang w:val="en-US" w:eastAsia="zh-CN"/>
        </w:rPr>
        <w:t>5</w:t>
      </w:r>
      <w:r>
        <w:rPr>
          <w:rFonts w:hint="eastAsia" w:ascii="宋体" w:hAnsi="宋体" w:eastAsia="宋体" w:cs="宋体"/>
          <w:sz w:val="24"/>
          <w:szCs w:val="24"/>
        </w:rPr>
        <w:t>万元</w:t>
      </w:r>
    </w:p>
    <w:p w14:paraId="074DE8E1">
      <w:pPr>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7、采购需求：</w:t>
      </w:r>
      <w:r>
        <w:rPr>
          <w:rFonts w:hint="eastAsia" w:ascii="宋体" w:hAnsi="宋体" w:eastAsia="宋体" w:cs="宋体"/>
          <w:sz w:val="24"/>
          <w:szCs w:val="24"/>
          <w:lang w:val="en-US" w:eastAsia="zh-CN"/>
        </w:rPr>
        <w:t>拟对霍山县全域旅游“一环、两核”、16个乡镇节点和部分景区基础设施配套项目进行项目策划，具体详见采购需求。</w:t>
      </w:r>
    </w:p>
    <w:p w14:paraId="0E8EFEFD">
      <w:pPr>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8、合同履行期限：</w:t>
      </w:r>
      <w:r>
        <w:rPr>
          <w:rFonts w:hint="eastAsia" w:ascii="宋体" w:hAnsi="宋体" w:cs="宋体"/>
          <w:sz w:val="24"/>
          <w:szCs w:val="24"/>
          <w:highlight w:val="none"/>
          <w:lang w:val="en-US" w:eastAsia="zh-CN"/>
        </w:rPr>
        <w:t>45日历天</w:t>
      </w:r>
    </w:p>
    <w:p w14:paraId="565915D4">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9、是否接受联合体：本项目不接受联合体。</w:t>
      </w:r>
    </w:p>
    <w:p w14:paraId="2154F386">
      <w:pPr>
        <w:pStyle w:val="3"/>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bCs w:val="0"/>
          <w:sz w:val="24"/>
          <w:szCs w:val="24"/>
        </w:rPr>
      </w:pPr>
      <w:bookmarkStart w:id="10" w:name="_Toc5548"/>
      <w:bookmarkStart w:id="11" w:name="_Toc28359013"/>
      <w:bookmarkStart w:id="12" w:name="_Toc35393799"/>
      <w:bookmarkStart w:id="13" w:name="_Toc28359090"/>
      <w:bookmarkStart w:id="14" w:name="_Toc35393630"/>
      <w:bookmarkStart w:id="15" w:name="_Toc8072"/>
      <w:r>
        <w:rPr>
          <w:rFonts w:hint="eastAsia" w:ascii="宋体" w:hAnsi="宋体" w:eastAsia="宋体" w:cs="宋体"/>
          <w:b/>
          <w:bCs w:val="0"/>
          <w:sz w:val="24"/>
          <w:szCs w:val="24"/>
        </w:rPr>
        <w:t>二、申请人的资格要求</w:t>
      </w:r>
      <w:bookmarkEnd w:id="10"/>
      <w:bookmarkEnd w:id="11"/>
      <w:bookmarkEnd w:id="12"/>
      <w:bookmarkEnd w:id="13"/>
      <w:bookmarkEnd w:id="14"/>
      <w:bookmarkEnd w:id="15"/>
    </w:p>
    <w:p w14:paraId="728BF290">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bookmarkStart w:id="16" w:name="_Toc28359014"/>
      <w:bookmarkStart w:id="17" w:name="_Toc28359091"/>
      <w:r>
        <w:rPr>
          <w:rFonts w:hint="eastAsia" w:ascii="宋体" w:hAnsi="宋体" w:eastAsia="宋体" w:cs="宋体"/>
          <w:sz w:val="24"/>
          <w:szCs w:val="24"/>
        </w:rPr>
        <w:t>1、满足《中华人民共和国政府采购法》第二十二条规定；</w:t>
      </w:r>
    </w:p>
    <w:p w14:paraId="43FE3802">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2、本项目的特定资格要求：</w:t>
      </w:r>
      <w:r>
        <w:rPr>
          <w:rFonts w:hint="eastAsia" w:ascii="宋体" w:hAnsi="宋体" w:eastAsia="宋体" w:cs="宋体"/>
          <w:sz w:val="24"/>
          <w:szCs w:val="24"/>
          <w:lang w:eastAsia="zh-CN"/>
        </w:rPr>
        <w:t>无。</w:t>
      </w:r>
    </w:p>
    <w:bookmarkEnd w:id="16"/>
    <w:bookmarkEnd w:id="17"/>
    <w:p w14:paraId="6E2F93DD">
      <w:pPr>
        <w:pStyle w:val="3"/>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bCs w:val="0"/>
          <w:sz w:val="24"/>
          <w:szCs w:val="24"/>
        </w:rPr>
      </w:pPr>
      <w:bookmarkStart w:id="18" w:name="_Toc15899"/>
      <w:bookmarkStart w:id="19" w:name="_Toc35393631"/>
      <w:bookmarkStart w:id="20" w:name="_Toc15371"/>
      <w:bookmarkStart w:id="21" w:name="_Toc35393800"/>
      <w:r>
        <w:rPr>
          <w:rFonts w:hint="eastAsia" w:ascii="宋体" w:hAnsi="宋体" w:eastAsia="宋体" w:cs="宋体"/>
          <w:b/>
          <w:bCs w:val="0"/>
          <w:sz w:val="24"/>
          <w:szCs w:val="24"/>
        </w:rPr>
        <w:t>三、获取采购文件</w:t>
      </w:r>
      <w:bookmarkEnd w:id="18"/>
      <w:bookmarkEnd w:id="19"/>
      <w:bookmarkEnd w:id="20"/>
      <w:bookmarkEnd w:id="21"/>
    </w:p>
    <w:p w14:paraId="726DFE15">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1、时间：</w:t>
      </w:r>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lang w:val="en-US" w:eastAsia="zh-CN"/>
        </w:rPr>
        <w:t>10</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23</w:t>
      </w:r>
      <w:r>
        <w:rPr>
          <w:rFonts w:hint="eastAsia" w:ascii="宋体" w:hAnsi="宋体" w:eastAsia="宋体" w:cs="宋体"/>
          <w:bCs/>
          <w:sz w:val="24"/>
          <w:szCs w:val="24"/>
          <w:highlight w:val="none"/>
        </w:rPr>
        <w:t>日至</w:t>
      </w:r>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lang w:val="en-US" w:eastAsia="zh-CN"/>
        </w:rPr>
        <w:t>10</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28</w:t>
      </w:r>
      <w:r>
        <w:rPr>
          <w:rFonts w:hint="eastAsia" w:ascii="宋体" w:hAnsi="宋体" w:eastAsia="宋体" w:cs="宋体"/>
          <w:bCs/>
          <w:sz w:val="24"/>
          <w:szCs w:val="24"/>
          <w:highlight w:val="none"/>
        </w:rPr>
        <w:t>日</w:t>
      </w:r>
      <w:r>
        <w:rPr>
          <w:rFonts w:hint="eastAsia" w:ascii="宋体" w:hAnsi="宋体" w:cs="宋体"/>
          <w:bCs/>
          <w:sz w:val="24"/>
          <w:szCs w:val="24"/>
          <w:highlight w:val="none"/>
          <w:u w:val="single"/>
          <w:lang w:val="en-US" w:eastAsia="zh-CN"/>
        </w:rPr>
        <w:t>15</w:t>
      </w:r>
      <w:r>
        <w:rPr>
          <w:rFonts w:hint="eastAsia" w:ascii="宋体" w:hAnsi="宋体" w:eastAsia="宋体" w:cs="宋体"/>
          <w:sz w:val="24"/>
          <w:szCs w:val="24"/>
          <w:highlight w:val="non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rPr>
        <w:t xml:space="preserve">分（北京时间） </w:t>
      </w:r>
    </w:p>
    <w:p w14:paraId="6DCB7BE7">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2、地点：</w:t>
      </w:r>
      <w:r>
        <w:rPr>
          <w:rFonts w:hint="eastAsia" w:ascii="宋体" w:hAnsi="宋体" w:eastAsia="宋体" w:cs="宋体"/>
          <w:sz w:val="24"/>
          <w:szCs w:val="24"/>
          <w:highlight w:val="none"/>
          <w:lang w:val="en-US" w:eastAsia="zh-CN"/>
        </w:rPr>
        <w:t>六安市公共资源交易电子服务系统（http://ggzy.luan.gov.cn）、安徽衡宇工程咨询有限公司网（http://www.ahhygczx.com）。</w:t>
      </w:r>
    </w:p>
    <w:p w14:paraId="315F4C0D">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rPr>
        <w:t>3、获取方式：</w:t>
      </w:r>
      <w:r>
        <w:rPr>
          <w:rFonts w:hint="eastAsia" w:ascii="宋体" w:hAnsi="宋体" w:eastAsia="宋体" w:cs="宋体"/>
          <w:sz w:val="24"/>
          <w:szCs w:val="24"/>
          <w:highlight w:val="none"/>
          <w:lang w:val="en-US" w:eastAsia="zh-CN"/>
        </w:rPr>
        <w:t>请收到采购人邀请函的供应商自行到安徽衡宇工程咨询有限公司</w:t>
      </w:r>
      <w:r>
        <w:rPr>
          <w:rFonts w:hint="eastAsia" w:ascii="宋体" w:hAnsi="宋体" w:eastAsia="宋体" w:cs="宋体"/>
          <w:sz w:val="24"/>
          <w:szCs w:val="24"/>
          <w:lang w:val="en-US" w:eastAsia="zh-CN"/>
        </w:rPr>
        <w:t>网站（http://www.ahhygczx.com/)下载本项目谈判文件（答疑澄清等相关文件资料），未收到邀请函的供应商，响应无效。</w:t>
      </w:r>
    </w:p>
    <w:p w14:paraId="5EB90F15">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4、售</w:t>
      </w:r>
      <w:r>
        <w:rPr>
          <w:rFonts w:hint="eastAsia" w:ascii="宋体" w:hAnsi="宋体" w:eastAsia="宋体" w:cs="宋体"/>
          <w:sz w:val="24"/>
          <w:szCs w:val="24"/>
          <w:highlight w:val="none"/>
        </w:rPr>
        <w:t>价：零元</w:t>
      </w:r>
    </w:p>
    <w:p w14:paraId="61534AC1">
      <w:pPr>
        <w:pStyle w:val="3"/>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bCs w:val="0"/>
          <w:sz w:val="24"/>
          <w:szCs w:val="24"/>
          <w:highlight w:val="none"/>
        </w:rPr>
      </w:pPr>
      <w:bookmarkStart w:id="22" w:name="_Toc28359015"/>
      <w:bookmarkStart w:id="23" w:name="_Toc35393632"/>
      <w:bookmarkStart w:id="24" w:name="_Toc35393801"/>
      <w:bookmarkStart w:id="25" w:name="_Toc28359092"/>
      <w:bookmarkStart w:id="26" w:name="_Toc1753"/>
      <w:bookmarkStart w:id="27" w:name="_Toc13207"/>
      <w:r>
        <w:rPr>
          <w:rFonts w:hint="eastAsia" w:ascii="宋体" w:hAnsi="宋体" w:eastAsia="宋体" w:cs="宋体"/>
          <w:b/>
          <w:bCs w:val="0"/>
          <w:sz w:val="24"/>
          <w:szCs w:val="24"/>
          <w:highlight w:val="none"/>
        </w:rPr>
        <w:t>四、响应文件</w:t>
      </w:r>
      <w:bookmarkEnd w:id="22"/>
      <w:bookmarkEnd w:id="23"/>
      <w:bookmarkEnd w:id="24"/>
      <w:bookmarkEnd w:id="25"/>
      <w:r>
        <w:rPr>
          <w:rFonts w:hint="eastAsia" w:ascii="宋体" w:hAnsi="宋体" w:eastAsia="宋体" w:cs="宋体"/>
          <w:b/>
          <w:bCs w:val="0"/>
          <w:sz w:val="24"/>
          <w:szCs w:val="24"/>
          <w:highlight w:val="none"/>
        </w:rPr>
        <w:t>提交</w:t>
      </w:r>
      <w:bookmarkEnd w:id="26"/>
      <w:bookmarkEnd w:id="27"/>
    </w:p>
    <w:p w14:paraId="74538F7D">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1、截止时间：</w:t>
      </w:r>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lang w:val="en-US" w:eastAsia="zh-CN"/>
        </w:rPr>
        <w:t>10</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23</w:t>
      </w:r>
      <w:r>
        <w:rPr>
          <w:rFonts w:hint="eastAsia" w:ascii="宋体" w:hAnsi="宋体" w:eastAsia="宋体" w:cs="宋体"/>
          <w:bCs/>
          <w:sz w:val="24"/>
          <w:szCs w:val="24"/>
          <w:highlight w:val="none"/>
        </w:rPr>
        <w:t>日至</w:t>
      </w:r>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lang w:val="en-US" w:eastAsia="zh-CN"/>
        </w:rPr>
        <w:t>10</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28</w:t>
      </w:r>
      <w:r>
        <w:rPr>
          <w:rFonts w:hint="eastAsia" w:ascii="宋体" w:hAnsi="宋体" w:eastAsia="宋体" w:cs="宋体"/>
          <w:bCs/>
          <w:sz w:val="24"/>
          <w:szCs w:val="24"/>
          <w:highlight w:val="none"/>
        </w:rPr>
        <w:t>日</w:t>
      </w:r>
      <w:r>
        <w:rPr>
          <w:rFonts w:hint="eastAsia" w:ascii="宋体" w:hAnsi="宋体" w:cs="宋体"/>
          <w:sz w:val="24"/>
          <w:szCs w:val="24"/>
          <w:highlight w:val="none"/>
          <w:u w:val="single"/>
          <w:lang w:val="en-US" w:eastAsia="zh-CN"/>
        </w:rPr>
        <w:t>15</w:t>
      </w:r>
      <w:r>
        <w:rPr>
          <w:rFonts w:hint="eastAsia" w:ascii="宋体" w:hAnsi="宋体" w:eastAsia="宋体" w:cs="宋体"/>
          <w:sz w:val="24"/>
          <w:szCs w:val="24"/>
          <w:highlight w:val="non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rPr>
        <w:t>分</w:t>
      </w:r>
      <w:r>
        <w:rPr>
          <w:rFonts w:hint="eastAsia" w:ascii="宋体" w:hAnsi="宋体" w:eastAsia="宋体" w:cs="宋体"/>
          <w:bCs/>
          <w:sz w:val="24"/>
          <w:szCs w:val="24"/>
          <w:highlight w:val="none"/>
        </w:rPr>
        <w:t>（北京时间）</w:t>
      </w:r>
    </w:p>
    <w:p w14:paraId="1EE9541C">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2、提交方式：</w:t>
      </w:r>
      <w:r>
        <w:rPr>
          <w:rFonts w:hint="eastAsia" w:ascii="宋体" w:hAnsi="宋体" w:eastAsia="宋体" w:cs="宋体"/>
          <w:sz w:val="24"/>
          <w:szCs w:val="24"/>
          <w:highlight w:val="none"/>
          <w:lang w:val="en-US" w:eastAsia="zh-CN"/>
        </w:rPr>
        <w:t>现场递交</w:t>
      </w:r>
    </w:p>
    <w:p w14:paraId="5978FED4">
      <w:pPr>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3、递交地点：安徽衡宇工程咨询有限公司二楼开标厅</w:t>
      </w:r>
      <w:r>
        <w:rPr>
          <w:rFonts w:hint="eastAsia" w:ascii="宋体" w:hAnsi="宋体" w:eastAsia="宋体" w:cs="宋体"/>
          <w:sz w:val="24"/>
          <w:szCs w:val="24"/>
          <w:highlight w:val="none"/>
          <w:lang w:eastAsia="zh-CN"/>
        </w:rPr>
        <w:t>（霍山县衡山镇中兴南路16号（老建设局大院</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楼））</w:t>
      </w:r>
    </w:p>
    <w:p w14:paraId="787B36A0">
      <w:pPr>
        <w:pStyle w:val="3"/>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bCs w:val="0"/>
          <w:sz w:val="24"/>
          <w:szCs w:val="24"/>
          <w:highlight w:val="none"/>
        </w:rPr>
      </w:pPr>
      <w:bookmarkStart w:id="28" w:name="_Toc35393802"/>
      <w:bookmarkStart w:id="29" w:name="_Toc2653"/>
      <w:bookmarkStart w:id="30" w:name="_Toc28359016"/>
      <w:bookmarkStart w:id="31" w:name="_Toc31128"/>
      <w:bookmarkStart w:id="32" w:name="_Toc35393633"/>
      <w:bookmarkStart w:id="33" w:name="_Toc28359093"/>
      <w:r>
        <w:rPr>
          <w:rFonts w:hint="eastAsia" w:ascii="宋体" w:hAnsi="宋体" w:eastAsia="宋体" w:cs="宋体"/>
          <w:b/>
          <w:bCs w:val="0"/>
          <w:sz w:val="24"/>
          <w:szCs w:val="24"/>
          <w:highlight w:val="none"/>
        </w:rPr>
        <w:t>五、响应文件开启</w:t>
      </w:r>
      <w:bookmarkEnd w:id="28"/>
      <w:bookmarkEnd w:id="29"/>
      <w:bookmarkEnd w:id="30"/>
      <w:bookmarkEnd w:id="31"/>
      <w:bookmarkEnd w:id="32"/>
      <w:bookmarkEnd w:id="33"/>
    </w:p>
    <w:p w14:paraId="35D61A8C">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1、时间：</w:t>
      </w:r>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lang w:val="en-US" w:eastAsia="zh-CN"/>
        </w:rPr>
        <w:t>10</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23</w:t>
      </w:r>
      <w:r>
        <w:rPr>
          <w:rFonts w:hint="eastAsia" w:ascii="宋体" w:hAnsi="宋体" w:eastAsia="宋体" w:cs="宋体"/>
          <w:bCs/>
          <w:sz w:val="24"/>
          <w:szCs w:val="24"/>
          <w:highlight w:val="none"/>
        </w:rPr>
        <w:t>日至</w:t>
      </w:r>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lang w:val="en-US" w:eastAsia="zh-CN"/>
        </w:rPr>
        <w:t>10</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28</w:t>
      </w:r>
      <w:r>
        <w:rPr>
          <w:rFonts w:hint="eastAsia" w:ascii="宋体" w:hAnsi="宋体" w:eastAsia="宋体" w:cs="宋体"/>
          <w:bCs/>
          <w:sz w:val="24"/>
          <w:szCs w:val="24"/>
          <w:highlight w:val="none"/>
        </w:rPr>
        <w:t>日</w:t>
      </w:r>
      <w:r>
        <w:rPr>
          <w:rFonts w:hint="eastAsia" w:ascii="宋体" w:hAnsi="宋体" w:cs="宋体"/>
          <w:sz w:val="24"/>
          <w:szCs w:val="24"/>
          <w:highlight w:val="none"/>
          <w:u w:val="single"/>
          <w:lang w:val="en-US" w:eastAsia="zh-CN"/>
        </w:rPr>
        <w:t>15</w:t>
      </w:r>
      <w:r>
        <w:rPr>
          <w:rFonts w:hint="eastAsia" w:ascii="宋体" w:hAnsi="宋体" w:eastAsia="宋体" w:cs="宋体"/>
          <w:sz w:val="24"/>
          <w:szCs w:val="24"/>
          <w:highlight w:val="non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rPr>
        <w:t>分（北京时间）</w:t>
      </w:r>
    </w:p>
    <w:p w14:paraId="2C7DA599">
      <w:pPr>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highlight w:val="none"/>
        </w:rPr>
        <w:t>2、地点：</w:t>
      </w:r>
      <w:r>
        <w:rPr>
          <w:rFonts w:hint="eastAsia" w:ascii="宋体" w:hAnsi="宋体" w:eastAsia="宋体" w:cs="宋体"/>
          <w:sz w:val="24"/>
          <w:szCs w:val="24"/>
          <w:highlight w:val="none"/>
          <w:lang w:val="en-US" w:eastAsia="zh-CN"/>
        </w:rPr>
        <w:t>安徽衡宇工程咨询有限公司二楼开标厅</w:t>
      </w:r>
      <w:r>
        <w:rPr>
          <w:rFonts w:hint="eastAsia" w:ascii="宋体" w:hAnsi="宋体" w:eastAsia="宋体" w:cs="宋体"/>
          <w:sz w:val="24"/>
          <w:szCs w:val="24"/>
          <w:highlight w:val="none"/>
          <w:lang w:eastAsia="zh-CN"/>
        </w:rPr>
        <w:t>（霍山县衡山镇中兴南路16号</w:t>
      </w:r>
      <w:r>
        <w:rPr>
          <w:rFonts w:hint="eastAsia" w:ascii="宋体" w:hAnsi="宋体" w:eastAsia="宋体" w:cs="宋体"/>
          <w:sz w:val="24"/>
          <w:szCs w:val="24"/>
          <w:lang w:eastAsia="zh-CN"/>
        </w:rPr>
        <w:t>（老建设局大院</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楼））</w:t>
      </w:r>
    </w:p>
    <w:p w14:paraId="39B3EB57">
      <w:pPr>
        <w:pStyle w:val="3"/>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bCs w:val="0"/>
          <w:sz w:val="24"/>
          <w:szCs w:val="24"/>
        </w:rPr>
      </w:pPr>
      <w:bookmarkStart w:id="34" w:name="_Toc25132"/>
      <w:bookmarkStart w:id="35" w:name="_Toc35393634"/>
      <w:bookmarkStart w:id="36" w:name="_Toc28359017"/>
      <w:bookmarkStart w:id="37" w:name="_Toc28359094"/>
      <w:bookmarkStart w:id="38" w:name="_Toc35393803"/>
      <w:bookmarkStart w:id="39" w:name="_Toc15099"/>
      <w:r>
        <w:rPr>
          <w:rFonts w:hint="eastAsia" w:ascii="宋体" w:hAnsi="宋体" w:eastAsia="宋体" w:cs="宋体"/>
          <w:b/>
          <w:bCs w:val="0"/>
          <w:sz w:val="24"/>
          <w:szCs w:val="24"/>
        </w:rPr>
        <w:t>六、公告期限</w:t>
      </w:r>
      <w:bookmarkEnd w:id="34"/>
      <w:bookmarkEnd w:id="35"/>
      <w:bookmarkEnd w:id="36"/>
      <w:bookmarkEnd w:id="37"/>
      <w:bookmarkEnd w:id="38"/>
      <w:bookmarkEnd w:id="39"/>
    </w:p>
    <w:p w14:paraId="3DA722C2">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p>
    <w:p w14:paraId="21EAD721">
      <w:pPr>
        <w:pageBreakBefore w:val="0"/>
        <w:kinsoku/>
        <w:wordWrap/>
        <w:overflowPunct/>
        <w:topLinePunct w:val="0"/>
        <w:autoSpaceDE/>
        <w:autoSpaceDN/>
        <w:bidi w:val="0"/>
        <w:adjustRightInd/>
        <w:snapToGrid/>
        <w:spacing w:line="500" w:lineRule="exact"/>
        <w:ind w:left="0" w:left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七、</w:t>
      </w:r>
      <w:bookmarkStart w:id="40" w:name="_Toc35393804"/>
      <w:bookmarkStart w:id="41" w:name="_Toc35393635"/>
      <w:r>
        <w:rPr>
          <w:rFonts w:hint="eastAsia" w:ascii="宋体" w:hAnsi="宋体" w:eastAsia="宋体" w:cs="宋体"/>
          <w:b/>
          <w:bCs/>
          <w:sz w:val="24"/>
          <w:szCs w:val="24"/>
        </w:rPr>
        <w:t>其他事宜</w:t>
      </w:r>
      <w:bookmarkEnd w:id="40"/>
      <w:bookmarkEnd w:id="41"/>
      <w:bookmarkStart w:id="42" w:name="_Toc28359095"/>
      <w:bookmarkStart w:id="43" w:name="_Toc35393636"/>
      <w:bookmarkStart w:id="44" w:name="_Toc35393805"/>
      <w:bookmarkStart w:id="45" w:name="_Toc28359018"/>
    </w:p>
    <w:p w14:paraId="5D082CAE">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供应商应当按照本项目采购文件规定的时间和地点参与谈判，供应商仅确定一名人员参加：法定代表人持本人二代居民身份证原件和法定代表人身份证明（或授权委托代理人持本人二代居民身份证原件和法人授权委托书原件）凡不能出示上述有效证件或到场人员与证件载明的人员不一致或未出席谈判会议者，响应文件不予接受，谈判资格无效</w:t>
      </w:r>
      <w:r>
        <w:rPr>
          <w:rFonts w:hint="eastAsia" w:ascii="宋体" w:hAnsi="宋体" w:eastAsia="宋体" w:cs="宋体"/>
          <w:sz w:val="24"/>
          <w:szCs w:val="24"/>
          <w:lang w:val="en-US" w:eastAsia="zh-CN"/>
        </w:rPr>
        <w:t>。</w:t>
      </w:r>
    </w:p>
    <w:p w14:paraId="740BF2F2">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2、答疑：供应商如果对本项目内容有相关疑问，可以以邮件形式提出，对采购文件进行的澄清、更正或更改，将在六安市公共资源交易电子服务系统（http://ggzy.luan.gov.cn）网站“交易信息”、“</w:t>
      </w:r>
      <w:r>
        <w:rPr>
          <w:rFonts w:hint="eastAsia" w:ascii="宋体" w:hAnsi="宋体" w:cs="宋体"/>
          <w:sz w:val="24"/>
          <w:szCs w:val="24"/>
          <w:lang w:val="en-US" w:eastAsia="zh-CN"/>
        </w:rPr>
        <w:t>非进场交易</w:t>
      </w:r>
      <w:r>
        <w:rPr>
          <w:rFonts w:hint="eastAsia" w:ascii="宋体" w:hAnsi="宋体" w:eastAsia="宋体" w:cs="宋体"/>
          <w:sz w:val="24"/>
          <w:szCs w:val="24"/>
          <w:lang w:val="en-US" w:eastAsia="zh-CN"/>
        </w:rPr>
        <w:t>项目”</w:t>
      </w:r>
      <w:r>
        <w:rPr>
          <w:rFonts w:hint="eastAsia" w:ascii="宋体" w:hAnsi="宋体" w:cs="宋体"/>
          <w:sz w:val="24"/>
          <w:szCs w:val="24"/>
          <w:lang w:val="en-US" w:eastAsia="zh-CN"/>
        </w:rPr>
        <w:t>、“乡镇（县直）自行发包公告”</w:t>
      </w:r>
      <w:r>
        <w:rPr>
          <w:rFonts w:hint="eastAsia" w:ascii="宋体" w:hAnsi="宋体" w:eastAsia="宋体" w:cs="宋体"/>
          <w:sz w:val="24"/>
          <w:szCs w:val="24"/>
          <w:lang w:val="en-US" w:eastAsia="zh-CN"/>
        </w:rPr>
        <w:t>版块上</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安徽衡宇工程咨询有限公司网</w:t>
      </w:r>
      <w:r>
        <w:rPr>
          <w:rFonts w:hint="eastAsia" w:ascii="宋体" w:hAnsi="宋体" w:cs="宋体"/>
          <w:sz w:val="24"/>
          <w:szCs w:val="24"/>
          <w:lang w:val="en-US" w:eastAsia="zh-CN"/>
        </w:rPr>
        <w:t>站</w:t>
      </w:r>
      <w:r>
        <w:rPr>
          <w:rFonts w:hint="eastAsia" w:ascii="宋体" w:hAnsi="宋体" w:eastAsia="宋体" w:cs="宋体"/>
          <w:sz w:val="24"/>
          <w:szCs w:val="24"/>
          <w:lang w:val="en-US" w:eastAsia="zh-CN"/>
        </w:rPr>
        <w:t>（http://www.ahhygczx.com）及时发布，该公告内容为采购文件的组成部分，对供应商具有同样约束力效力。供应商应主动上网查询，供应商须自行承担因未及时关注相关信息而引发的相关责任。</w:t>
      </w:r>
    </w:p>
    <w:p w14:paraId="1BEA2259">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3、本项目相关公告在六安市公共资源交易电子服务系统（http://ggzy.luan.gov.cn）网站“交易信息”、“</w:t>
      </w:r>
      <w:r>
        <w:rPr>
          <w:rFonts w:hint="eastAsia" w:ascii="宋体" w:hAnsi="宋体" w:cs="宋体"/>
          <w:sz w:val="24"/>
          <w:szCs w:val="24"/>
          <w:lang w:val="en-US" w:eastAsia="zh-CN"/>
        </w:rPr>
        <w:t>非进场交易</w:t>
      </w:r>
      <w:r>
        <w:rPr>
          <w:rFonts w:hint="eastAsia" w:ascii="宋体" w:hAnsi="宋体" w:eastAsia="宋体" w:cs="宋体"/>
          <w:sz w:val="24"/>
          <w:szCs w:val="24"/>
          <w:lang w:val="en-US" w:eastAsia="zh-CN"/>
        </w:rPr>
        <w:t>项目”</w:t>
      </w:r>
      <w:r>
        <w:rPr>
          <w:rFonts w:hint="eastAsia" w:ascii="宋体" w:hAnsi="宋体" w:cs="宋体"/>
          <w:sz w:val="24"/>
          <w:szCs w:val="24"/>
          <w:lang w:val="en-US" w:eastAsia="zh-CN"/>
        </w:rPr>
        <w:t>、“乡镇（县直）自行发包公告”</w:t>
      </w:r>
      <w:r>
        <w:rPr>
          <w:rFonts w:hint="eastAsia" w:ascii="宋体" w:hAnsi="宋体" w:eastAsia="宋体" w:cs="宋体"/>
          <w:sz w:val="24"/>
          <w:szCs w:val="24"/>
          <w:lang w:val="en-US" w:eastAsia="zh-CN"/>
        </w:rPr>
        <w:t>版块上</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安徽衡宇工程咨询有限公司网</w:t>
      </w:r>
      <w:r>
        <w:rPr>
          <w:rFonts w:hint="eastAsia" w:ascii="宋体" w:hAnsi="宋体" w:cs="宋体"/>
          <w:sz w:val="24"/>
          <w:szCs w:val="24"/>
          <w:lang w:val="en-US" w:eastAsia="zh-CN"/>
        </w:rPr>
        <w:t>站</w:t>
      </w:r>
      <w:r>
        <w:rPr>
          <w:rFonts w:hint="eastAsia" w:ascii="宋体" w:hAnsi="宋体" w:eastAsia="宋体" w:cs="宋体"/>
          <w:sz w:val="24"/>
          <w:szCs w:val="24"/>
          <w:lang w:val="en-US" w:eastAsia="zh-CN"/>
        </w:rPr>
        <w:t>（http://www.ahhygczx.com）发布，请各位供应商注意查看有关竞争性谈判公告、答疑澄清等相关文件资料，如不及时查看造成后果由供应商自负。</w:t>
      </w:r>
    </w:p>
    <w:p w14:paraId="609A9677">
      <w:pPr>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4、严禁恶意低价或恶意高价竞标，对恶意低价或恶意高价竞标的，采购人有权进行调查处理，经查证属实的，其响应资格无效，同时给予限制投标资格等处理。 </w:t>
      </w:r>
    </w:p>
    <w:p w14:paraId="6D44419A">
      <w:pPr>
        <w:pageBreakBefore w:val="0"/>
        <w:widowControl/>
        <w:shd w:val="clear" w:color="auto" w:fill="FFFFFF"/>
        <w:kinsoku/>
        <w:wordWrap/>
        <w:overflowPunct/>
        <w:topLinePunct w:val="0"/>
        <w:autoSpaceDE/>
        <w:autoSpaceDN/>
        <w:bidi w:val="0"/>
        <w:adjustRightInd/>
        <w:snapToGrid/>
        <w:spacing w:line="500" w:lineRule="exact"/>
        <w:ind w:left="0" w:leftChars="0" w:firstLine="240" w:firstLineChars="100"/>
        <w:jc w:val="both"/>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响应保证金：本项目无需提供。</w:t>
      </w:r>
    </w:p>
    <w:p w14:paraId="37CE7D61">
      <w:pPr>
        <w:pStyle w:val="3"/>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val="0"/>
          <w:bCs/>
          <w:sz w:val="24"/>
          <w:szCs w:val="24"/>
        </w:rPr>
      </w:pPr>
      <w:bookmarkStart w:id="46" w:name="_Toc726"/>
      <w:bookmarkStart w:id="47" w:name="_Toc21256"/>
      <w:r>
        <w:rPr>
          <w:rFonts w:hint="eastAsia" w:ascii="宋体" w:hAnsi="宋体" w:eastAsia="宋体" w:cs="宋体"/>
          <w:b w:val="0"/>
          <w:bCs/>
          <w:sz w:val="24"/>
          <w:szCs w:val="24"/>
        </w:rPr>
        <w:t>八、凡对本次采购提出询问，请按以下方式联系。</w:t>
      </w:r>
      <w:bookmarkEnd w:id="42"/>
      <w:bookmarkEnd w:id="43"/>
      <w:bookmarkEnd w:id="44"/>
      <w:bookmarkEnd w:id="45"/>
      <w:bookmarkEnd w:id="46"/>
      <w:bookmarkEnd w:id="47"/>
    </w:p>
    <w:p w14:paraId="763E4583">
      <w:pPr>
        <w:pStyle w:val="3"/>
        <w:pageBreakBefore w:val="0"/>
        <w:kinsoku/>
        <w:wordWrap/>
        <w:overflowPunct/>
        <w:topLinePunct w:val="0"/>
        <w:autoSpaceDE/>
        <w:autoSpaceDN/>
        <w:bidi w:val="0"/>
        <w:adjustRightInd/>
        <w:snapToGrid/>
        <w:spacing w:before="0" w:after="0" w:line="500" w:lineRule="exact"/>
        <w:ind w:left="0" w:leftChars="0" w:firstLine="480" w:firstLineChars="200"/>
        <w:jc w:val="both"/>
        <w:textAlignment w:val="auto"/>
        <w:rPr>
          <w:rFonts w:hint="eastAsia" w:ascii="宋体" w:hAnsi="宋体" w:eastAsia="宋体" w:cs="宋体"/>
          <w:b w:val="0"/>
          <w:bCs/>
          <w:sz w:val="24"/>
          <w:szCs w:val="24"/>
        </w:rPr>
      </w:pPr>
      <w:bookmarkStart w:id="48" w:name="_Toc28359019"/>
      <w:bookmarkStart w:id="49" w:name="_Toc12167"/>
      <w:bookmarkStart w:id="50" w:name="_Toc35393806"/>
      <w:bookmarkStart w:id="51" w:name="_Toc15509"/>
      <w:bookmarkStart w:id="52" w:name="_Toc35393637"/>
      <w:bookmarkStart w:id="53" w:name="_Toc28359096"/>
      <w:r>
        <w:rPr>
          <w:rFonts w:hint="eastAsia" w:ascii="宋体" w:hAnsi="宋体" w:eastAsia="宋体" w:cs="宋体"/>
          <w:b w:val="0"/>
          <w:bCs/>
          <w:sz w:val="24"/>
          <w:szCs w:val="24"/>
        </w:rPr>
        <w:t>1、采购人信息</w:t>
      </w:r>
      <w:bookmarkEnd w:id="48"/>
      <w:bookmarkEnd w:id="49"/>
      <w:bookmarkEnd w:id="50"/>
      <w:bookmarkEnd w:id="51"/>
      <w:bookmarkEnd w:id="52"/>
      <w:bookmarkEnd w:id="53"/>
    </w:p>
    <w:p w14:paraId="77A6A407">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名    称：</w:t>
      </w:r>
      <w:r>
        <w:rPr>
          <w:rFonts w:hint="eastAsia" w:ascii="宋体" w:hAnsi="宋体" w:eastAsia="宋体" w:cs="宋体"/>
          <w:bCs/>
          <w:sz w:val="24"/>
          <w:szCs w:val="24"/>
          <w:lang w:val="en-US" w:eastAsia="zh-CN"/>
        </w:rPr>
        <w:t>霍山县文化旅游体育局</w:t>
      </w:r>
    </w:p>
    <w:p w14:paraId="5919E82C">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地    址：霍山县行政中心主楼二楼</w:t>
      </w:r>
    </w:p>
    <w:p w14:paraId="35DD613B">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联系方式：</w:t>
      </w:r>
      <w:bookmarkStart w:id="54" w:name="_Toc35393807"/>
      <w:bookmarkStart w:id="55" w:name="_Toc28359020"/>
      <w:bookmarkStart w:id="56" w:name="_Toc35393638"/>
      <w:bookmarkStart w:id="57" w:name="_Toc28359097"/>
      <w:r>
        <w:rPr>
          <w:rFonts w:hint="eastAsia" w:ascii="宋体" w:hAnsi="宋体" w:eastAsia="宋体" w:cs="宋体"/>
          <w:bCs/>
          <w:sz w:val="24"/>
          <w:szCs w:val="24"/>
          <w:highlight w:val="none"/>
        </w:rPr>
        <w:t>0564-5020802</w:t>
      </w:r>
    </w:p>
    <w:p w14:paraId="74DEB93B">
      <w:pPr>
        <w:pageBreakBefore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采购代理机构信息</w:t>
      </w:r>
      <w:bookmarkEnd w:id="54"/>
      <w:bookmarkEnd w:id="55"/>
      <w:bookmarkEnd w:id="56"/>
      <w:bookmarkEnd w:id="57"/>
      <w:bookmarkStart w:id="58" w:name="_Toc35393639"/>
      <w:bookmarkStart w:id="59" w:name="_Toc35393808"/>
      <w:bookmarkStart w:id="60" w:name="_Toc28359021"/>
      <w:bookmarkStart w:id="61" w:name="_Toc28359098"/>
    </w:p>
    <w:p w14:paraId="557D341E">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名 称：</w:t>
      </w:r>
      <w:r>
        <w:rPr>
          <w:rFonts w:hint="eastAsia" w:ascii="宋体" w:hAnsi="宋体" w:eastAsia="宋体" w:cs="宋体"/>
          <w:bCs/>
          <w:sz w:val="24"/>
          <w:szCs w:val="24"/>
          <w:lang w:eastAsia="zh-CN"/>
        </w:rPr>
        <w:t>安徽衡宇工程咨询有限公司</w:t>
      </w:r>
      <w:r>
        <w:rPr>
          <w:rFonts w:hint="eastAsia" w:ascii="宋体" w:hAnsi="宋体" w:eastAsia="宋体" w:cs="宋体"/>
          <w:bCs/>
          <w:sz w:val="24"/>
          <w:szCs w:val="24"/>
        </w:rPr>
        <w:t xml:space="preserve"> </w:t>
      </w:r>
    </w:p>
    <w:p w14:paraId="0486829D">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地　址：</w:t>
      </w:r>
      <w:r>
        <w:rPr>
          <w:rFonts w:hint="eastAsia" w:ascii="宋体" w:hAnsi="宋体" w:eastAsia="宋体" w:cs="宋体"/>
          <w:bCs/>
          <w:sz w:val="24"/>
          <w:szCs w:val="24"/>
          <w:lang w:eastAsia="zh-CN"/>
        </w:rPr>
        <w:t>霍山县衡山镇中兴南路</w:t>
      </w:r>
      <w:r>
        <w:rPr>
          <w:rFonts w:hint="eastAsia" w:ascii="宋体" w:hAnsi="宋体" w:eastAsia="宋体" w:cs="宋体"/>
          <w:bCs/>
          <w:sz w:val="24"/>
          <w:szCs w:val="24"/>
          <w:lang w:val="en-US" w:eastAsia="zh-CN"/>
        </w:rPr>
        <w:t>16号（老建设局大院三楼）</w:t>
      </w:r>
      <w:r>
        <w:rPr>
          <w:rFonts w:hint="eastAsia" w:ascii="宋体" w:hAnsi="宋体" w:eastAsia="宋体" w:cs="宋体"/>
          <w:bCs/>
          <w:sz w:val="24"/>
          <w:szCs w:val="24"/>
        </w:rPr>
        <w:t xml:space="preserve"> </w:t>
      </w:r>
    </w:p>
    <w:p w14:paraId="5BDEC103">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联系方式：0564-5029965/18726959693</w:t>
      </w:r>
    </w:p>
    <w:p w14:paraId="25E4BF70">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3、项目联系方式</w:t>
      </w:r>
      <w:bookmarkEnd w:id="58"/>
      <w:bookmarkEnd w:id="59"/>
      <w:bookmarkEnd w:id="60"/>
      <w:bookmarkEnd w:id="61"/>
    </w:p>
    <w:p w14:paraId="14929836">
      <w:pPr>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项目联系人：</w:t>
      </w:r>
      <w:r>
        <w:rPr>
          <w:rFonts w:hint="eastAsia" w:ascii="宋体" w:hAnsi="宋体" w:eastAsia="宋体" w:cs="宋体"/>
          <w:bCs/>
          <w:sz w:val="24"/>
          <w:szCs w:val="24"/>
          <w:lang w:eastAsia="zh-CN"/>
        </w:rPr>
        <w:t>朱工</w:t>
      </w:r>
    </w:p>
    <w:p w14:paraId="0FAD6F61">
      <w:pPr>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电　   话：0564-5029965/18726959693</w:t>
      </w:r>
    </w:p>
    <w:p w14:paraId="06BE5CBE">
      <w:pPr>
        <w:pStyle w:val="33"/>
        <w:pageBreakBefore w:val="0"/>
        <w:kinsoku/>
        <w:wordWrap/>
        <w:overflowPunct/>
        <w:topLinePunct w:val="0"/>
        <w:autoSpaceDE/>
        <w:autoSpaceDN/>
        <w:bidi w:val="0"/>
        <w:adjustRightInd/>
        <w:snapToGrid/>
        <w:spacing w:after="0" w:line="500" w:lineRule="exact"/>
        <w:ind w:left="0" w:leftChars="0" w:firstLine="0"/>
        <w:jc w:val="both"/>
        <w:textAlignment w:val="auto"/>
        <w:rPr>
          <w:rFonts w:hint="eastAsia" w:ascii="宋体" w:hAnsi="宋体" w:eastAsia="宋体" w:cs="宋体"/>
          <w:bCs/>
          <w:sz w:val="24"/>
          <w:szCs w:val="24"/>
        </w:rPr>
      </w:pPr>
    </w:p>
    <w:p w14:paraId="76D7B2B7">
      <w:pPr>
        <w:pStyle w:val="33"/>
        <w:pageBreakBefore w:val="0"/>
        <w:kinsoku/>
        <w:wordWrap/>
        <w:overflowPunct/>
        <w:topLinePunct w:val="0"/>
        <w:autoSpaceDE/>
        <w:autoSpaceDN/>
        <w:bidi w:val="0"/>
        <w:adjustRightInd/>
        <w:snapToGrid/>
        <w:spacing w:line="500" w:lineRule="exact"/>
        <w:ind w:firstLine="0"/>
        <w:jc w:val="righ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霍山县文化旅游体育局</w:t>
      </w:r>
    </w:p>
    <w:p w14:paraId="7742EA19">
      <w:pPr>
        <w:pStyle w:val="33"/>
        <w:pageBreakBefore w:val="0"/>
        <w:kinsoku/>
        <w:wordWrap/>
        <w:overflowPunct/>
        <w:topLinePunct w:val="0"/>
        <w:autoSpaceDE/>
        <w:autoSpaceDN/>
        <w:bidi w:val="0"/>
        <w:adjustRightInd/>
        <w:snapToGrid/>
        <w:spacing w:line="500" w:lineRule="exact"/>
        <w:ind w:firstLine="0"/>
        <w:jc w:val="righ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eastAsia="zh-CN"/>
        </w:rPr>
        <w:t>安徽衡宇工程咨询有限公司</w:t>
      </w:r>
      <w:r>
        <w:rPr>
          <w:rFonts w:hint="eastAsia" w:ascii="宋体" w:hAnsi="宋体" w:eastAsia="宋体" w:cs="宋体"/>
          <w:bCs/>
          <w:sz w:val="24"/>
          <w:szCs w:val="24"/>
        </w:rPr>
        <w:t xml:space="preserve"> </w:t>
      </w:r>
      <w:bookmarkStart w:id="148" w:name="_GoBack"/>
      <w:bookmarkEnd w:id="148"/>
    </w:p>
    <w:p w14:paraId="15F95492">
      <w:pPr>
        <w:pageBreakBefore w:val="0"/>
        <w:kinsoku/>
        <w:wordWrap/>
        <w:overflowPunct/>
        <w:topLinePunct w:val="0"/>
        <w:autoSpaceDE/>
        <w:autoSpaceDN/>
        <w:bidi w:val="0"/>
        <w:adjustRightInd/>
        <w:snapToGrid/>
        <w:spacing w:line="500" w:lineRule="exact"/>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2024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lang w:val="en-US" w:eastAsia="zh-CN"/>
        </w:rPr>
        <w:t>10</w:t>
      </w:r>
      <w:r>
        <w:rPr>
          <w:rFonts w:hint="eastAsia" w:ascii="宋体" w:hAnsi="宋体" w:eastAsia="宋体" w:cs="宋体"/>
          <w:bCs/>
          <w:sz w:val="24"/>
          <w:szCs w:val="24"/>
          <w:highlight w:val="none"/>
        </w:rPr>
        <w:t>月</w:t>
      </w:r>
      <w:r>
        <w:rPr>
          <w:rFonts w:hint="eastAsia" w:ascii="宋体" w:hAnsi="宋体" w:cs="宋体"/>
          <w:bCs/>
          <w:sz w:val="24"/>
          <w:szCs w:val="24"/>
          <w:highlight w:val="none"/>
          <w:lang w:val="en-US" w:eastAsia="zh-CN"/>
        </w:rPr>
        <w:t>23</w:t>
      </w:r>
      <w:r>
        <w:rPr>
          <w:rFonts w:hint="eastAsia" w:ascii="宋体" w:hAnsi="宋体" w:eastAsia="宋体" w:cs="宋体"/>
          <w:bCs/>
          <w:sz w:val="24"/>
          <w:szCs w:val="24"/>
          <w:highlight w:val="none"/>
        </w:rPr>
        <w:t>日</w:t>
      </w:r>
    </w:p>
    <w:p w14:paraId="461ABEEF">
      <w:pPr>
        <w:rPr>
          <w:rFonts w:ascii="宋体" w:hAnsi="宋体" w:cs="宋体"/>
          <w:sz w:val="28"/>
          <w:szCs w:val="28"/>
        </w:rPr>
      </w:pPr>
      <w:r>
        <w:rPr>
          <w:rFonts w:hint="eastAsia" w:ascii="宋体" w:hAnsi="宋体" w:cs="宋体"/>
          <w:sz w:val="28"/>
          <w:szCs w:val="28"/>
        </w:rPr>
        <w:br w:type="page"/>
      </w:r>
    </w:p>
    <w:p w14:paraId="61B96D7F">
      <w:pPr>
        <w:pStyle w:val="3"/>
        <w:spacing w:before="120" w:beforeLines="50" w:after="120" w:afterLines="50" w:line="560" w:lineRule="exact"/>
        <w:jc w:val="center"/>
        <w:rPr>
          <w:rFonts w:ascii="宋体" w:hAnsi="宋体" w:eastAsia="宋体" w:cs="宋体"/>
          <w:sz w:val="28"/>
          <w:szCs w:val="28"/>
        </w:rPr>
      </w:pPr>
      <w:bookmarkStart w:id="62" w:name="_Toc16403"/>
      <w:r>
        <w:rPr>
          <w:rFonts w:hint="eastAsia" w:ascii="宋体" w:hAnsi="宋体" w:eastAsia="宋体" w:cs="宋体"/>
          <w:sz w:val="28"/>
          <w:szCs w:val="28"/>
        </w:rPr>
        <w:t>一、供应商须知</w:t>
      </w:r>
      <w:bookmarkEnd w:id="2"/>
      <w:bookmarkEnd w:id="3"/>
      <w:bookmarkEnd w:id="62"/>
    </w:p>
    <w:p w14:paraId="5C3DA27F">
      <w:pPr>
        <w:pStyle w:val="3"/>
        <w:pageBreakBefore w:val="0"/>
        <w:kinsoku/>
        <w:wordWrap/>
        <w:overflowPunct/>
        <w:topLinePunct w:val="0"/>
        <w:autoSpaceDE/>
        <w:autoSpaceDN/>
        <w:bidi w:val="0"/>
        <w:spacing w:before="0" w:after="0" w:line="500" w:lineRule="exact"/>
        <w:jc w:val="center"/>
        <w:rPr>
          <w:rFonts w:hint="eastAsia" w:ascii="宋体" w:hAnsi="宋体" w:eastAsia="宋体" w:cs="宋体"/>
          <w:sz w:val="24"/>
          <w:szCs w:val="24"/>
        </w:rPr>
      </w:pPr>
      <w:bookmarkStart w:id="63" w:name="_Toc13653"/>
      <w:r>
        <w:rPr>
          <w:rFonts w:hint="eastAsia" w:ascii="宋体" w:hAnsi="宋体" w:eastAsia="宋体" w:cs="宋体"/>
          <w:sz w:val="24"/>
          <w:szCs w:val="24"/>
        </w:rPr>
        <w:t>（一）须知前附表</w:t>
      </w:r>
      <w:bookmarkEnd w:id="63"/>
    </w:p>
    <w:tbl>
      <w:tblPr>
        <w:tblStyle w:val="35"/>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680"/>
        <w:gridCol w:w="7130"/>
      </w:tblGrid>
      <w:tr w14:paraId="754D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2FC95EC">
            <w:pPr>
              <w:pageBreakBefore w:val="0"/>
              <w:kinsoku/>
              <w:wordWrap/>
              <w:overflowPunct/>
              <w:topLinePunct w:val="0"/>
              <w:autoSpaceDE/>
              <w:autoSpaceDN/>
              <w:bidi w:val="0"/>
              <w:spacing w:line="500" w:lineRule="exact"/>
              <w:jc w:val="center"/>
              <w:rPr>
                <w:rFonts w:hint="eastAsia" w:ascii="宋体" w:hAnsi="宋体" w:eastAsia="宋体" w:cs="宋体"/>
                <w:b/>
                <w:sz w:val="24"/>
                <w:szCs w:val="24"/>
              </w:rPr>
            </w:pPr>
            <w:bookmarkStart w:id="64" w:name="_Toc216158627"/>
            <w:bookmarkStart w:id="65" w:name="_Toc363199267"/>
            <w:bookmarkStart w:id="66" w:name="_Toc438107743"/>
            <w:r>
              <w:rPr>
                <w:rFonts w:hint="eastAsia" w:ascii="宋体" w:hAnsi="宋体" w:eastAsia="宋体" w:cs="宋体"/>
                <w:b/>
                <w:sz w:val="24"/>
                <w:szCs w:val="24"/>
              </w:rPr>
              <w:t>序号</w:t>
            </w:r>
          </w:p>
        </w:tc>
        <w:tc>
          <w:tcPr>
            <w:tcW w:w="1680" w:type="dxa"/>
            <w:vAlign w:val="center"/>
          </w:tcPr>
          <w:p w14:paraId="18D7E7DA">
            <w:pPr>
              <w:pageBreakBefore w:val="0"/>
              <w:kinsoku/>
              <w:wordWrap/>
              <w:overflowPunct/>
              <w:topLinePunct w:val="0"/>
              <w:autoSpaceDE/>
              <w:autoSpaceDN/>
              <w:bidi w:val="0"/>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7130" w:type="dxa"/>
            <w:vAlign w:val="center"/>
          </w:tcPr>
          <w:p w14:paraId="698A3105">
            <w:pPr>
              <w:pStyle w:val="90"/>
              <w:pageBreakBefore w:val="0"/>
              <w:widowControl w:val="0"/>
              <w:kinsoku/>
              <w:wordWrap/>
              <w:overflowPunct/>
              <w:topLinePunct w:val="0"/>
              <w:autoSpaceDE/>
              <w:autoSpaceDN/>
              <w:bidi w:val="0"/>
              <w:spacing w:before="0" w:beforeAutospacing="0" w:after="0" w:afterAutospacing="0" w:line="500" w:lineRule="exact"/>
              <w:rPr>
                <w:rFonts w:hint="eastAsia" w:ascii="宋体" w:hAnsi="宋体" w:eastAsia="宋体" w:cs="宋体"/>
                <w:bCs w:val="0"/>
                <w:kern w:val="2"/>
                <w:sz w:val="24"/>
                <w:szCs w:val="24"/>
              </w:rPr>
            </w:pPr>
            <w:r>
              <w:rPr>
                <w:rFonts w:hint="eastAsia" w:ascii="宋体" w:hAnsi="宋体" w:eastAsia="宋体" w:cs="宋体"/>
                <w:bCs w:val="0"/>
                <w:kern w:val="2"/>
                <w:sz w:val="24"/>
                <w:szCs w:val="24"/>
              </w:rPr>
              <w:t>说明与要求</w:t>
            </w:r>
          </w:p>
        </w:tc>
      </w:tr>
      <w:tr w14:paraId="305C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0A9EC91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w:t>
            </w:r>
          </w:p>
        </w:tc>
        <w:tc>
          <w:tcPr>
            <w:tcW w:w="1680" w:type="dxa"/>
            <w:vAlign w:val="center"/>
          </w:tcPr>
          <w:p w14:paraId="6A6253D9">
            <w:pPr>
              <w:pageBreakBefore w:val="0"/>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Cs/>
                <w:sz w:val="24"/>
                <w:szCs w:val="24"/>
              </w:rPr>
              <w:t>采购人</w:t>
            </w:r>
          </w:p>
        </w:tc>
        <w:tc>
          <w:tcPr>
            <w:tcW w:w="7130" w:type="dxa"/>
            <w:vAlign w:val="center"/>
          </w:tcPr>
          <w:p w14:paraId="4DE141E3">
            <w:pPr>
              <w:pageBreakBefore w:val="0"/>
              <w:kinsoku/>
              <w:wordWrap/>
              <w:overflowPunct/>
              <w:topLinePunct w:val="0"/>
              <w:autoSpaceDE/>
              <w:autoSpaceDN/>
              <w:bidi w:val="0"/>
              <w:spacing w:line="500" w:lineRule="exact"/>
              <w:rPr>
                <w:rFonts w:hint="eastAsia" w:ascii="宋体" w:hAnsi="宋体" w:eastAsia="宋体" w:cs="宋体"/>
                <w:sz w:val="24"/>
                <w:szCs w:val="24"/>
              </w:rPr>
            </w:pPr>
            <w:r>
              <w:rPr>
                <w:rFonts w:hint="eastAsia" w:ascii="宋体" w:hAnsi="宋体" w:eastAsia="宋体" w:cs="宋体"/>
                <w:sz w:val="24"/>
                <w:szCs w:val="24"/>
                <w:lang w:val="en-US" w:eastAsia="zh-CN"/>
              </w:rPr>
              <w:t>霍山县文化旅游体育局</w:t>
            </w:r>
          </w:p>
        </w:tc>
      </w:tr>
      <w:tr w14:paraId="3294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3EC8D1D1">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2</w:t>
            </w:r>
          </w:p>
        </w:tc>
        <w:tc>
          <w:tcPr>
            <w:tcW w:w="1680" w:type="dxa"/>
            <w:vAlign w:val="center"/>
          </w:tcPr>
          <w:p w14:paraId="4942FF9F">
            <w:pPr>
              <w:pageBreakBefore w:val="0"/>
              <w:kinsoku/>
              <w:wordWrap/>
              <w:overflowPunct/>
              <w:topLinePunct w:val="0"/>
              <w:autoSpaceDE/>
              <w:autoSpaceDN/>
              <w:bidi w:val="0"/>
              <w:spacing w:line="500" w:lineRule="exact"/>
              <w:jc w:val="center"/>
              <w:rPr>
                <w:rFonts w:hint="eastAsia" w:ascii="宋体" w:hAnsi="宋体" w:eastAsia="宋体" w:cs="宋体"/>
                <w:bCs/>
                <w:sz w:val="24"/>
                <w:szCs w:val="24"/>
              </w:rPr>
            </w:pPr>
            <w:r>
              <w:rPr>
                <w:rFonts w:hint="eastAsia" w:ascii="宋体" w:hAnsi="宋体" w:eastAsia="宋体" w:cs="宋体"/>
                <w:sz w:val="24"/>
                <w:szCs w:val="24"/>
              </w:rPr>
              <w:t>采购代理机构</w:t>
            </w:r>
          </w:p>
        </w:tc>
        <w:tc>
          <w:tcPr>
            <w:tcW w:w="7130" w:type="dxa"/>
            <w:vAlign w:val="center"/>
          </w:tcPr>
          <w:p w14:paraId="4B5CAB52">
            <w:pPr>
              <w:pageBreakBefore w:val="0"/>
              <w:kinsoku/>
              <w:wordWrap/>
              <w:overflowPunct/>
              <w:topLinePunct w:val="0"/>
              <w:autoSpaceDE/>
              <w:autoSpaceDN/>
              <w:bidi w:val="0"/>
              <w:spacing w:line="500" w:lineRule="exact"/>
              <w:jc w:val="left"/>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bCs/>
                <w:sz w:val="24"/>
                <w:szCs w:val="24"/>
                <w:lang w:eastAsia="zh-CN"/>
              </w:rPr>
              <w:t>安徽衡宇工程咨询有限公司</w:t>
            </w:r>
            <w:r>
              <w:rPr>
                <w:rFonts w:hint="eastAsia" w:ascii="宋体" w:hAnsi="宋体" w:eastAsia="宋体" w:cs="宋体"/>
                <w:sz w:val="24"/>
                <w:szCs w:val="24"/>
              </w:rPr>
              <w:t xml:space="preserve"> </w:t>
            </w:r>
          </w:p>
          <w:p w14:paraId="5BAEF393">
            <w:pPr>
              <w:pageBreakBefore w:val="0"/>
              <w:kinsoku/>
              <w:wordWrap/>
              <w:overflowPunct/>
              <w:topLinePunct w:val="0"/>
              <w:autoSpaceDE/>
              <w:autoSpaceDN/>
              <w:bidi w:val="0"/>
              <w:spacing w:line="500" w:lineRule="exact"/>
              <w:jc w:val="left"/>
              <w:rPr>
                <w:rFonts w:hint="eastAsia" w:ascii="宋体" w:hAnsi="宋体" w:eastAsia="宋体" w:cs="宋体"/>
                <w:b/>
                <w:bCs/>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霍山县衡山镇中兴南路</w:t>
            </w:r>
            <w:r>
              <w:rPr>
                <w:rFonts w:hint="eastAsia" w:ascii="宋体" w:hAnsi="宋体" w:eastAsia="宋体" w:cs="宋体"/>
                <w:sz w:val="24"/>
                <w:szCs w:val="24"/>
                <w:lang w:val="en-US" w:eastAsia="zh-CN"/>
              </w:rPr>
              <w:t>16号（老建设局大院三楼）</w:t>
            </w:r>
            <w:r>
              <w:rPr>
                <w:rFonts w:hint="eastAsia" w:ascii="宋体" w:hAnsi="宋体" w:eastAsia="宋体" w:cs="宋体"/>
                <w:b/>
                <w:bCs/>
                <w:sz w:val="24"/>
                <w:szCs w:val="24"/>
              </w:rPr>
              <w:t xml:space="preserve"> </w:t>
            </w:r>
          </w:p>
        </w:tc>
      </w:tr>
      <w:tr w14:paraId="7D81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4B66EFE">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3</w:t>
            </w:r>
          </w:p>
        </w:tc>
        <w:tc>
          <w:tcPr>
            <w:tcW w:w="1680" w:type="dxa"/>
            <w:vAlign w:val="center"/>
          </w:tcPr>
          <w:p w14:paraId="47245A61">
            <w:pPr>
              <w:pageBreakBefore w:val="0"/>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谈判有效期</w:t>
            </w:r>
          </w:p>
        </w:tc>
        <w:tc>
          <w:tcPr>
            <w:tcW w:w="7130" w:type="dxa"/>
            <w:vAlign w:val="center"/>
          </w:tcPr>
          <w:p w14:paraId="41D7007E">
            <w:pPr>
              <w:pStyle w:val="90"/>
              <w:pageBreakBefore w:val="0"/>
              <w:widowControl w:val="0"/>
              <w:kinsoku/>
              <w:wordWrap/>
              <w:overflowPunct/>
              <w:topLinePunct w:val="0"/>
              <w:autoSpaceDE/>
              <w:autoSpaceDN/>
              <w:bidi w:val="0"/>
              <w:spacing w:before="0" w:beforeAutospacing="0" w:after="0" w:afterAutospacing="0" w:line="500" w:lineRule="exact"/>
              <w:jc w:val="both"/>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响应文件提交截止日后30天</w:t>
            </w:r>
          </w:p>
        </w:tc>
      </w:tr>
      <w:tr w14:paraId="01F4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75C6DF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4</w:t>
            </w:r>
          </w:p>
        </w:tc>
        <w:tc>
          <w:tcPr>
            <w:tcW w:w="1680" w:type="dxa"/>
            <w:vAlign w:val="center"/>
          </w:tcPr>
          <w:p w14:paraId="62453DEE">
            <w:pPr>
              <w:pageBreakBefore w:val="0"/>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项目类型</w:t>
            </w:r>
          </w:p>
        </w:tc>
        <w:tc>
          <w:tcPr>
            <w:tcW w:w="7130" w:type="dxa"/>
            <w:vAlign w:val="center"/>
          </w:tcPr>
          <w:p w14:paraId="3A346660">
            <w:pPr>
              <w:pStyle w:val="90"/>
              <w:pageBreakBefore w:val="0"/>
              <w:widowControl w:val="0"/>
              <w:kinsoku/>
              <w:wordWrap/>
              <w:overflowPunct/>
              <w:topLinePunct w:val="0"/>
              <w:autoSpaceDE/>
              <w:autoSpaceDN/>
              <w:bidi w:val="0"/>
              <w:spacing w:before="0" w:beforeAutospacing="0" w:after="0" w:afterAutospacing="0" w:line="50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服务类</w:t>
            </w:r>
          </w:p>
        </w:tc>
      </w:tr>
      <w:tr w14:paraId="20B1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241E128">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5</w:t>
            </w:r>
          </w:p>
        </w:tc>
        <w:tc>
          <w:tcPr>
            <w:tcW w:w="1680" w:type="dxa"/>
            <w:vAlign w:val="center"/>
          </w:tcPr>
          <w:p w14:paraId="59351A53">
            <w:pPr>
              <w:pageBreakBefore w:val="0"/>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130" w:type="dxa"/>
            <w:vAlign w:val="center"/>
          </w:tcPr>
          <w:p w14:paraId="54E842C6">
            <w:pPr>
              <w:pStyle w:val="90"/>
              <w:pageBreakBefore w:val="0"/>
              <w:widowControl w:val="0"/>
              <w:kinsoku/>
              <w:wordWrap/>
              <w:overflowPunct/>
              <w:topLinePunct w:val="0"/>
              <w:autoSpaceDE/>
              <w:autoSpaceDN/>
              <w:bidi w:val="0"/>
              <w:spacing w:before="0" w:beforeAutospacing="0" w:after="0" w:afterAutospacing="0" w:line="500" w:lineRule="exact"/>
              <w:jc w:val="both"/>
              <w:rPr>
                <w:rFonts w:hint="eastAsia" w:ascii="宋体" w:hAnsi="宋体" w:eastAsia="宋体" w:cs="宋体"/>
                <w:b w:val="0"/>
                <w:bCs w:val="0"/>
                <w:sz w:val="24"/>
                <w:szCs w:val="24"/>
              </w:rPr>
            </w:pPr>
            <w:r>
              <w:rPr>
                <w:rFonts w:hint="eastAsia" w:cs="宋体"/>
                <w:b w:val="0"/>
                <w:bCs w:val="0"/>
                <w:sz w:val="24"/>
                <w:szCs w:val="24"/>
                <w:lang w:val="en-US" w:eastAsia="zh-CN"/>
              </w:rPr>
              <w:t>霍山县全域旅游基础设施及核心区提升项目策划服务</w:t>
            </w:r>
          </w:p>
        </w:tc>
      </w:tr>
      <w:tr w14:paraId="6066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02F9F787">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6</w:t>
            </w:r>
          </w:p>
        </w:tc>
        <w:tc>
          <w:tcPr>
            <w:tcW w:w="1680" w:type="dxa"/>
            <w:vAlign w:val="center"/>
          </w:tcPr>
          <w:p w14:paraId="528366E1">
            <w:pPr>
              <w:pageBreakBefore w:val="0"/>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7130" w:type="dxa"/>
            <w:vAlign w:val="center"/>
          </w:tcPr>
          <w:p w14:paraId="4D2C9707">
            <w:pPr>
              <w:pStyle w:val="90"/>
              <w:pageBreakBefore w:val="0"/>
              <w:widowControl w:val="0"/>
              <w:kinsoku/>
              <w:wordWrap/>
              <w:overflowPunct/>
              <w:topLinePunct w:val="0"/>
              <w:autoSpaceDE/>
              <w:autoSpaceDN/>
              <w:bidi w:val="0"/>
              <w:spacing w:before="0" w:beforeAutospacing="0" w:after="0" w:afterAutospacing="0" w:line="50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HYCG-2024-01</w:t>
            </w:r>
            <w:r>
              <w:rPr>
                <w:rFonts w:hint="eastAsia" w:ascii="宋体" w:hAnsi="宋体" w:eastAsia="宋体" w:cs="宋体"/>
                <w:b w:val="0"/>
                <w:bCs w:val="0"/>
                <w:sz w:val="24"/>
                <w:szCs w:val="24"/>
                <w:lang w:val="en-US" w:eastAsia="zh-CN"/>
              </w:rPr>
              <w:t>4</w:t>
            </w:r>
          </w:p>
        </w:tc>
      </w:tr>
      <w:tr w14:paraId="5EA1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31" w:hRule="atLeast"/>
          <w:jc w:val="center"/>
        </w:trPr>
        <w:tc>
          <w:tcPr>
            <w:tcW w:w="804" w:type="dxa"/>
            <w:vAlign w:val="center"/>
          </w:tcPr>
          <w:p w14:paraId="6174F801">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7</w:t>
            </w:r>
          </w:p>
        </w:tc>
        <w:tc>
          <w:tcPr>
            <w:tcW w:w="1680" w:type="dxa"/>
            <w:vAlign w:val="center"/>
          </w:tcPr>
          <w:p w14:paraId="426D1647">
            <w:pPr>
              <w:pageBreakBefore w:val="0"/>
              <w:kinsoku/>
              <w:wordWrap/>
              <w:overflowPunct/>
              <w:topLinePunct w:val="0"/>
              <w:autoSpaceDE/>
              <w:autoSpaceDN/>
              <w:bidi w:val="0"/>
              <w:spacing w:line="500" w:lineRule="exact"/>
              <w:jc w:val="center"/>
              <w:rPr>
                <w:rFonts w:hint="eastAsia" w:ascii="宋体" w:hAnsi="宋体" w:eastAsia="宋体" w:cs="宋体"/>
                <w:sz w:val="24"/>
                <w:szCs w:val="24"/>
                <w:highlight w:val="yellow"/>
              </w:rPr>
            </w:pPr>
            <w:r>
              <w:rPr>
                <w:rFonts w:hint="eastAsia" w:ascii="宋体" w:hAnsi="宋体" w:eastAsia="宋体" w:cs="宋体"/>
                <w:sz w:val="24"/>
                <w:szCs w:val="24"/>
                <w:highlight w:val="none"/>
              </w:rPr>
              <w:t>付款方式</w:t>
            </w:r>
          </w:p>
        </w:tc>
        <w:tc>
          <w:tcPr>
            <w:tcW w:w="7130" w:type="dxa"/>
            <w:vAlign w:val="center"/>
          </w:tcPr>
          <w:p w14:paraId="69981563">
            <w:pPr>
              <w:spacing w:before="234" w:line="400" w:lineRule="auto"/>
              <w:jc w:val="both"/>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SA"/>
              </w:rPr>
              <w:t>本项目预付款为合同金额的40%，供应商提交银行、保险 公司、担保公司等金融机构出具的预付款保函或其他担保措施。预付款应在合同、担保措施生效以及具备实施条件后5个工作日内支付；剩余款在项目经相关验收完成并收到发票后7个工作日内办理费用结算手续支付到供应商账户。</w:t>
            </w:r>
          </w:p>
        </w:tc>
      </w:tr>
      <w:tr w14:paraId="1910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C9637D6">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8</w:t>
            </w:r>
          </w:p>
        </w:tc>
        <w:tc>
          <w:tcPr>
            <w:tcW w:w="1680" w:type="dxa"/>
            <w:vAlign w:val="center"/>
          </w:tcPr>
          <w:p w14:paraId="06308402">
            <w:pPr>
              <w:pageBreakBefore w:val="0"/>
              <w:kinsoku/>
              <w:wordWrap/>
              <w:overflowPunct/>
              <w:topLinePunct w:val="0"/>
              <w:autoSpaceDE/>
              <w:autoSpaceDN/>
              <w:bidi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服务期</w:t>
            </w:r>
          </w:p>
        </w:tc>
        <w:tc>
          <w:tcPr>
            <w:tcW w:w="7130" w:type="dxa"/>
            <w:vAlign w:val="center"/>
          </w:tcPr>
          <w:p w14:paraId="225C7B0E">
            <w:pPr>
              <w:pStyle w:val="90"/>
              <w:pageBreakBefore w:val="0"/>
              <w:widowControl w:val="0"/>
              <w:kinsoku/>
              <w:wordWrap/>
              <w:overflowPunct/>
              <w:topLinePunct w:val="0"/>
              <w:autoSpaceDE/>
              <w:autoSpaceDN/>
              <w:bidi w:val="0"/>
              <w:spacing w:before="0" w:beforeAutospacing="0" w:after="0" w:afterAutospacing="0" w:line="500" w:lineRule="exact"/>
              <w:jc w:val="both"/>
              <w:rPr>
                <w:rFonts w:hint="default"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45日历天</w:t>
            </w:r>
          </w:p>
        </w:tc>
      </w:tr>
      <w:tr w14:paraId="205F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EB9D602">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9</w:t>
            </w:r>
          </w:p>
        </w:tc>
        <w:tc>
          <w:tcPr>
            <w:tcW w:w="1680" w:type="dxa"/>
            <w:vAlign w:val="center"/>
          </w:tcPr>
          <w:p w14:paraId="1C12AC7E">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r>
              <w:rPr>
                <w:rFonts w:hint="eastAsia" w:ascii="宋体" w:hAnsi="宋体" w:eastAsia="宋体" w:cs="宋体"/>
                <w:bCs/>
                <w:kern w:val="2"/>
                <w:sz w:val="24"/>
                <w:szCs w:val="24"/>
              </w:rPr>
              <w:t>中标服务费</w:t>
            </w:r>
          </w:p>
        </w:tc>
        <w:tc>
          <w:tcPr>
            <w:tcW w:w="7130" w:type="dxa"/>
            <w:vAlign w:val="center"/>
          </w:tcPr>
          <w:p w14:paraId="15970FB4">
            <w:pPr>
              <w:pStyle w:val="88"/>
              <w:numPr>
                <w:ilvl w:val="0"/>
                <w:numId w:val="0"/>
              </w:numPr>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spacing w:val="-5"/>
                <w:sz w:val="24"/>
                <w:szCs w:val="24"/>
                <w:lang w:val="en-US" w:eastAsia="zh-CN"/>
              </w:rPr>
            </w:pPr>
            <w:r>
              <w:rPr>
                <w:rFonts w:hint="eastAsia" w:ascii="宋体" w:hAnsi="宋体" w:cs="宋体"/>
                <w:color w:val="auto"/>
                <w:szCs w:val="24"/>
                <w:highlight w:val="none"/>
              </w:rPr>
              <w:t>在领取成交通知书时，成交供应商须向采购代理机构交纳</w:t>
            </w:r>
            <w:r>
              <w:rPr>
                <w:rFonts w:hint="eastAsia" w:ascii="宋体" w:hAnsi="宋体" w:cs="宋体"/>
                <w:color w:val="auto"/>
                <w:szCs w:val="24"/>
                <w:highlight w:val="none"/>
                <w:lang w:eastAsia="zh-CN"/>
              </w:rPr>
              <w:t>招标</w:t>
            </w:r>
            <w:r>
              <w:rPr>
                <w:rFonts w:hint="eastAsia" w:ascii="宋体" w:hAnsi="宋体" w:cs="宋体"/>
                <w:color w:val="auto"/>
                <w:szCs w:val="24"/>
                <w:highlight w:val="none"/>
              </w:rPr>
              <w:t>代理服务费、专家评审费</w:t>
            </w:r>
            <w:r>
              <w:rPr>
                <w:rFonts w:hint="eastAsia" w:ascii="宋体" w:hAnsi="宋体" w:cs="宋体"/>
                <w:color w:val="auto"/>
                <w:szCs w:val="24"/>
                <w:highlight w:val="none"/>
                <w:lang w:eastAsia="zh-CN"/>
              </w:rPr>
              <w:t>。招标</w:t>
            </w:r>
            <w:r>
              <w:rPr>
                <w:rFonts w:hint="eastAsia" w:ascii="宋体" w:hAnsi="宋体" w:cs="宋体"/>
                <w:color w:val="auto"/>
                <w:szCs w:val="24"/>
                <w:highlight w:val="none"/>
              </w:rPr>
              <w:t>代理服务费计算基数为</w:t>
            </w:r>
            <w:r>
              <w:rPr>
                <w:rFonts w:hint="eastAsia" w:ascii="宋体" w:hAnsi="宋体" w:cs="宋体"/>
                <w:color w:val="auto"/>
                <w:szCs w:val="24"/>
                <w:highlight w:val="none"/>
                <w:lang w:val="en-US" w:eastAsia="zh-CN"/>
              </w:rPr>
              <w:t>成交</w:t>
            </w:r>
            <w:r>
              <w:rPr>
                <w:rFonts w:hint="eastAsia" w:ascii="宋体" w:hAnsi="宋体" w:cs="宋体"/>
                <w:color w:val="auto"/>
                <w:szCs w:val="24"/>
                <w:highlight w:val="none"/>
              </w:rPr>
              <w:t>价</w:t>
            </w:r>
            <w:r>
              <w:rPr>
                <w:rFonts w:hint="eastAsia" w:ascii="宋体" w:hAnsi="宋体" w:cs="宋体"/>
                <w:color w:val="auto"/>
                <w:szCs w:val="24"/>
                <w:highlight w:val="none"/>
                <w:lang w:eastAsia="zh-CN"/>
              </w:rPr>
              <w:t>，</w:t>
            </w:r>
            <w:r>
              <w:rPr>
                <w:rFonts w:hint="eastAsia" w:ascii="宋体" w:hAnsi="宋体" w:cs="宋体"/>
                <w:color w:val="auto"/>
                <w:szCs w:val="24"/>
                <w:highlight w:val="none"/>
              </w:rPr>
              <w:t>按</w:t>
            </w:r>
            <w:r>
              <w:rPr>
                <w:rFonts w:hint="eastAsia" w:ascii="宋体" w:hAnsi="宋体" w:eastAsia="宋体" w:cs="宋体"/>
                <w:spacing w:val="-5"/>
                <w:sz w:val="24"/>
                <w:szCs w:val="24"/>
                <w:lang w:val="en-US" w:eastAsia="zh-CN"/>
              </w:rPr>
              <w:t>按下列标准的100%收取：代理服务费的收取采用差额定率累进计费方式，具体收费标准为下表：</w:t>
            </w:r>
          </w:p>
          <w:tbl>
            <w:tblPr>
              <w:tblStyle w:val="36"/>
              <w:tblW w:w="7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773"/>
              <w:gridCol w:w="1773"/>
              <w:gridCol w:w="1773"/>
            </w:tblGrid>
            <w:tr w14:paraId="60D5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194906AD">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5"/>
                      <w:sz w:val="24"/>
                      <w:szCs w:val="24"/>
                      <w:vertAlign w:val="baseline"/>
                      <w:lang w:val="en-US" w:eastAsia="zh-CN"/>
                    </w:rPr>
                  </w:pPr>
                  <w:r>
                    <w:rPr>
                      <w:rFonts w:ascii="宋体" w:hAnsi="宋体" w:eastAsia="宋体" w:cs="宋体"/>
                      <w:spacing w:val="-4"/>
                      <w:sz w:val="24"/>
                      <w:szCs w:val="24"/>
                    </w:rPr>
                    <w:t>中标（成交）金额</w:t>
                  </w:r>
                  <w:r>
                    <w:rPr>
                      <w:rFonts w:ascii="宋体" w:hAnsi="宋体" w:eastAsia="宋体" w:cs="宋体"/>
                      <w:sz w:val="24"/>
                      <w:szCs w:val="24"/>
                    </w:rPr>
                    <w:t xml:space="preserve"> </w:t>
                  </w:r>
                  <w:r>
                    <w:rPr>
                      <w:rFonts w:ascii="宋体" w:hAnsi="宋体" w:eastAsia="宋体" w:cs="宋体"/>
                      <w:spacing w:val="-6"/>
                      <w:sz w:val="24"/>
                      <w:szCs w:val="24"/>
                    </w:rPr>
                    <w:t>（万元）</w:t>
                  </w:r>
                </w:p>
              </w:tc>
              <w:tc>
                <w:tcPr>
                  <w:tcW w:w="1773" w:type="dxa"/>
                  <w:shd w:val="clear" w:color="auto" w:fill="auto"/>
                  <w:vAlign w:val="center"/>
                </w:tcPr>
                <w:p w14:paraId="6BDE3E9D">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6"/>
                      <w:sz w:val="24"/>
                      <w:szCs w:val="24"/>
                      <w:lang w:val="en-US" w:eastAsia="zh-CN"/>
                    </w:rPr>
                  </w:pPr>
                  <w:r>
                    <w:rPr>
                      <w:rFonts w:ascii="宋体" w:hAnsi="宋体" w:eastAsia="宋体" w:cs="宋体"/>
                      <w:spacing w:val="-6"/>
                      <w:sz w:val="24"/>
                      <w:szCs w:val="24"/>
                    </w:rPr>
                    <w:t>货物类项目</w:t>
                  </w:r>
                </w:p>
              </w:tc>
              <w:tc>
                <w:tcPr>
                  <w:tcW w:w="1773" w:type="dxa"/>
                  <w:shd w:val="clear" w:color="auto" w:fill="auto"/>
                  <w:vAlign w:val="center"/>
                </w:tcPr>
                <w:p w14:paraId="221142EA">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6"/>
                      <w:sz w:val="24"/>
                      <w:szCs w:val="24"/>
                      <w:lang w:val="en-US" w:eastAsia="zh-CN"/>
                    </w:rPr>
                  </w:pPr>
                  <w:r>
                    <w:rPr>
                      <w:rFonts w:ascii="宋体" w:hAnsi="宋体" w:eastAsia="宋体" w:cs="宋体"/>
                      <w:spacing w:val="-6"/>
                      <w:sz w:val="24"/>
                      <w:szCs w:val="24"/>
                    </w:rPr>
                    <w:t>服务类项目</w:t>
                  </w:r>
                </w:p>
              </w:tc>
              <w:tc>
                <w:tcPr>
                  <w:tcW w:w="1773" w:type="dxa"/>
                  <w:shd w:val="clear" w:color="auto" w:fill="auto"/>
                  <w:vAlign w:val="center"/>
                </w:tcPr>
                <w:p w14:paraId="755E79BA">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6"/>
                      <w:sz w:val="24"/>
                      <w:szCs w:val="24"/>
                      <w:lang w:val="en-US" w:eastAsia="zh-CN"/>
                    </w:rPr>
                  </w:pPr>
                  <w:r>
                    <w:rPr>
                      <w:rFonts w:ascii="宋体" w:hAnsi="宋体" w:eastAsia="宋体" w:cs="宋体"/>
                      <w:spacing w:val="-6"/>
                      <w:sz w:val="24"/>
                      <w:szCs w:val="24"/>
                    </w:rPr>
                    <w:t>工程类项目</w:t>
                  </w:r>
                </w:p>
              </w:tc>
            </w:tr>
            <w:tr w14:paraId="11BE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5B2535F2">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100以下</w:t>
                  </w:r>
                </w:p>
              </w:tc>
              <w:tc>
                <w:tcPr>
                  <w:tcW w:w="1773" w:type="dxa"/>
                  <w:vAlign w:val="center"/>
                </w:tcPr>
                <w:p w14:paraId="5A4A64DD">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1.5%</w:t>
                  </w:r>
                </w:p>
              </w:tc>
              <w:tc>
                <w:tcPr>
                  <w:tcW w:w="1773" w:type="dxa"/>
                  <w:vAlign w:val="center"/>
                </w:tcPr>
                <w:p w14:paraId="2CD86FF3">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1.5%</w:t>
                  </w:r>
                </w:p>
              </w:tc>
              <w:tc>
                <w:tcPr>
                  <w:tcW w:w="1773" w:type="dxa"/>
                  <w:vAlign w:val="center"/>
                </w:tcPr>
                <w:p w14:paraId="5AB7962A">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1.0%</w:t>
                  </w:r>
                </w:p>
              </w:tc>
            </w:tr>
            <w:tr w14:paraId="0552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3C4A4D3E">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100-500</w:t>
                  </w:r>
                </w:p>
              </w:tc>
              <w:tc>
                <w:tcPr>
                  <w:tcW w:w="1773" w:type="dxa"/>
                  <w:vAlign w:val="center"/>
                </w:tcPr>
                <w:p w14:paraId="64EDF0EB">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1.1%</w:t>
                  </w:r>
                </w:p>
              </w:tc>
              <w:tc>
                <w:tcPr>
                  <w:tcW w:w="1773" w:type="dxa"/>
                  <w:vAlign w:val="center"/>
                </w:tcPr>
                <w:p w14:paraId="6A82D127">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0.8%</w:t>
                  </w:r>
                </w:p>
              </w:tc>
              <w:tc>
                <w:tcPr>
                  <w:tcW w:w="1773" w:type="dxa"/>
                  <w:vAlign w:val="center"/>
                </w:tcPr>
                <w:p w14:paraId="361D8E62">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0.7%</w:t>
                  </w:r>
                </w:p>
              </w:tc>
            </w:tr>
            <w:tr w14:paraId="5FB2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67FA60D2">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500-1000</w:t>
                  </w:r>
                </w:p>
              </w:tc>
              <w:tc>
                <w:tcPr>
                  <w:tcW w:w="1773" w:type="dxa"/>
                  <w:vAlign w:val="center"/>
                </w:tcPr>
                <w:p w14:paraId="6DFA3257">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0.8%</w:t>
                  </w:r>
                </w:p>
              </w:tc>
              <w:tc>
                <w:tcPr>
                  <w:tcW w:w="1773" w:type="dxa"/>
                  <w:vAlign w:val="center"/>
                </w:tcPr>
                <w:p w14:paraId="7D217C18">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w:t>
                  </w:r>
                  <w:r>
                    <w:rPr>
                      <w:rFonts w:hint="eastAsia" w:ascii="宋体" w:hAnsi="宋体" w:cs="宋体"/>
                      <w:spacing w:val="-5"/>
                      <w:sz w:val="24"/>
                      <w:szCs w:val="24"/>
                      <w:vertAlign w:val="baseline"/>
                      <w:lang w:val="en-US" w:eastAsia="zh-CN"/>
                    </w:rPr>
                    <w:t>4</w:t>
                  </w:r>
                  <w:r>
                    <w:rPr>
                      <w:rFonts w:hint="eastAsia" w:ascii="宋体" w:hAnsi="宋体" w:eastAsia="宋体" w:cs="宋体"/>
                      <w:spacing w:val="-5"/>
                      <w:sz w:val="24"/>
                      <w:szCs w:val="24"/>
                      <w:vertAlign w:val="baseline"/>
                      <w:lang w:val="en-US" w:eastAsia="zh-CN"/>
                    </w:rPr>
                    <w:t>5%</w:t>
                  </w:r>
                </w:p>
              </w:tc>
              <w:tc>
                <w:tcPr>
                  <w:tcW w:w="1773" w:type="dxa"/>
                  <w:vAlign w:val="center"/>
                </w:tcPr>
                <w:p w14:paraId="0CF5544D">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0.55%</w:t>
                  </w:r>
                </w:p>
              </w:tc>
            </w:tr>
            <w:tr w14:paraId="287A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65ED6AB8">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1000-5000</w:t>
                  </w:r>
                </w:p>
              </w:tc>
              <w:tc>
                <w:tcPr>
                  <w:tcW w:w="1773" w:type="dxa"/>
                  <w:vAlign w:val="center"/>
                </w:tcPr>
                <w:p w14:paraId="0C825A65">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0.5%</w:t>
                  </w:r>
                </w:p>
              </w:tc>
              <w:tc>
                <w:tcPr>
                  <w:tcW w:w="1773" w:type="dxa"/>
                  <w:vAlign w:val="center"/>
                </w:tcPr>
                <w:p w14:paraId="41D7B48A">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0.25%</w:t>
                  </w:r>
                </w:p>
              </w:tc>
              <w:tc>
                <w:tcPr>
                  <w:tcW w:w="1773" w:type="dxa"/>
                  <w:vAlign w:val="center"/>
                </w:tcPr>
                <w:p w14:paraId="42313CE5">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0.35%</w:t>
                  </w:r>
                </w:p>
              </w:tc>
            </w:tr>
            <w:tr w14:paraId="181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4351F3E3">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5000-10000</w:t>
                  </w:r>
                </w:p>
              </w:tc>
              <w:tc>
                <w:tcPr>
                  <w:tcW w:w="1773" w:type="dxa"/>
                  <w:vAlign w:val="center"/>
                </w:tcPr>
                <w:p w14:paraId="2A54CD54">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0.25%</w:t>
                  </w:r>
                </w:p>
              </w:tc>
              <w:tc>
                <w:tcPr>
                  <w:tcW w:w="1773" w:type="dxa"/>
                  <w:vAlign w:val="center"/>
                </w:tcPr>
                <w:p w14:paraId="446672AE">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0.1%</w:t>
                  </w:r>
                </w:p>
              </w:tc>
              <w:tc>
                <w:tcPr>
                  <w:tcW w:w="1773" w:type="dxa"/>
                  <w:vAlign w:val="center"/>
                </w:tcPr>
                <w:p w14:paraId="06AF5471">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0.2%</w:t>
                  </w:r>
                </w:p>
              </w:tc>
            </w:tr>
            <w:tr w14:paraId="59B5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720BE5CE">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10000-100000</w:t>
                  </w:r>
                </w:p>
              </w:tc>
              <w:tc>
                <w:tcPr>
                  <w:tcW w:w="1773" w:type="dxa"/>
                  <w:vAlign w:val="center"/>
                </w:tcPr>
                <w:p w14:paraId="2EE27929">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0.05%</w:t>
                  </w:r>
                </w:p>
              </w:tc>
              <w:tc>
                <w:tcPr>
                  <w:tcW w:w="1773" w:type="dxa"/>
                  <w:vAlign w:val="center"/>
                </w:tcPr>
                <w:p w14:paraId="094A778E">
                  <w:pPr>
                    <w:pStyle w:val="88"/>
                    <w:numPr>
                      <w:ilvl w:val="0"/>
                      <w:numId w:val="0"/>
                    </w:numPr>
                    <w:pBdr>
                      <w:bottom w:val="none" w:color="auto" w:sz="0" w:space="0"/>
                    </w:pBdr>
                    <w:tabs>
                      <w:tab w:val="clear" w:pos="4153"/>
                      <w:tab w:val="clear" w:pos="8306"/>
                    </w:tabs>
                    <w:adjustRightInd/>
                    <w:spacing w:line="440" w:lineRule="exact"/>
                    <w:ind w:left="0" w:leftChars="0" w:firstLine="0" w:firstLineChars="0"/>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0.05%</w:t>
                  </w:r>
                </w:p>
              </w:tc>
              <w:tc>
                <w:tcPr>
                  <w:tcW w:w="1773" w:type="dxa"/>
                  <w:vAlign w:val="center"/>
                </w:tcPr>
                <w:p w14:paraId="64171FFB">
                  <w:pPr>
                    <w:pStyle w:val="88"/>
                    <w:numPr>
                      <w:ilvl w:val="0"/>
                      <w:numId w:val="0"/>
                    </w:numPr>
                    <w:pBdr>
                      <w:bottom w:val="none" w:color="auto" w:sz="0" w:space="0"/>
                    </w:pBdr>
                    <w:tabs>
                      <w:tab w:val="clear" w:pos="4153"/>
                      <w:tab w:val="clear" w:pos="8306"/>
                    </w:tabs>
                    <w:adjustRightInd/>
                    <w:spacing w:line="440" w:lineRule="exact"/>
                    <w:ind w:left="0" w:leftChars="0" w:firstLine="0" w:firstLineChars="0"/>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0.05%</w:t>
                  </w:r>
                </w:p>
              </w:tc>
            </w:tr>
            <w:tr w14:paraId="501A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44BE2AA7">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100000以上</w:t>
                  </w:r>
                </w:p>
              </w:tc>
              <w:tc>
                <w:tcPr>
                  <w:tcW w:w="1773" w:type="dxa"/>
                  <w:vAlign w:val="center"/>
                </w:tcPr>
                <w:p w14:paraId="026422B1">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0.01%</w:t>
                  </w:r>
                </w:p>
              </w:tc>
              <w:tc>
                <w:tcPr>
                  <w:tcW w:w="1773" w:type="dxa"/>
                  <w:vAlign w:val="center"/>
                </w:tcPr>
                <w:p w14:paraId="384EA32A">
                  <w:pPr>
                    <w:pStyle w:val="88"/>
                    <w:numPr>
                      <w:ilvl w:val="0"/>
                      <w:numId w:val="0"/>
                    </w:numPr>
                    <w:pBdr>
                      <w:bottom w:val="none" w:color="auto" w:sz="0" w:space="0"/>
                    </w:pBdr>
                    <w:tabs>
                      <w:tab w:val="clear" w:pos="4153"/>
                      <w:tab w:val="clear" w:pos="8306"/>
                    </w:tabs>
                    <w:adjustRightInd/>
                    <w:spacing w:line="440" w:lineRule="exact"/>
                    <w:ind w:left="0" w:leftChars="0" w:firstLine="0" w:firstLineChars="0"/>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0.01%</w:t>
                  </w:r>
                </w:p>
              </w:tc>
              <w:tc>
                <w:tcPr>
                  <w:tcW w:w="1773" w:type="dxa"/>
                  <w:vAlign w:val="center"/>
                </w:tcPr>
                <w:p w14:paraId="0D450C96">
                  <w:pPr>
                    <w:pStyle w:val="88"/>
                    <w:numPr>
                      <w:ilvl w:val="0"/>
                      <w:numId w:val="0"/>
                    </w:numPr>
                    <w:pBdr>
                      <w:bottom w:val="none" w:color="auto" w:sz="0" w:space="0"/>
                    </w:pBdr>
                    <w:tabs>
                      <w:tab w:val="clear" w:pos="4153"/>
                      <w:tab w:val="clear" w:pos="8306"/>
                    </w:tabs>
                    <w:adjustRightInd/>
                    <w:spacing w:line="440" w:lineRule="exact"/>
                    <w:ind w:left="0" w:leftChars="0" w:firstLine="0" w:firstLineChars="0"/>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0.01%</w:t>
                  </w:r>
                </w:p>
              </w:tc>
            </w:tr>
          </w:tbl>
          <w:p w14:paraId="60CBC4FE">
            <w:pPr>
              <w:pageBreakBefore w:val="0"/>
              <w:kinsoku/>
              <w:wordWrap/>
              <w:overflowPunct/>
              <w:topLinePunct w:val="0"/>
              <w:autoSpaceDE/>
              <w:autoSpaceDN/>
              <w:bidi w:val="0"/>
              <w:spacing w:line="500" w:lineRule="exact"/>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注：代理服务费按差额定率累进法计算（</w:t>
            </w:r>
            <w:r>
              <w:rPr>
                <w:rFonts w:hint="eastAsia" w:ascii="宋体" w:hAnsi="宋体" w:eastAsia="宋体" w:cs="宋体"/>
                <w:bCs/>
                <w:sz w:val="24"/>
                <w:szCs w:val="24"/>
                <w:lang w:val="en-US" w:eastAsia="zh-CN"/>
              </w:rPr>
              <w:t>代理费不足2000元的按2000 元计取</w:t>
            </w:r>
            <w:r>
              <w:rPr>
                <w:rFonts w:hint="eastAsia" w:ascii="宋体" w:hAnsi="宋体" w:eastAsia="宋体" w:cs="宋体"/>
                <w:bCs/>
                <w:sz w:val="24"/>
                <w:szCs w:val="24"/>
                <w:lang w:val="zh-CN" w:eastAsia="zh-CN"/>
              </w:rPr>
              <w:t>）。专家评审费（具体以实际支付金额为准）由成交供应商在领取成交通知书时另行支付。</w:t>
            </w:r>
          </w:p>
          <w:p w14:paraId="6AC3CC82">
            <w:pPr>
              <w:pageBreakBefore w:val="0"/>
              <w:kinsoku/>
              <w:wordWrap/>
              <w:overflowPunct/>
              <w:topLinePunct w:val="0"/>
              <w:autoSpaceDE/>
              <w:autoSpaceDN/>
              <w:bidi w:val="0"/>
              <w:spacing w:line="50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供应商在报价时应充分考虑上述费用，并包含在投标报价的单价、合价与总价中，不单独进行报价。</w:t>
            </w:r>
          </w:p>
        </w:tc>
      </w:tr>
      <w:tr w14:paraId="30B7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B2F3E7B">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10</w:t>
            </w:r>
          </w:p>
        </w:tc>
        <w:tc>
          <w:tcPr>
            <w:tcW w:w="1680" w:type="dxa"/>
            <w:vAlign w:val="center"/>
          </w:tcPr>
          <w:p w14:paraId="162ACC50">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履约保证金</w:t>
            </w:r>
          </w:p>
        </w:tc>
        <w:tc>
          <w:tcPr>
            <w:tcW w:w="7130" w:type="dxa"/>
            <w:vAlign w:val="center"/>
          </w:tcPr>
          <w:p w14:paraId="38872793">
            <w:pPr>
              <w:pageBreakBefore w:val="0"/>
              <w:kinsoku/>
              <w:wordWrap/>
              <w:overflowPunct/>
              <w:topLinePunct w:val="0"/>
              <w:autoSpaceDE/>
              <w:autoSpaceDN/>
              <w:bidi w:val="0"/>
              <w:spacing w:line="500" w:lineRule="exact"/>
              <w:rPr>
                <w:rFonts w:hint="eastAsia" w:ascii="宋体" w:hAnsi="宋体" w:eastAsia="宋体" w:cs="宋体"/>
                <w:bCs/>
                <w:sz w:val="24"/>
                <w:szCs w:val="24"/>
              </w:rPr>
            </w:pPr>
            <w:r>
              <w:rPr>
                <w:rFonts w:hint="eastAsia" w:ascii="宋体" w:hAnsi="宋体" w:eastAsia="宋体" w:cs="宋体"/>
                <w:bCs/>
                <w:sz w:val="24"/>
                <w:szCs w:val="24"/>
              </w:rPr>
              <w:t>1、成交供应商在签订合同时应向采购人提交合同总价</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%的履约保证金（最高缴纳比例不得超过合同金额的2.5%）。</w:t>
            </w:r>
          </w:p>
          <w:p w14:paraId="6D78E101">
            <w:pPr>
              <w:pageBreakBefore w:val="0"/>
              <w:kinsoku/>
              <w:wordWrap/>
              <w:overflowPunct/>
              <w:topLinePunct w:val="0"/>
              <w:autoSpaceDE/>
              <w:autoSpaceDN/>
              <w:bidi w:val="0"/>
              <w:spacing w:line="500" w:lineRule="exact"/>
              <w:rPr>
                <w:rFonts w:hint="eastAsia" w:ascii="宋体" w:hAnsi="宋体" w:eastAsia="宋体" w:cs="宋体"/>
                <w:bCs/>
                <w:sz w:val="24"/>
                <w:szCs w:val="24"/>
              </w:rPr>
            </w:pPr>
            <w:r>
              <w:rPr>
                <w:rFonts w:hint="eastAsia" w:ascii="宋体" w:hAnsi="宋体" w:eastAsia="宋体" w:cs="宋体"/>
                <w:bCs/>
                <w:sz w:val="24"/>
                <w:szCs w:val="24"/>
              </w:rPr>
              <w:t>2、成交供应商可以通过转账、网银支付、汇票、支票、保证保险、担保保函、银行履约保函等方式提交履约保证金。</w:t>
            </w:r>
          </w:p>
          <w:p w14:paraId="050F63DF">
            <w:pPr>
              <w:pStyle w:val="33"/>
              <w:pageBreakBefore w:val="0"/>
              <w:kinsoku/>
              <w:wordWrap/>
              <w:overflowPunct/>
              <w:topLinePunct w:val="0"/>
              <w:autoSpaceDE/>
              <w:autoSpaceDN/>
              <w:bidi w:val="0"/>
              <w:spacing w:line="500" w:lineRule="exact"/>
              <w:ind w:firstLine="0"/>
              <w:rPr>
                <w:rFonts w:hint="eastAsia" w:ascii="宋体" w:hAnsi="宋体" w:eastAsia="宋体" w:cs="宋体"/>
                <w:sz w:val="24"/>
                <w:szCs w:val="24"/>
              </w:rPr>
            </w:pPr>
            <w:r>
              <w:rPr>
                <w:rFonts w:hint="eastAsia" w:ascii="宋体" w:hAnsi="宋体" w:eastAsia="宋体" w:cs="宋体"/>
                <w:sz w:val="24"/>
                <w:szCs w:val="24"/>
              </w:rPr>
              <w:t>3、项目验收结束后应及时退还履约保证金。</w:t>
            </w:r>
          </w:p>
        </w:tc>
      </w:tr>
      <w:tr w14:paraId="6757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403D23B1">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11</w:t>
            </w:r>
          </w:p>
        </w:tc>
        <w:tc>
          <w:tcPr>
            <w:tcW w:w="1680" w:type="dxa"/>
            <w:vAlign w:val="center"/>
          </w:tcPr>
          <w:p w14:paraId="5E66EB2A">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勘察及对接</w:t>
            </w:r>
          </w:p>
        </w:tc>
        <w:tc>
          <w:tcPr>
            <w:tcW w:w="7130" w:type="dxa"/>
            <w:vAlign w:val="center"/>
          </w:tcPr>
          <w:p w14:paraId="5D04740A">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请各供应商自行勘踏。</w:t>
            </w:r>
          </w:p>
        </w:tc>
      </w:tr>
      <w:tr w14:paraId="3364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14:paraId="5B907823">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12</w:t>
            </w:r>
          </w:p>
        </w:tc>
        <w:tc>
          <w:tcPr>
            <w:tcW w:w="1680" w:type="dxa"/>
            <w:vAlign w:val="center"/>
          </w:tcPr>
          <w:p w14:paraId="75F03BC9">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提问与回复</w:t>
            </w:r>
          </w:p>
        </w:tc>
        <w:tc>
          <w:tcPr>
            <w:tcW w:w="7130" w:type="dxa"/>
            <w:vAlign w:val="center"/>
          </w:tcPr>
          <w:p w14:paraId="65A1102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cs="宋体"/>
                <w:bCs/>
                <w:kern w:val="2"/>
                <w:szCs w:val="24"/>
              </w:rPr>
              <w:t>供应商若对采购文件有关内容存在理解障碍，或认为采购文件表述有模糊不清之处，可通过</w:t>
            </w:r>
            <w:r>
              <w:rPr>
                <w:rFonts w:hint="eastAsia" w:ascii="宋体" w:hAnsi="宋体" w:cs="宋体"/>
                <w:bCs/>
                <w:kern w:val="2"/>
                <w:szCs w:val="24"/>
                <w:lang w:val="en-US"/>
              </w:rPr>
              <w:t>电子邮箱（</w:t>
            </w:r>
            <w:r>
              <w:rPr>
                <w:rFonts w:hint="eastAsia" w:ascii="宋体" w:hAnsi="宋体" w:cs="宋体"/>
                <w:szCs w:val="24"/>
              </w:rPr>
              <w:t>递交至</w:t>
            </w:r>
            <w:r>
              <w:rPr>
                <w:rFonts w:hint="eastAsia" w:ascii="宋体" w:hAnsi="宋体" w:cs="宋体"/>
                <w:szCs w:val="24"/>
                <w:lang w:val="en-US"/>
              </w:rPr>
              <w:t>943084965</w:t>
            </w:r>
            <w:r>
              <w:rPr>
                <w:rFonts w:hint="eastAsia" w:ascii="宋体" w:hAnsi="宋体" w:cs="宋体"/>
                <w:szCs w:val="24"/>
              </w:rPr>
              <w:t>@qq.com</w:t>
            </w:r>
            <w:r>
              <w:rPr>
                <w:rFonts w:hint="eastAsia" w:ascii="宋体" w:hAnsi="宋体" w:cs="宋体"/>
                <w:bCs/>
                <w:kern w:val="2"/>
                <w:szCs w:val="24"/>
                <w:lang w:val="en-US"/>
              </w:rPr>
              <w:t>）</w:t>
            </w:r>
            <w:r>
              <w:rPr>
                <w:rFonts w:hint="eastAsia" w:ascii="宋体" w:hAnsi="宋体" w:cs="宋体"/>
                <w:bCs/>
                <w:kern w:val="2"/>
                <w:szCs w:val="24"/>
              </w:rPr>
              <w:t>提出，采购人（采购代理机构）收到供应商提问后将及时通过</w:t>
            </w:r>
            <w:r>
              <w:rPr>
                <w:rFonts w:hint="eastAsia" w:ascii="宋体" w:hAnsi="宋体" w:cs="宋体"/>
                <w:bCs/>
                <w:kern w:val="2"/>
                <w:szCs w:val="24"/>
                <w:lang w:val="en-US"/>
              </w:rPr>
              <w:t>邮箱</w:t>
            </w:r>
            <w:r>
              <w:rPr>
                <w:rFonts w:hint="eastAsia" w:ascii="宋体" w:hAnsi="宋体" w:cs="宋体"/>
                <w:bCs/>
                <w:kern w:val="2"/>
                <w:szCs w:val="24"/>
              </w:rPr>
              <w:t>回复。供应商提问（</w:t>
            </w:r>
            <w:r>
              <w:rPr>
                <w:rFonts w:hint="eastAsia" w:ascii="宋体" w:hAnsi="宋体" w:cs="宋体"/>
                <w:bCs/>
                <w:kern w:val="2"/>
                <w:szCs w:val="24"/>
                <w:lang w:val="en-US"/>
              </w:rPr>
              <w:t>非质疑的一般性问题</w:t>
            </w:r>
            <w:r>
              <w:rPr>
                <w:rFonts w:hint="eastAsia" w:ascii="宋体" w:hAnsi="宋体" w:cs="宋体"/>
                <w:bCs/>
                <w:kern w:val="2"/>
                <w:szCs w:val="24"/>
              </w:rPr>
              <w:t>）时应当隐藏自身信息，直接提出针对项目的相关疑问即可。提交成功后请供应商及时通过</w:t>
            </w:r>
            <w:r>
              <w:rPr>
                <w:rFonts w:hint="eastAsia" w:ascii="宋体" w:hAnsi="宋体" w:cs="宋体"/>
                <w:bCs/>
                <w:kern w:val="2"/>
                <w:szCs w:val="24"/>
                <w:lang w:val="en-US"/>
              </w:rPr>
              <w:t>发出质疑的邮箱</w:t>
            </w:r>
            <w:r>
              <w:rPr>
                <w:rFonts w:hint="eastAsia" w:ascii="宋体" w:hAnsi="宋体" w:cs="宋体"/>
                <w:bCs/>
                <w:kern w:val="2"/>
                <w:szCs w:val="24"/>
              </w:rPr>
              <w:t>查看回复内容。</w:t>
            </w:r>
          </w:p>
        </w:tc>
      </w:tr>
      <w:tr w14:paraId="6D1B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14:paraId="65655418">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13</w:t>
            </w:r>
          </w:p>
        </w:tc>
        <w:tc>
          <w:tcPr>
            <w:tcW w:w="1680" w:type="dxa"/>
            <w:vAlign w:val="center"/>
          </w:tcPr>
          <w:p w14:paraId="1B008DAE">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质疑与答疑</w:t>
            </w:r>
          </w:p>
        </w:tc>
        <w:tc>
          <w:tcPr>
            <w:tcW w:w="7130" w:type="dxa"/>
            <w:vAlign w:val="center"/>
          </w:tcPr>
          <w:p w14:paraId="2E3157B5">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1、质疑提出</w:t>
            </w:r>
            <w:r>
              <w:rPr>
                <w:rFonts w:hint="eastAsia" w:ascii="宋体" w:hAnsi="宋体" w:eastAsia="宋体" w:cs="宋体"/>
                <w:bCs/>
                <w:kern w:val="2"/>
                <w:sz w:val="24"/>
                <w:szCs w:val="24"/>
                <w:lang w:val="en-US"/>
              </w:rPr>
              <w:t>具体步骤</w:t>
            </w:r>
            <w:r>
              <w:rPr>
                <w:rFonts w:hint="eastAsia" w:ascii="宋体" w:hAnsi="宋体" w:eastAsia="宋体" w:cs="宋体"/>
                <w:bCs/>
                <w:kern w:val="2"/>
                <w:sz w:val="24"/>
                <w:szCs w:val="24"/>
              </w:rPr>
              <w:t>：供应商若对采购文件有关内容存在质疑，可通过</w:t>
            </w:r>
            <w:r>
              <w:rPr>
                <w:rFonts w:hint="eastAsia" w:ascii="宋体" w:hAnsi="宋体" w:eastAsia="宋体" w:cs="宋体"/>
                <w:bCs/>
                <w:kern w:val="2"/>
                <w:sz w:val="24"/>
                <w:szCs w:val="24"/>
                <w:lang w:val="en-US"/>
              </w:rPr>
              <w:t>电子邮箱（</w:t>
            </w:r>
            <w:r>
              <w:rPr>
                <w:rFonts w:hint="eastAsia" w:ascii="宋体" w:hAnsi="宋体" w:eastAsia="宋体" w:cs="宋体"/>
                <w:bCs/>
                <w:kern w:val="2"/>
                <w:sz w:val="24"/>
                <w:szCs w:val="24"/>
              </w:rPr>
              <w:t>递交至邮箱</w:t>
            </w:r>
            <w:r>
              <w:rPr>
                <w:rFonts w:hint="eastAsia" w:ascii="宋体" w:hAnsi="宋体" w:eastAsia="宋体" w:cs="宋体"/>
                <w:bCs/>
                <w:kern w:val="2"/>
                <w:sz w:val="24"/>
                <w:szCs w:val="24"/>
                <w:lang w:val="en-US"/>
              </w:rPr>
              <w:t>943084965</w:t>
            </w:r>
            <w:r>
              <w:rPr>
                <w:rFonts w:hint="eastAsia" w:ascii="宋体" w:hAnsi="宋体" w:eastAsia="宋体" w:cs="宋体"/>
                <w:bCs/>
                <w:kern w:val="2"/>
                <w:sz w:val="24"/>
                <w:szCs w:val="24"/>
              </w:rPr>
              <w:t>@qq.com</w:t>
            </w:r>
            <w:r>
              <w:rPr>
                <w:rFonts w:hint="eastAsia" w:ascii="宋体" w:hAnsi="宋体" w:eastAsia="宋体" w:cs="宋体"/>
                <w:bCs/>
                <w:kern w:val="2"/>
                <w:sz w:val="24"/>
                <w:szCs w:val="24"/>
                <w:lang w:val="en-US"/>
              </w:rPr>
              <w:t>）</w:t>
            </w:r>
            <w:r>
              <w:rPr>
                <w:rFonts w:hint="eastAsia" w:ascii="宋体" w:hAnsi="宋体" w:eastAsia="宋体" w:cs="宋体"/>
                <w:bCs/>
                <w:kern w:val="2"/>
                <w:sz w:val="24"/>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eastAsia="宋体" w:cs="宋体"/>
                <w:bCs/>
                <w:kern w:val="2"/>
                <w:sz w:val="24"/>
                <w:szCs w:val="24"/>
                <w:lang w:val="en-US"/>
              </w:rPr>
              <w:t>公章</w:t>
            </w:r>
            <w:r>
              <w:rPr>
                <w:rFonts w:hint="eastAsia" w:ascii="宋体" w:hAnsi="宋体" w:eastAsia="宋体" w:cs="宋体"/>
                <w:bCs/>
                <w:kern w:val="2"/>
                <w:sz w:val="24"/>
                <w:szCs w:val="24"/>
              </w:rPr>
              <w:t>签章后</w:t>
            </w:r>
            <w:r>
              <w:rPr>
                <w:rFonts w:hint="eastAsia" w:ascii="宋体" w:hAnsi="宋体" w:eastAsia="宋体" w:cs="宋体"/>
                <w:bCs/>
                <w:kern w:val="2"/>
                <w:sz w:val="24"/>
                <w:szCs w:val="24"/>
                <w:lang w:val="en-US"/>
              </w:rPr>
              <w:t>扫描</w:t>
            </w:r>
            <w:r>
              <w:rPr>
                <w:rFonts w:hint="eastAsia" w:ascii="宋体" w:hAnsi="宋体" w:eastAsia="宋体" w:cs="宋体"/>
                <w:bCs/>
                <w:kern w:val="2"/>
                <w:sz w:val="24"/>
                <w:szCs w:val="24"/>
              </w:rPr>
              <w:t>提交。</w:t>
            </w:r>
          </w:p>
          <w:p w14:paraId="6794CB7A">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2、质疑答</w:t>
            </w:r>
            <w:r>
              <w:rPr>
                <w:rFonts w:hint="eastAsia" w:ascii="宋体" w:hAnsi="宋体" w:eastAsia="宋体" w:cs="宋体"/>
                <w:bCs/>
                <w:kern w:val="2"/>
                <w:sz w:val="24"/>
                <w:szCs w:val="24"/>
                <w:lang w:val="en-US"/>
              </w:rPr>
              <w:t>复</w:t>
            </w:r>
            <w:r>
              <w:rPr>
                <w:rFonts w:hint="eastAsia" w:ascii="宋体" w:hAnsi="宋体" w:eastAsia="宋体" w:cs="宋体"/>
                <w:bCs/>
                <w:kern w:val="2"/>
                <w:sz w:val="24"/>
                <w:szCs w:val="24"/>
              </w:rPr>
              <w:t>获取具体步骤：采购人（采购代理机构）将通过</w:t>
            </w:r>
            <w:r>
              <w:rPr>
                <w:rFonts w:hint="eastAsia" w:ascii="宋体" w:hAnsi="宋体" w:eastAsia="宋体" w:cs="宋体"/>
                <w:bCs/>
                <w:kern w:val="2"/>
                <w:sz w:val="24"/>
                <w:szCs w:val="24"/>
                <w:lang w:val="en-US"/>
              </w:rPr>
              <w:t>邮箱</w:t>
            </w:r>
            <w:r>
              <w:rPr>
                <w:rFonts w:hint="eastAsia" w:ascii="宋体" w:hAnsi="宋体" w:eastAsia="宋体" w:cs="宋体"/>
                <w:bCs/>
                <w:kern w:val="2"/>
                <w:sz w:val="24"/>
                <w:szCs w:val="24"/>
              </w:rPr>
              <w:t>于收到质疑文件后七个工作日内答复，请质疑人及时</w:t>
            </w:r>
            <w:r>
              <w:rPr>
                <w:rFonts w:hint="eastAsia" w:ascii="宋体" w:hAnsi="宋体" w:eastAsia="宋体" w:cs="宋体"/>
                <w:bCs/>
                <w:kern w:val="2"/>
                <w:sz w:val="24"/>
                <w:szCs w:val="24"/>
                <w:lang w:val="en-US"/>
              </w:rPr>
              <w:t>通过发出质疑的邮箱</w:t>
            </w:r>
            <w:r>
              <w:rPr>
                <w:rFonts w:hint="eastAsia" w:ascii="宋体" w:hAnsi="宋体" w:eastAsia="宋体" w:cs="宋体"/>
                <w:bCs/>
                <w:kern w:val="2"/>
                <w:sz w:val="24"/>
                <w:szCs w:val="24"/>
              </w:rPr>
              <w:t>查收答疑文件。</w:t>
            </w:r>
          </w:p>
          <w:p w14:paraId="10157A7B">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3、请各潜在供应商在响应截止时间前，务必登录安徽衡宇工程咨询有限公司网（http://www.ahhygczx.com），查看是否发布有关该项目更正公告或澄清。更正公告或或澄清为采购文件的有效组成部分，一经发布即为视同已通知所有潜在供应商，若因未及时关注而造成的一切后果，由供应商自行承担。</w:t>
            </w:r>
          </w:p>
        </w:tc>
      </w:tr>
      <w:tr w14:paraId="2F41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70D5522E">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14</w:t>
            </w:r>
          </w:p>
        </w:tc>
        <w:tc>
          <w:tcPr>
            <w:tcW w:w="1680" w:type="dxa"/>
            <w:vAlign w:val="center"/>
          </w:tcPr>
          <w:p w14:paraId="3C95993B">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响应文件份数及要求</w:t>
            </w:r>
          </w:p>
        </w:tc>
        <w:tc>
          <w:tcPr>
            <w:tcW w:w="7130" w:type="dxa"/>
            <w:vAlign w:val="center"/>
          </w:tcPr>
          <w:p w14:paraId="10FA0D15">
            <w:pPr>
              <w:pStyle w:val="88"/>
              <w:pBdr>
                <w:bottom w:val="none" w:color="auto" w:sz="0" w:space="0"/>
              </w:pBdr>
              <w:tabs>
                <w:tab w:val="clear" w:pos="4153"/>
                <w:tab w:val="clear" w:pos="8306"/>
              </w:tabs>
              <w:adjustRightInd/>
              <w:spacing w:line="50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rPr>
              <w:t>2</w:t>
            </w:r>
            <w:r>
              <w:rPr>
                <w:rFonts w:hint="eastAsia" w:ascii="宋体" w:hAnsi="宋体"/>
                <w:szCs w:val="24"/>
              </w:rPr>
              <w:t>份</w:t>
            </w:r>
          </w:p>
          <w:p w14:paraId="576478C6">
            <w:pPr>
              <w:pStyle w:val="88"/>
              <w:pBdr>
                <w:bottom w:val="none" w:color="auto" w:sz="0" w:space="0"/>
              </w:pBdr>
              <w:tabs>
                <w:tab w:val="clear" w:pos="4153"/>
                <w:tab w:val="clear" w:pos="8306"/>
              </w:tabs>
              <w:adjustRightInd/>
              <w:spacing w:line="500" w:lineRule="exact"/>
              <w:jc w:val="left"/>
              <w:textAlignment w:val="auto"/>
              <w:rPr>
                <w:rFonts w:ascii="宋体" w:hAnsi="宋体"/>
                <w:szCs w:val="24"/>
                <w:lang w:val="en-US"/>
              </w:rPr>
            </w:pPr>
            <w:r>
              <w:rPr>
                <w:rFonts w:hint="eastAsia" w:ascii="宋体" w:hAnsi="宋体"/>
                <w:szCs w:val="24"/>
                <w:lang w:val="en-US"/>
              </w:rPr>
              <w:t>要求：</w:t>
            </w:r>
          </w:p>
          <w:p w14:paraId="20721CC2">
            <w:pPr>
              <w:pStyle w:val="88"/>
              <w:pBdr>
                <w:bottom w:val="none" w:color="auto" w:sz="0" w:space="0"/>
              </w:pBdr>
              <w:tabs>
                <w:tab w:val="clear" w:pos="4153"/>
                <w:tab w:val="clear" w:pos="8306"/>
              </w:tabs>
              <w:adjustRightInd/>
              <w:spacing w:line="50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p>
          <w:p w14:paraId="4EF60509">
            <w:pPr>
              <w:pStyle w:val="88"/>
              <w:numPr>
                <w:ilvl w:val="0"/>
                <w:numId w:val="2"/>
              </w:numPr>
              <w:pBdr>
                <w:bottom w:val="none" w:color="auto" w:sz="0" w:space="0"/>
              </w:pBdr>
              <w:tabs>
                <w:tab w:val="clear" w:pos="4153"/>
                <w:tab w:val="clear" w:pos="8306"/>
              </w:tabs>
              <w:adjustRightInd/>
              <w:spacing w:line="500" w:lineRule="exact"/>
              <w:jc w:val="left"/>
              <w:textAlignment w:val="auto"/>
              <w:rPr>
                <w:rFonts w:ascii="宋体" w:hAnsi="宋体"/>
                <w:szCs w:val="24"/>
              </w:rPr>
            </w:pPr>
            <w:r>
              <w:rPr>
                <w:rFonts w:hint="eastAsia" w:ascii="宋体" w:hAnsi="宋体"/>
                <w:szCs w:val="24"/>
              </w:rPr>
              <w:t>如果响应文件没有按规定</w:t>
            </w:r>
            <w:r>
              <w:rPr>
                <w:rFonts w:hint="eastAsia" w:ascii="宋体" w:hAnsi="宋体"/>
                <w:szCs w:val="24"/>
                <w:lang w:val="en-US"/>
              </w:rPr>
              <w:t>胶装</w:t>
            </w:r>
            <w:r>
              <w:rPr>
                <w:rFonts w:hint="eastAsia" w:ascii="宋体" w:hAnsi="宋体"/>
                <w:szCs w:val="24"/>
              </w:rPr>
              <w:t>装订、分装、标记和密封，采购人和代理机构不承担提前开封的责任。</w:t>
            </w:r>
          </w:p>
          <w:p w14:paraId="741F4B4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szCs w:val="24"/>
              </w:rPr>
              <w:t>响应文件正本与副本可以包装在一起密封提交，也可以分开包装密封提交。</w:t>
            </w:r>
          </w:p>
        </w:tc>
      </w:tr>
      <w:tr w14:paraId="6F72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3608943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15</w:t>
            </w:r>
          </w:p>
        </w:tc>
        <w:tc>
          <w:tcPr>
            <w:tcW w:w="1680" w:type="dxa"/>
            <w:vAlign w:val="center"/>
          </w:tcPr>
          <w:p w14:paraId="6DF14461">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递交响应文件注意事项</w:t>
            </w:r>
          </w:p>
        </w:tc>
        <w:tc>
          <w:tcPr>
            <w:tcW w:w="7130" w:type="dxa"/>
            <w:vAlign w:val="center"/>
          </w:tcPr>
          <w:p w14:paraId="41EA6B1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响应文件必须在响应截止时间前</w:t>
            </w:r>
            <w:r>
              <w:rPr>
                <w:rFonts w:hint="eastAsia" w:ascii="宋体" w:hAnsi="宋体" w:eastAsia="宋体" w:cs="宋体"/>
                <w:kern w:val="2"/>
                <w:sz w:val="24"/>
                <w:szCs w:val="24"/>
                <w:lang w:eastAsia="zh-CN"/>
              </w:rPr>
              <w:t>现场</w:t>
            </w:r>
            <w:r>
              <w:rPr>
                <w:rFonts w:hint="eastAsia" w:ascii="宋体" w:hAnsi="宋体" w:eastAsia="宋体" w:cs="宋体"/>
                <w:kern w:val="2"/>
                <w:sz w:val="24"/>
                <w:szCs w:val="24"/>
              </w:rPr>
              <w:t>递交</w:t>
            </w:r>
          </w:p>
        </w:tc>
      </w:tr>
      <w:tr w14:paraId="7C5F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14:paraId="4799F23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16</w:t>
            </w:r>
          </w:p>
        </w:tc>
        <w:tc>
          <w:tcPr>
            <w:tcW w:w="1680" w:type="dxa"/>
            <w:vAlign w:val="center"/>
          </w:tcPr>
          <w:p w14:paraId="5E3B6F17">
            <w:pPr>
              <w:pStyle w:val="88"/>
              <w:pBdr>
                <w:bottom w:val="none" w:color="auto" w:sz="0" w:space="0"/>
              </w:pBdr>
              <w:tabs>
                <w:tab w:val="clear" w:pos="4153"/>
                <w:tab w:val="clear" w:pos="8306"/>
              </w:tabs>
              <w:adjustRightInd/>
              <w:spacing w:line="500" w:lineRule="exact"/>
              <w:textAlignment w:val="auto"/>
              <w:rPr>
                <w:rFonts w:hint="eastAsia" w:ascii="宋体" w:hAnsi="宋体" w:eastAsia="宋体" w:cs="宋体"/>
                <w:bCs/>
                <w:kern w:val="2"/>
                <w:sz w:val="24"/>
                <w:szCs w:val="24"/>
              </w:rPr>
            </w:pPr>
            <w:r>
              <w:rPr>
                <w:rFonts w:hint="eastAsia" w:ascii="宋体" w:hAnsi="宋体"/>
                <w:szCs w:val="24"/>
              </w:rPr>
              <w:t>封套上应载明的信息</w:t>
            </w:r>
          </w:p>
        </w:tc>
        <w:tc>
          <w:tcPr>
            <w:tcW w:w="7130" w:type="dxa"/>
            <w:vAlign w:val="center"/>
          </w:tcPr>
          <w:p w14:paraId="69687AE0">
            <w:pPr>
              <w:spacing w:line="500" w:lineRule="exact"/>
              <w:rPr>
                <w:sz w:val="24"/>
                <w:szCs w:val="24"/>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14:paraId="301F4BDF">
            <w:pPr>
              <w:pStyle w:val="99"/>
              <w:spacing w:line="500" w:lineRule="exact"/>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14:paraId="20189F73">
            <w:pPr>
              <w:spacing w:line="50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14:paraId="5395D6F6">
            <w:pPr>
              <w:pStyle w:val="99"/>
              <w:spacing w:line="50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14:paraId="10329CDC">
            <w:pPr>
              <w:pStyle w:val="88"/>
              <w:pBdr>
                <w:bottom w:val="none" w:color="auto" w:sz="0" w:space="0"/>
              </w:pBdr>
              <w:tabs>
                <w:tab w:val="clear" w:pos="4153"/>
                <w:tab w:val="clear" w:pos="8306"/>
              </w:tabs>
              <w:adjustRightInd/>
              <w:spacing w:line="500" w:lineRule="exact"/>
              <w:jc w:val="left"/>
              <w:textAlignment w:val="auto"/>
              <w:rPr>
                <w:rFonts w:hint="eastAsia" w:ascii="宋体" w:hAnsi="宋体" w:eastAsia="宋体" w:cs="宋体"/>
                <w:bCs/>
                <w:kern w:val="2"/>
                <w:sz w:val="24"/>
                <w:szCs w:val="24"/>
              </w:rPr>
            </w:pPr>
            <w:r>
              <w:rPr>
                <w:rFonts w:hint="eastAsia"/>
                <w:kern w:val="2"/>
                <w:szCs w:val="24"/>
              </w:rPr>
              <w:t>供应商地址：</w:t>
            </w:r>
          </w:p>
        </w:tc>
      </w:tr>
      <w:tr w14:paraId="0E3E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1028B471">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rPr>
              <w:t>1</w:t>
            </w:r>
            <w:r>
              <w:rPr>
                <w:rFonts w:hint="eastAsia" w:ascii="宋体" w:hAnsi="宋体" w:eastAsia="宋体" w:cs="宋体"/>
                <w:b/>
                <w:kern w:val="2"/>
                <w:sz w:val="24"/>
                <w:szCs w:val="24"/>
                <w:lang w:val="en-US" w:eastAsia="zh-CN"/>
              </w:rPr>
              <w:t>7</w:t>
            </w:r>
          </w:p>
        </w:tc>
        <w:tc>
          <w:tcPr>
            <w:tcW w:w="1680" w:type="dxa"/>
            <w:vAlign w:val="center"/>
          </w:tcPr>
          <w:p w14:paraId="27668202">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备注</w:t>
            </w:r>
          </w:p>
        </w:tc>
        <w:tc>
          <w:tcPr>
            <w:tcW w:w="7130" w:type="dxa"/>
            <w:vAlign w:val="center"/>
          </w:tcPr>
          <w:p w14:paraId="331B4C8D">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14:paraId="0A58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6E2D858E">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18</w:t>
            </w:r>
          </w:p>
        </w:tc>
        <w:tc>
          <w:tcPr>
            <w:tcW w:w="1680" w:type="dxa"/>
            <w:vAlign w:val="center"/>
          </w:tcPr>
          <w:p w14:paraId="58480693">
            <w:pPr>
              <w:pStyle w:val="88"/>
              <w:pBdr>
                <w:bottom w:val="none" w:color="auto" w:sz="0" w:space="0"/>
              </w:pBdr>
              <w:tabs>
                <w:tab w:val="clear" w:pos="4153"/>
                <w:tab w:val="clear" w:pos="8306"/>
              </w:tabs>
              <w:adjustRightInd/>
              <w:spacing w:line="500" w:lineRule="exact"/>
              <w:jc w:val="left"/>
              <w:textAlignment w:val="auto"/>
              <w:rPr>
                <w:rFonts w:hint="eastAsia" w:ascii="宋体" w:hAnsi="宋体" w:eastAsia="宋体" w:cs="宋体"/>
                <w:bCs/>
                <w:kern w:val="2"/>
                <w:sz w:val="24"/>
                <w:szCs w:val="24"/>
              </w:rPr>
            </w:pPr>
            <w:r>
              <w:rPr>
                <w:rFonts w:hint="eastAsia" w:ascii="宋体" w:hAnsi="宋体"/>
                <w:bCs/>
                <w:kern w:val="2"/>
                <w:szCs w:val="24"/>
                <w:lang w:val="en-US"/>
              </w:rPr>
              <w:t>谈判文件解释权</w:t>
            </w:r>
          </w:p>
        </w:tc>
        <w:tc>
          <w:tcPr>
            <w:tcW w:w="7130" w:type="dxa"/>
            <w:vAlign w:val="center"/>
          </w:tcPr>
          <w:p w14:paraId="3D3FD134">
            <w:pPr>
              <w:pStyle w:val="88"/>
              <w:pBdr>
                <w:bottom w:val="none" w:color="auto" w:sz="0" w:space="0"/>
              </w:pBdr>
              <w:tabs>
                <w:tab w:val="clear" w:pos="4153"/>
                <w:tab w:val="clear" w:pos="8306"/>
              </w:tabs>
              <w:adjustRightInd/>
              <w:spacing w:line="500" w:lineRule="exact"/>
              <w:jc w:val="both"/>
              <w:textAlignment w:val="auto"/>
              <w:rPr>
                <w:rFonts w:hint="eastAsia" w:ascii="宋体" w:hAnsi="宋体" w:eastAsia="宋体" w:cs="宋体"/>
                <w:bCs/>
                <w:kern w:val="2"/>
                <w:sz w:val="24"/>
                <w:szCs w:val="24"/>
              </w:rPr>
            </w:pPr>
            <w:r>
              <w:rPr>
                <w:rFonts w:ascii="宋体" w:hAnsi="宋体" w:cs="宋体"/>
                <w:szCs w:val="24"/>
              </w:rPr>
              <w:t>本谈判文件的解释权归采购人。</w:t>
            </w:r>
          </w:p>
        </w:tc>
      </w:tr>
      <w:bookmarkEnd w:id="64"/>
      <w:bookmarkEnd w:id="65"/>
      <w:bookmarkEnd w:id="66"/>
    </w:tbl>
    <w:p w14:paraId="5354636D">
      <w:pPr>
        <w:pStyle w:val="3"/>
        <w:pageBreakBefore w:val="0"/>
        <w:kinsoku/>
        <w:wordWrap/>
        <w:overflowPunct/>
        <w:topLinePunct w:val="0"/>
        <w:autoSpaceDE/>
        <w:autoSpaceDN/>
        <w:bidi w:val="0"/>
        <w:snapToGrid/>
        <w:spacing w:before="0" w:after="0" w:line="500" w:lineRule="exact"/>
        <w:ind w:firstLine="241" w:firstLineChars="100"/>
        <w:jc w:val="center"/>
        <w:rPr>
          <w:rFonts w:hint="eastAsia" w:ascii="宋体" w:hAnsi="宋体" w:eastAsia="宋体" w:cs="宋体"/>
          <w:sz w:val="24"/>
          <w:szCs w:val="24"/>
        </w:rPr>
      </w:pPr>
      <w:bookmarkStart w:id="67" w:name="_Toc7878"/>
      <w:bookmarkStart w:id="68" w:name="_Toc24713"/>
      <w:bookmarkStart w:id="69" w:name="_Toc216158630"/>
      <w:r>
        <w:rPr>
          <w:rFonts w:hint="eastAsia" w:ascii="宋体" w:hAnsi="宋体" w:eastAsia="宋体" w:cs="宋体"/>
          <w:sz w:val="24"/>
          <w:szCs w:val="24"/>
        </w:rPr>
        <w:t>（二）供应商资格</w:t>
      </w:r>
      <w:bookmarkEnd w:id="67"/>
      <w:bookmarkEnd w:id="68"/>
    </w:p>
    <w:p w14:paraId="1C7E917D">
      <w:pPr>
        <w:pStyle w:val="33"/>
        <w:pageBreakBefore w:val="0"/>
        <w:kinsoku/>
        <w:wordWrap/>
        <w:overflowPunct/>
        <w:topLinePunct w:val="0"/>
        <w:autoSpaceDE/>
        <w:autoSpaceDN/>
        <w:bidi w:val="0"/>
        <w:snapToGrid/>
        <w:spacing w:after="0" w:line="500" w:lineRule="exact"/>
        <w:ind w:firstLine="480" w:firstLineChars="200"/>
        <w:jc w:val="left"/>
        <w:rPr>
          <w:rFonts w:hint="eastAsia" w:ascii="宋体" w:hAnsi="宋体" w:eastAsia="宋体" w:cs="宋体"/>
          <w:sz w:val="24"/>
          <w:szCs w:val="24"/>
        </w:rPr>
      </w:pPr>
      <w:bookmarkStart w:id="70" w:name="_Toc438648662"/>
      <w:bookmarkStart w:id="71" w:name="_Toc363199266"/>
      <w:bookmarkStart w:id="72" w:name="_Toc216158625"/>
      <w:r>
        <w:rPr>
          <w:rFonts w:hint="eastAsia" w:ascii="宋体" w:hAnsi="宋体" w:eastAsia="宋体" w:cs="宋体"/>
          <w:sz w:val="24"/>
          <w:szCs w:val="24"/>
        </w:rPr>
        <w:t>见本项目采购公告</w:t>
      </w:r>
    </w:p>
    <w:p w14:paraId="4EA5100D">
      <w:pPr>
        <w:pStyle w:val="3"/>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73" w:name="_Toc24432"/>
      <w:bookmarkStart w:id="74" w:name="_Toc27352"/>
      <w:r>
        <w:rPr>
          <w:rFonts w:hint="eastAsia" w:ascii="宋体" w:hAnsi="宋体" w:eastAsia="宋体" w:cs="宋体"/>
          <w:sz w:val="24"/>
          <w:szCs w:val="24"/>
        </w:rPr>
        <w:t>（三）供应商必须提交的响应文件内容</w:t>
      </w:r>
      <w:bookmarkEnd w:id="70"/>
      <w:bookmarkEnd w:id="71"/>
      <w:bookmarkEnd w:id="72"/>
      <w:bookmarkEnd w:id="73"/>
      <w:bookmarkEnd w:id="74"/>
    </w:p>
    <w:p w14:paraId="75E7BFF9">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1、报价单；</w:t>
      </w:r>
    </w:p>
    <w:p w14:paraId="76B2A3ED">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2、供应商基本信息；</w:t>
      </w:r>
    </w:p>
    <w:p w14:paraId="75CEE79C">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3、谈判授权书；</w:t>
      </w:r>
    </w:p>
    <w:p w14:paraId="4F114DF4">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4、谈判响应函；</w:t>
      </w:r>
    </w:p>
    <w:p w14:paraId="1CAA4D4F">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5、无重大违法记录声明函、无不良信用记录承诺函；</w:t>
      </w:r>
    </w:p>
    <w:p w14:paraId="6FA17618">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6、响应情况表；</w:t>
      </w:r>
    </w:p>
    <w:p w14:paraId="5F142EA2">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Style w:val="48"/>
          <w:rFonts w:hint="eastAsia" w:ascii="宋体" w:hAnsi="宋体" w:eastAsia="宋体" w:cs="宋体"/>
          <w:b w:val="0"/>
          <w:bCs/>
          <w:sz w:val="24"/>
          <w:szCs w:val="24"/>
        </w:rPr>
        <w:t>中小企业声明函、</w:t>
      </w:r>
      <w:r>
        <w:rPr>
          <w:rFonts w:hint="eastAsia" w:ascii="宋体" w:hAnsi="宋体" w:eastAsia="宋体" w:cs="宋体"/>
          <w:bCs/>
          <w:sz w:val="24"/>
          <w:szCs w:val="24"/>
        </w:rPr>
        <w:t>残疾人福利性单位声明函；</w:t>
      </w:r>
    </w:p>
    <w:p w14:paraId="452B1F20">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、谈判文件要求和供应商认为需要提供的其它说明和资料。 </w:t>
      </w:r>
    </w:p>
    <w:p w14:paraId="217855AA">
      <w:pPr>
        <w:pStyle w:val="3"/>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75" w:name="_Toc21125"/>
      <w:bookmarkStart w:id="76" w:name="_Toc15586"/>
      <w:bookmarkStart w:id="77" w:name="（三）供应商必须提交的响应文件内容"/>
      <w:bookmarkStart w:id="78" w:name="（四）响应文件的提交"/>
      <w:r>
        <w:rPr>
          <w:rFonts w:hint="eastAsia" w:ascii="宋体" w:hAnsi="宋体" w:eastAsia="宋体" w:cs="宋体"/>
          <w:sz w:val="24"/>
          <w:szCs w:val="24"/>
        </w:rPr>
        <w:t>（四）响应文件的提交</w:t>
      </w:r>
      <w:bookmarkEnd w:id="75"/>
      <w:bookmarkEnd w:id="76"/>
    </w:p>
    <w:bookmarkEnd w:id="77"/>
    <w:bookmarkEnd w:id="78"/>
    <w:p w14:paraId="0BE21A41">
      <w:pPr>
        <w:spacing w:line="500" w:lineRule="exact"/>
        <w:ind w:firstLine="480" w:firstLineChars="200"/>
        <w:rPr>
          <w:rFonts w:ascii="宋体" w:hAnsi="宋体" w:cs="宋体"/>
          <w:sz w:val="24"/>
          <w:szCs w:val="24"/>
        </w:rPr>
      </w:pPr>
      <w:bookmarkStart w:id="79" w:name="_Toc9203"/>
      <w:bookmarkStart w:id="80" w:name="_Toc15127"/>
      <w:bookmarkStart w:id="81" w:name="（五）谈判程序"/>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响应文件密封</w:t>
      </w:r>
    </w:p>
    <w:p w14:paraId="6A4D70B9">
      <w:pPr>
        <w:spacing w:line="500" w:lineRule="exact"/>
        <w:ind w:firstLine="480" w:firstLineChars="200"/>
        <w:rPr>
          <w:rFonts w:ascii="宋体" w:hAnsi="宋体" w:cs="宋体"/>
          <w:sz w:val="24"/>
          <w:szCs w:val="24"/>
        </w:rPr>
      </w:pPr>
      <w:r>
        <w:rPr>
          <w:rFonts w:hint="eastAsia" w:ascii="宋体" w:hAnsi="宋体" w:cs="宋体"/>
          <w:sz w:val="24"/>
          <w:szCs w:val="24"/>
        </w:rPr>
        <w:t>1.1响应文件应密封包装，并在封套的封口处加盖供应商单位章或由供应商的法定代表人（单位负责人）或其授权的代理人签字。</w:t>
      </w:r>
    </w:p>
    <w:p w14:paraId="1C65FD5C">
      <w:pPr>
        <w:spacing w:line="500" w:lineRule="exact"/>
        <w:ind w:firstLine="480" w:firstLineChars="200"/>
        <w:rPr>
          <w:rFonts w:ascii="宋体" w:hAnsi="宋体" w:cs="宋体"/>
          <w:sz w:val="24"/>
          <w:szCs w:val="24"/>
        </w:rPr>
      </w:pPr>
      <w:r>
        <w:rPr>
          <w:rFonts w:hint="eastAsia" w:ascii="宋体" w:hAnsi="宋体" w:cs="宋体"/>
          <w:sz w:val="24"/>
          <w:szCs w:val="24"/>
        </w:rPr>
        <w:t>1.2 响应文件封套上应写明的内容见供应商须知前附表。</w:t>
      </w:r>
    </w:p>
    <w:p w14:paraId="5AC3C78B">
      <w:pPr>
        <w:spacing w:line="500" w:lineRule="exact"/>
        <w:ind w:firstLine="480" w:firstLineChars="200"/>
        <w:rPr>
          <w:rFonts w:ascii="宋体" w:hAnsi="宋体" w:cs="宋体"/>
          <w:sz w:val="24"/>
          <w:szCs w:val="24"/>
        </w:rPr>
      </w:pPr>
      <w:r>
        <w:rPr>
          <w:rFonts w:hint="eastAsia" w:ascii="宋体" w:hAnsi="宋体" w:cs="宋体"/>
          <w:sz w:val="24"/>
          <w:szCs w:val="24"/>
        </w:rPr>
        <w:t>1.3 如果未按规定封装或加写标记，采购代理机构将不承担响应文件错放或提前开封的责任，并可能导致响应无效。</w:t>
      </w:r>
    </w:p>
    <w:p w14:paraId="662256E5">
      <w:pPr>
        <w:spacing w:line="50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 xml:space="preserve">响应文件的提交 </w:t>
      </w:r>
    </w:p>
    <w:p w14:paraId="514428B0">
      <w:pPr>
        <w:spacing w:line="500" w:lineRule="exact"/>
        <w:ind w:firstLine="480" w:firstLineChars="200"/>
        <w:rPr>
          <w:rFonts w:ascii="宋体" w:hAnsi="宋体" w:cs="宋体"/>
          <w:sz w:val="24"/>
          <w:szCs w:val="24"/>
        </w:rPr>
      </w:pPr>
      <w:r>
        <w:rPr>
          <w:rFonts w:hint="eastAsia" w:ascii="宋体" w:hAnsi="宋体" w:cs="宋体"/>
          <w:sz w:val="24"/>
          <w:szCs w:val="24"/>
        </w:rPr>
        <w:t>2.1 供应商应在供应商须知前附表规定的响应文件递交截止时间前递交响应文件。</w:t>
      </w:r>
    </w:p>
    <w:p w14:paraId="126C4CB7">
      <w:pPr>
        <w:spacing w:line="500" w:lineRule="exact"/>
        <w:ind w:firstLine="480" w:firstLineChars="200"/>
        <w:rPr>
          <w:rFonts w:ascii="宋体" w:hAnsi="宋体" w:cs="宋体"/>
          <w:sz w:val="24"/>
          <w:szCs w:val="24"/>
        </w:rPr>
      </w:pPr>
      <w:r>
        <w:rPr>
          <w:rFonts w:hint="eastAsia" w:ascii="宋体" w:hAnsi="宋体" w:cs="宋体"/>
          <w:sz w:val="24"/>
          <w:szCs w:val="24"/>
        </w:rPr>
        <w:t>2.2 供应商递交响应文件的地点：见供应商须知前附表。</w:t>
      </w:r>
    </w:p>
    <w:p w14:paraId="08863920">
      <w:pPr>
        <w:spacing w:line="500" w:lineRule="exact"/>
        <w:ind w:firstLine="480" w:firstLineChars="200"/>
        <w:rPr>
          <w:rFonts w:ascii="宋体" w:hAnsi="宋体" w:cs="宋体"/>
          <w:sz w:val="24"/>
          <w:szCs w:val="24"/>
        </w:rPr>
      </w:pPr>
      <w:r>
        <w:rPr>
          <w:rFonts w:hint="eastAsia" w:ascii="宋体" w:hAnsi="宋体" w:cs="宋体"/>
          <w:sz w:val="24"/>
          <w:szCs w:val="24"/>
        </w:rPr>
        <w:t>2.3 除供应商须知前附表另有规定外，供应商所递交的响应文件不予退还。</w:t>
      </w:r>
    </w:p>
    <w:p w14:paraId="34E8E167">
      <w:pPr>
        <w:spacing w:line="500" w:lineRule="exact"/>
        <w:ind w:firstLine="480" w:firstLineChars="200"/>
        <w:rPr>
          <w:rFonts w:ascii="宋体" w:hAnsi="宋体" w:cs="宋体"/>
          <w:sz w:val="24"/>
          <w:szCs w:val="24"/>
        </w:rPr>
      </w:pPr>
      <w:r>
        <w:rPr>
          <w:rFonts w:hint="eastAsia" w:ascii="宋体" w:hAnsi="宋体" w:cs="宋体"/>
          <w:sz w:val="24"/>
          <w:szCs w:val="24"/>
        </w:rPr>
        <w:t>2.4逾期送达的或者未送达指定地点的响应文件，采购人将予以拒收。</w:t>
      </w:r>
    </w:p>
    <w:p w14:paraId="0A54D725">
      <w:pPr>
        <w:spacing w:line="5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响应文件的修改和撤回</w:t>
      </w:r>
    </w:p>
    <w:p w14:paraId="4B4EC178">
      <w:pPr>
        <w:spacing w:line="500" w:lineRule="exact"/>
        <w:ind w:firstLine="480" w:firstLineChars="200"/>
        <w:rPr>
          <w:rFonts w:ascii="宋体" w:hAnsi="宋体" w:cs="宋体"/>
          <w:sz w:val="24"/>
          <w:szCs w:val="24"/>
        </w:rPr>
      </w:pPr>
      <w:r>
        <w:rPr>
          <w:rFonts w:hint="eastAsia" w:ascii="宋体" w:hAnsi="宋体" w:cs="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14:paraId="67A01D4D">
      <w:pPr>
        <w:spacing w:line="500" w:lineRule="exact"/>
        <w:ind w:firstLine="480" w:firstLineChars="200"/>
        <w:rPr>
          <w:rFonts w:ascii="宋体" w:hAnsi="宋体" w:cs="宋体"/>
          <w:sz w:val="24"/>
          <w:szCs w:val="24"/>
        </w:rPr>
      </w:pPr>
      <w:r>
        <w:rPr>
          <w:rFonts w:hint="eastAsia" w:ascii="宋体" w:hAnsi="宋体" w:cs="宋体"/>
          <w:sz w:val="24"/>
          <w:szCs w:val="24"/>
        </w:rPr>
        <w:t>3.2供应商的修改书或撤回通知书，应按规定进行编制、密封、标记和提交，且标明“修改”或“撤回”字样。</w:t>
      </w:r>
    </w:p>
    <w:p w14:paraId="06D27650">
      <w:pPr>
        <w:pStyle w:val="3"/>
        <w:spacing w:before="0" w:after="0" w:line="500" w:lineRule="exact"/>
        <w:ind w:firstLine="480" w:firstLineChars="200"/>
        <w:rPr>
          <w:rFonts w:ascii="宋体" w:hAnsi="宋体" w:eastAsia="宋体" w:cs="宋体"/>
          <w:b w:val="0"/>
          <w:bCs/>
          <w:sz w:val="24"/>
          <w:szCs w:val="24"/>
        </w:rPr>
      </w:pPr>
      <w:r>
        <w:rPr>
          <w:rFonts w:hint="eastAsia" w:ascii="宋体" w:hAnsi="宋体" w:eastAsia="宋体" w:cs="宋体"/>
          <w:b w:val="0"/>
          <w:kern w:val="2"/>
          <w:sz w:val="24"/>
          <w:szCs w:val="24"/>
        </w:rPr>
        <w:t>3.3提交响应文件截止时间后不得修改响应文件。但属于谈判小组在评审中发现的计算错误并进行核实的修改、按照谈判文件的变动情况和谈判小组的要求重新提交响应文件的，不在此列。</w:t>
      </w:r>
    </w:p>
    <w:p w14:paraId="4571316E">
      <w:pPr>
        <w:pStyle w:val="3"/>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r>
        <w:rPr>
          <w:rFonts w:hint="eastAsia" w:ascii="宋体" w:hAnsi="宋体" w:eastAsia="宋体" w:cs="宋体"/>
          <w:sz w:val="24"/>
          <w:szCs w:val="24"/>
        </w:rPr>
        <w:t>（五）谈判程序</w:t>
      </w:r>
      <w:bookmarkEnd w:id="79"/>
      <w:bookmarkEnd w:id="80"/>
    </w:p>
    <w:bookmarkEnd w:id="81"/>
    <w:p w14:paraId="3562CF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1、谈判人员是按规定组成的三人或三人以上的谈判小组。</w:t>
      </w:r>
      <w:r>
        <w:rPr>
          <w:rFonts w:hint="eastAsia" w:ascii="宋体" w:hAnsi="宋体" w:eastAsia="宋体" w:cs="宋体"/>
          <w:sz w:val="24"/>
          <w:szCs w:val="24"/>
          <w:lang w:val="en-US" w:eastAsia="zh-CN"/>
        </w:rPr>
        <w:t>采购人（代理机构）确定本项目谈判小组</w:t>
      </w:r>
      <w:r>
        <w:rPr>
          <w:rFonts w:hint="eastAsia" w:ascii="宋体" w:hAnsi="宋体" w:eastAsia="宋体" w:cs="宋体"/>
          <w:sz w:val="24"/>
          <w:szCs w:val="24"/>
          <w:u w:val="single"/>
          <w:lang w:val="en-US" w:eastAsia="zh-CN"/>
        </w:rPr>
        <w:t xml:space="preserve">  3  </w:t>
      </w:r>
      <w:r>
        <w:rPr>
          <w:rFonts w:hint="eastAsia" w:ascii="宋体" w:hAnsi="宋体" w:eastAsia="宋体" w:cs="宋体"/>
          <w:sz w:val="24"/>
          <w:szCs w:val="24"/>
          <w:lang w:val="en-US" w:eastAsia="zh-CN"/>
        </w:rPr>
        <w:t>人。</w:t>
      </w:r>
    </w:p>
    <w:p w14:paraId="4A7F5595">
      <w:pPr>
        <w:keepNext w:val="0"/>
        <w:keepLines w:val="0"/>
        <w:pageBreakBefore w:val="0"/>
        <w:widowControl w:val="0"/>
        <w:tabs>
          <w:tab w:val="left" w:pos="90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2、在掌握了供应商的基本情况后，谈判小组将与供应商分别进行谈判。</w:t>
      </w:r>
    </w:p>
    <w:p w14:paraId="5AEDBCCA">
      <w:pPr>
        <w:keepNext w:val="0"/>
        <w:keepLines w:val="0"/>
        <w:pageBreakBefore w:val="0"/>
        <w:widowControl w:val="0"/>
        <w:tabs>
          <w:tab w:val="left" w:pos="90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3、谈判是分别单独进行的。供应商不得与其他参与谈判的供应商相互串通；谈判小组也不得将与某一供应商的谈判情况向其他供应商及其关系人透露。</w:t>
      </w:r>
    </w:p>
    <w:p w14:paraId="11F34FDD">
      <w:pPr>
        <w:pageBreakBefore w:val="0"/>
        <w:tabs>
          <w:tab w:val="left" w:pos="900"/>
        </w:tabs>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4、谈判采用一轮谈判、两轮报价的方式进行。但最终采取多少轮谈判，由谈判小组视情况而定。</w:t>
      </w:r>
    </w:p>
    <w:p w14:paraId="5441C957">
      <w:pPr>
        <w:tabs>
          <w:tab w:val="left" w:pos="900"/>
        </w:tabs>
        <w:spacing w:line="500" w:lineRule="exact"/>
        <w:ind w:firstLine="480" w:firstLineChars="200"/>
        <w:rPr>
          <w:rFonts w:ascii="宋体" w:hAnsi="宋体" w:cs="宋体"/>
          <w:sz w:val="24"/>
          <w:szCs w:val="24"/>
        </w:rPr>
      </w:pPr>
      <w:bookmarkStart w:id="82" w:name="_Toc1437"/>
      <w:bookmarkStart w:id="83" w:name="_Toc9855"/>
      <w:bookmarkStart w:id="84" w:name="_Toc6912"/>
      <w:r>
        <w:rPr>
          <w:rFonts w:hint="eastAsia" w:ascii="宋体" w:hAnsi="宋体" w:eastAsia="宋体" w:cs="宋体"/>
          <w:b w:val="0"/>
          <w:bCs/>
          <w:sz w:val="24"/>
          <w:szCs w:val="24"/>
        </w:rPr>
        <w:t>5、</w:t>
      </w:r>
      <w:bookmarkEnd w:id="82"/>
      <w:bookmarkEnd w:id="83"/>
      <w:bookmarkEnd w:id="84"/>
      <w:bookmarkStart w:id="85" w:name="_Toc110"/>
      <w:bookmarkStart w:id="86" w:name="_Toc9547"/>
      <w:bookmarkStart w:id="87" w:name="_Toc15851"/>
      <w:r>
        <w:rPr>
          <w:rFonts w:hint="eastAsia" w:ascii="宋体" w:hAnsi="宋体" w:cs="宋体"/>
          <w:sz w:val="24"/>
          <w:szCs w:val="24"/>
        </w:rPr>
        <w:t>谈判结束后，谈判小组将要求所有符合条件的供应商在规定的时间内进行最后的报价。供应商应在谈判小组发出二轮报价指令后30分钟内完成报价，若供应商未在谈判小组规定的时间内提交最后的报价，则其前一轮报价即为该供应商最后的报价（后一轮报价不得高于前一轮报价，否则，报价无效）。</w:t>
      </w:r>
    </w:p>
    <w:p w14:paraId="6868C6EE">
      <w:pPr>
        <w:tabs>
          <w:tab w:val="left" w:pos="900"/>
        </w:tabs>
        <w:spacing w:line="500" w:lineRule="exact"/>
        <w:ind w:firstLine="480" w:firstLineChars="200"/>
        <w:rPr>
          <w:rFonts w:hint="eastAsia" w:ascii="宋体" w:hAnsi="宋体" w:eastAsia="宋体" w:cs="宋体"/>
          <w:sz w:val="24"/>
          <w:szCs w:val="24"/>
        </w:rPr>
      </w:pPr>
      <w:r>
        <w:rPr>
          <w:rFonts w:hint="eastAsia" w:ascii="宋体" w:hAnsi="宋体" w:eastAsia="宋体" w:cs="宋体"/>
          <w:b w:val="0"/>
          <w:bCs/>
          <w:sz w:val="24"/>
          <w:szCs w:val="24"/>
        </w:rPr>
        <w:t>6、</w:t>
      </w:r>
      <w:bookmarkEnd w:id="85"/>
      <w:bookmarkEnd w:id="86"/>
      <w:bookmarkEnd w:id="87"/>
      <w:r>
        <w:rPr>
          <w:rFonts w:hint="eastAsia" w:ascii="宋体" w:hAnsi="宋体" w:cs="宋体"/>
          <w:sz w:val="24"/>
          <w:szCs w:val="24"/>
        </w:rPr>
        <w:t>供应商必须在规定的时间内将自己在谈判中作出的澄清、变动以及最终的报价，经法定代表人或被授权代表签字后，提交给谈判小组。</w:t>
      </w:r>
    </w:p>
    <w:p w14:paraId="5B444760">
      <w:pPr>
        <w:pStyle w:val="3"/>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88" w:name="_Toc22225"/>
      <w:bookmarkStart w:id="89" w:name="_Toc16969"/>
      <w:bookmarkStart w:id="90" w:name="（六）评审及异常情况处理"/>
      <w:r>
        <w:rPr>
          <w:rFonts w:hint="eastAsia" w:ascii="宋体" w:hAnsi="宋体" w:eastAsia="宋体" w:cs="宋体"/>
          <w:sz w:val="24"/>
          <w:szCs w:val="24"/>
        </w:rPr>
        <w:t>（六）评审及异常情况处理</w:t>
      </w:r>
      <w:bookmarkEnd w:id="88"/>
      <w:bookmarkEnd w:id="89"/>
    </w:p>
    <w:bookmarkEnd w:id="90"/>
    <w:p w14:paraId="04F13887">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B36A801">
      <w:pPr>
        <w:spacing w:line="500" w:lineRule="exact"/>
        <w:ind w:firstLine="480" w:firstLineChars="200"/>
        <w:rPr>
          <w:rFonts w:ascii="宋体" w:hAnsi="宋体" w:cs="宋体"/>
          <w:sz w:val="24"/>
          <w:szCs w:val="24"/>
        </w:rPr>
      </w:pPr>
      <w:bookmarkStart w:id="91" w:name="_Toc31134"/>
      <w:bookmarkStart w:id="92" w:name="_Toc18914"/>
      <w:bookmarkStart w:id="93" w:name="（七）报价响应及答疑"/>
      <w:r>
        <w:rPr>
          <w:rFonts w:hint="eastAsia" w:ascii="宋体" w:hAnsi="宋体" w:cs="宋体"/>
          <w:sz w:val="24"/>
          <w:szCs w:val="24"/>
        </w:rPr>
        <w:t>2、出现以下情况，现场转变采购方式：</w:t>
      </w:r>
    </w:p>
    <w:p w14:paraId="2E6B0954">
      <w:pPr>
        <w:spacing w:line="500" w:lineRule="exact"/>
        <w:ind w:firstLine="480" w:firstLineChars="200"/>
        <w:rPr>
          <w:rFonts w:ascii="宋体" w:hAnsi="宋体" w:cs="宋体"/>
          <w:sz w:val="24"/>
          <w:szCs w:val="24"/>
        </w:rPr>
      </w:pPr>
      <w:r>
        <w:rPr>
          <w:rFonts w:hint="eastAsia" w:ascii="宋体" w:hAnsi="宋体" w:cs="宋体"/>
          <w:sz w:val="24"/>
          <w:szCs w:val="24"/>
        </w:rPr>
        <w:t>（1）①若递交响应性文件的供应商不足三家的，②若符合专业条件的供应商或者对采购文件作实质性响应的供应商只有2家的：经采购人同意后，竞争性谈判活动可以继续进行或依法重新谈判。</w:t>
      </w:r>
    </w:p>
    <w:p w14:paraId="3895982C">
      <w:pPr>
        <w:spacing w:line="500" w:lineRule="exact"/>
        <w:ind w:firstLine="480" w:firstLineChars="200"/>
        <w:rPr>
          <w:rFonts w:ascii="宋体" w:hAnsi="宋体" w:cs="宋体"/>
          <w:sz w:val="24"/>
          <w:szCs w:val="24"/>
        </w:rPr>
      </w:pPr>
      <w:r>
        <w:rPr>
          <w:rFonts w:hint="eastAsia" w:ascii="宋体" w:hAnsi="宋体" w:cs="宋体"/>
          <w:sz w:val="24"/>
          <w:szCs w:val="24"/>
        </w:rPr>
        <w:t>（2）①若递交响应性文件的供应商不足两家的，②若符合专业条件的供应商或者对采购文件作实质性响应的供应商只有1家的：经采购人同意后，现场转为单一来源采购或依法重新谈判。</w:t>
      </w:r>
    </w:p>
    <w:p w14:paraId="57FC96DA">
      <w:pPr>
        <w:spacing w:line="500" w:lineRule="exact"/>
        <w:ind w:firstLine="480" w:firstLineChars="200"/>
        <w:rPr>
          <w:rFonts w:ascii="宋体" w:hAnsi="宋体" w:cs="宋体"/>
          <w:sz w:val="24"/>
          <w:szCs w:val="24"/>
        </w:rPr>
      </w:pPr>
      <w:r>
        <w:rPr>
          <w:rFonts w:hint="eastAsia" w:ascii="宋体" w:hAnsi="宋体" w:cs="宋体"/>
          <w:sz w:val="24"/>
          <w:szCs w:val="24"/>
        </w:rPr>
        <w:t>3、谈判时出现以下情况之一的，将予以废标：</w:t>
      </w:r>
    </w:p>
    <w:p w14:paraId="0D2704BD">
      <w:pPr>
        <w:spacing w:line="500" w:lineRule="exact"/>
        <w:ind w:firstLine="480" w:firstLineChars="200"/>
        <w:rPr>
          <w:rFonts w:ascii="宋体" w:hAnsi="宋体" w:cs="宋体"/>
          <w:sz w:val="24"/>
          <w:szCs w:val="24"/>
        </w:rPr>
      </w:pPr>
      <w:r>
        <w:rPr>
          <w:rFonts w:hint="eastAsia" w:ascii="宋体" w:hAnsi="宋体" w:cs="宋体"/>
          <w:sz w:val="24"/>
          <w:szCs w:val="24"/>
        </w:rPr>
        <w:t>（1）供应商的报价均超过了采购预算，经过多轮谈判仍不能降到预算内、且采购人不能支付的；</w:t>
      </w:r>
    </w:p>
    <w:p w14:paraId="5967065E">
      <w:pPr>
        <w:spacing w:line="500" w:lineRule="exact"/>
        <w:ind w:firstLine="480" w:firstLineChars="200"/>
        <w:rPr>
          <w:rFonts w:ascii="宋体" w:hAnsi="宋体" w:cs="宋体"/>
          <w:sz w:val="24"/>
          <w:szCs w:val="24"/>
        </w:rPr>
      </w:pPr>
      <w:r>
        <w:rPr>
          <w:rFonts w:hint="eastAsia" w:ascii="宋体" w:hAnsi="宋体" w:cs="宋体"/>
          <w:sz w:val="24"/>
          <w:szCs w:val="24"/>
        </w:rPr>
        <w:t>（2）经过谈判，供应商所提供的货物服务仍无法满足谈判文件实质性要求、影响工作的；</w:t>
      </w:r>
    </w:p>
    <w:p w14:paraId="5C71A87E">
      <w:pPr>
        <w:spacing w:line="500" w:lineRule="exact"/>
        <w:ind w:firstLine="480" w:firstLineChars="200"/>
        <w:rPr>
          <w:rFonts w:ascii="宋体" w:hAnsi="宋体" w:cs="宋体"/>
          <w:sz w:val="24"/>
          <w:szCs w:val="24"/>
        </w:rPr>
      </w:pPr>
      <w:r>
        <w:rPr>
          <w:rFonts w:hint="eastAsia" w:ascii="宋体" w:hAnsi="宋体" w:cs="宋体"/>
          <w:sz w:val="24"/>
          <w:szCs w:val="24"/>
        </w:rPr>
        <w:t>（3）出现影响采购公正的违法、违规行为的；</w:t>
      </w:r>
    </w:p>
    <w:p w14:paraId="3769DD07">
      <w:pPr>
        <w:spacing w:line="50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14:paraId="0AA97F26">
      <w:pPr>
        <w:spacing w:line="500" w:lineRule="exact"/>
        <w:ind w:firstLine="480" w:firstLineChars="200"/>
        <w:jc w:val="left"/>
        <w:rPr>
          <w:rFonts w:ascii="宋体" w:hAnsi="宋体" w:cs="宋体"/>
          <w:sz w:val="24"/>
          <w:szCs w:val="24"/>
        </w:rPr>
      </w:pPr>
      <w:r>
        <w:rPr>
          <w:rFonts w:hint="eastAsia" w:ascii="宋体" w:hAnsi="宋体" w:cs="宋体"/>
          <w:sz w:val="24"/>
          <w:szCs w:val="24"/>
        </w:rPr>
        <w:t>4、重新组织谈判的，采购单位将通过本项目公告发布网站进行公告。</w:t>
      </w:r>
    </w:p>
    <w:p w14:paraId="27303918">
      <w:pPr>
        <w:pStyle w:val="3"/>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r>
        <w:rPr>
          <w:rFonts w:hint="eastAsia" w:ascii="宋体" w:hAnsi="宋体" w:eastAsia="宋体" w:cs="宋体"/>
          <w:sz w:val="24"/>
          <w:szCs w:val="24"/>
        </w:rPr>
        <w:t>（七）报价响应及答疑</w:t>
      </w:r>
      <w:bookmarkEnd w:id="91"/>
      <w:bookmarkEnd w:id="92"/>
    </w:p>
    <w:bookmarkEnd w:id="93"/>
    <w:p w14:paraId="03772650">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1、响应报价应含有所投</w:t>
      </w:r>
      <w:r>
        <w:rPr>
          <w:rFonts w:hint="eastAsia" w:ascii="宋体" w:hAnsi="宋体" w:eastAsia="宋体" w:cs="宋体"/>
          <w:sz w:val="24"/>
          <w:szCs w:val="24"/>
          <w:lang w:eastAsia="zh-CN"/>
        </w:rPr>
        <w:t>服务各</w:t>
      </w:r>
      <w:r>
        <w:rPr>
          <w:rFonts w:hint="eastAsia" w:ascii="宋体" w:hAnsi="宋体" w:eastAsia="宋体" w:cs="宋体"/>
          <w:sz w:val="24"/>
          <w:szCs w:val="24"/>
        </w:rPr>
        <w:t>环节所发生的</w:t>
      </w:r>
      <w:r>
        <w:rPr>
          <w:rFonts w:hint="eastAsia" w:ascii="宋体" w:hAnsi="宋体" w:eastAsia="宋体" w:cs="宋体"/>
          <w:sz w:val="24"/>
          <w:szCs w:val="24"/>
          <w:lang w:eastAsia="zh-CN"/>
        </w:rPr>
        <w:t>一切</w:t>
      </w:r>
      <w:r>
        <w:rPr>
          <w:rFonts w:hint="eastAsia" w:ascii="宋体" w:hAnsi="宋体" w:eastAsia="宋体" w:cs="宋体"/>
          <w:sz w:val="24"/>
          <w:szCs w:val="24"/>
        </w:rPr>
        <w:t>费用。响应报价为供应商在响应文件中提出的各项支付金额的总和。</w:t>
      </w:r>
    </w:p>
    <w:p w14:paraId="4B1B8F0E">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2、如需，</w:t>
      </w:r>
      <w:r>
        <w:rPr>
          <w:rFonts w:hint="eastAsia" w:ascii="宋体" w:hAnsi="宋体" w:eastAsia="宋体" w:cs="宋体"/>
          <w:sz w:val="24"/>
          <w:szCs w:val="24"/>
        </w:rPr>
        <w:t>供应商应自行对</w:t>
      </w:r>
      <w:r>
        <w:rPr>
          <w:rFonts w:hint="eastAsia" w:ascii="宋体" w:hAnsi="宋体" w:eastAsia="宋体" w:cs="宋体"/>
          <w:sz w:val="24"/>
          <w:szCs w:val="24"/>
          <w:lang w:eastAsia="zh-CN"/>
        </w:rPr>
        <w:t>服务</w:t>
      </w:r>
      <w:r>
        <w:rPr>
          <w:rFonts w:hint="eastAsia" w:ascii="宋体" w:hAnsi="宋体" w:eastAsia="宋体" w:cs="宋体"/>
          <w:sz w:val="24"/>
          <w:szCs w:val="24"/>
        </w:rPr>
        <w:t>现场和周围环境进行勘察，以获取编制响应文件和签署合同所需的资料。勘察现场所发生的费用由供应商自己承担。采购人向供应商提供的有关</w:t>
      </w:r>
      <w:r>
        <w:rPr>
          <w:rFonts w:hint="eastAsia" w:ascii="宋体" w:hAnsi="宋体" w:eastAsia="宋体" w:cs="宋体"/>
          <w:sz w:val="24"/>
          <w:szCs w:val="24"/>
          <w:lang w:eastAsia="zh-CN"/>
        </w:rPr>
        <w:t>服务</w:t>
      </w:r>
      <w:r>
        <w:rPr>
          <w:rFonts w:hint="eastAsia" w:ascii="宋体" w:hAnsi="宋体" w:eastAsia="宋体" w:cs="宋体"/>
          <w:sz w:val="24"/>
          <w:szCs w:val="24"/>
        </w:rPr>
        <w:t>现场的资料和数据，是采购人现有的能使供应商利用的资料。采购人对供应商由此而做出的推论、理解和结论概不负责。供应商因自身原因未到</w:t>
      </w:r>
      <w:r>
        <w:rPr>
          <w:rFonts w:hint="eastAsia" w:ascii="宋体" w:hAnsi="宋体" w:eastAsia="宋体" w:cs="宋体"/>
          <w:sz w:val="24"/>
          <w:szCs w:val="24"/>
          <w:lang w:eastAsia="zh-CN"/>
        </w:rPr>
        <w:t>服务</w:t>
      </w:r>
      <w:r>
        <w:rPr>
          <w:rFonts w:hint="eastAsia" w:ascii="宋体" w:hAnsi="宋体" w:eastAsia="宋体" w:cs="宋体"/>
          <w:sz w:val="24"/>
          <w:szCs w:val="24"/>
        </w:rPr>
        <w:t>现场实地踏勘的，成交后签订合同时和履约过程中，不得以不完全了解现场情况为由，提出任何形式的增加合同外造价或索赔的要求。</w:t>
      </w:r>
    </w:p>
    <w:p w14:paraId="63EF7BDB">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、供应商如果对谈判文件的其他任何内容有相关疑问，可以</w:t>
      </w:r>
      <w:r>
        <w:rPr>
          <w:rFonts w:hint="eastAsia" w:ascii="宋体" w:hAnsi="宋体" w:eastAsia="宋体" w:cs="宋体"/>
          <w:sz w:val="24"/>
          <w:szCs w:val="24"/>
          <w:lang w:eastAsia="zh-CN"/>
        </w:rPr>
        <w:t>邮件</w:t>
      </w:r>
      <w:r>
        <w:rPr>
          <w:rFonts w:hint="eastAsia" w:ascii="宋体" w:hAnsi="宋体" w:eastAsia="宋体" w:cs="宋体"/>
          <w:sz w:val="24"/>
          <w:szCs w:val="24"/>
        </w:rPr>
        <w:t>形式提出</w:t>
      </w:r>
      <w:r>
        <w:rPr>
          <w:rFonts w:hint="eastAsia" w:ascii="宋体" w:hAnsi="宋体" w:eastAsia="宋体" w:cs="宋体"/>
          <w:sz w:val="24"/>
          <w:szCs w:val="24"/>
          <w:lang w:eastAsia="zh-CN"/>
        </w:rPr>
        <w:t>，</w:t>
      </w:r>
      <w:r>
        <w:rPr>
          <w:rFonts w:hint="eastAsia" w:ascii="宋体" w:hAnsi="宋体" w:eastAsia="宋体" w:cs="宋体"/>
          <w:sz w:val="24"/>
          <w:szCs w:val="24"/>
        </w:rPr>
        <w:t>疑问的提出与答疑获取具体步骤</w:t>
      </w:r>
      <w:r>
        <w:rPr>
          <w:rFonts w:hint="eastAsia" w:ascii="宋体" w:hAnsi="宋体" w:eastAsia="宋体" w:cs="宋体"/>
          <w:sz w:val="24"/>
          <w:szCs w:val="24"/>
          <w:lang w:eastAsia="zh-CN"/>
        </w:rPr>
        <w:t>详见</w:t>
      </w:r>
      <w:r>
        <w:rPr>
          <w:rFonts w:hint="eastAsia" w:ascii="宋体" w:hAnsi="宋体" w:eastAsia="宋体" w:cs="宋体"/>
          <w:sz w:val="24"/>
          <w:szCs w:val="24"/>
        </w:rPr>
        <w:t>须知前附表。</w:t>
      </w:r>
    </w:p>
    <w:p w14:paraId="26B8F5A2">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请供应商及时通过公告</w:t>
      </w:r>
      <w:r>
        <w:rPr>
          <w:rFonts w:hint="eastAsia" w:ascii="宋体" w:hAnsi="宋体" w:eastAsia="宋体" w:cs="宋体"/>
          <w:sz w:val="24"/>
          <w:szCs w:val="24"/>
          <w:lang w:eastAsia="zh-CN"/>
        </w:rPr>
        <w:t>发布网站</w:t>
      </w:r>
      <w:r>
        <w:rPr>
          <w:rFonts w:hint="eastAsia" w:ascii="宋体" w:hAnsi="宋体" w:eastAsia="宋体" w:cs="宋体"/>
          <w:sz w:val="24"/>
          <w:szCs w:val="24"/>
        </w:rPr>
        <w:t>查看答疑文件。</w:t>
      </w:r>
    </w:p>
    <w:p w14:paraId="6F112F40">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、供应商应确保其所提供的响应资料的真实性、有效性及合法性，否则，由此引起的任何责任由其自行承担。</w:t>
      </w:r>
    </w:p>
    <w:p w14:paraId="6ADC95FE">
      <w:pPr>
        <w:pStyle w:val="3"/>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94" w:name="_Toc28647"/>
      <w:bookmarkStart w:id="95" w:name="_Toc8394"/>
      <w:r>
        <w:rPr>
          <w:rFonts w:hint="eastAsia" w:ascii="宋体" w:hAnsi="宋体" w:eastAsia="宋体" w:cs="宋体"/>
          <w:sz w:val="24"/>
          <w:szCs w:val="24"/>
        </w:rPr>
        <w:t>（八）合同的签订</w:t>
      </w:r>
      <w:bookmarkEnd w:id="94"/>
      <w:bookmarkEnd w:id="95"/>
    </w:p>
    <w:p w14:paraId="03049F2F">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5957E287">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、成交供应商因不可抗力或者自身原因不能在规定的时间内与采购人签订采购合同，采购人可以与排在成交供应商后第一位的候选供应商签订采购合同，以此类推或重新组织采购。</w:t>
      </w:r>
    </w:p>
    <w:p w14:paraId="60C3ADC9">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、因政策变化等原因不能签订合同，造成企业合法利益受损的情形，采购人可以与供应商充分协商，给予合理补偿。</w:t>
      </w:r>
    </w:p>
    <w:p w14:paraId="542F4015">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、在签订合同时，供应商书面明确表示无需预付款或者主动要求降低预付款比例的，采购人可不适用前述（即付款方式）规定。</w:t>
      </w:r>
    </w:p>
    <w:p w14:paraId="535CA2D9">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、采购文件和合同中没有约定预付款的，经供应商申请，采购人可以支付预付款。</w:t>
      </w:r>
    </w:p>
    <w:p w14:paraId="75ED0482">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、采购人可根据项目特点、供应商诚信等因素，要求供应商提交银行、保险公司、担保公司等金融机构出具的预付款保函或其他担保措施。</w:t>
      </w:r>
    </w:p>
    <w:p w14:paraId="12FBD3A2">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、政府采购预付款应在合同、担保措施生效以及具备实施条件后 5 个工作日内支付。</w:t>
      </w:r>
    </w:p>
    <w:p w14:paraId="1C19ABA1">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、延迟支付中小企业款项的，供应商可要求采购人按照合同约定支付逾期利息，合同没有约定的，按照同期人民银行 LPR支付逾期利息。</w:t>
      </w:r>
    </w:p>
    <w:p w14:paraId="3DE0E647">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、成交供应商无正当理由不与采购人订立合同的处罚依据：</w:t>
      </w:r>
    </w:p>
    <w:p w14:paraId="4B9882E4">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（1）《中华人民共和国政府采购法实施条例》</w:t>
      </w:r>
    </w:p>
    <w:p w14:paraId="289B0CA4">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第七十二条 供应商有下列情形之一的，依照政府采购法第七十七条第一款的规定追究法律责任：……</w:t>
      </w:r>
    </w:p>
    <w:p w14:paraId="31491675">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（二）中标或者成交后无正当理由拒不与采购人签订政府采购合同；……</w:t>
      </w:r>
    </w:p>
    <w:p w14:paraId="52B89C1D">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（2）《中华人民共和国政府采购法》</w:t>
      </w:r>
    </w:p>
    <w:p w14:paraId="1E171801">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E283A87">
      <w:pPr>
        <w:pStyle w:val="33"/>
        <w:pageBreakBefore w:val="0"/>
        <w:kinsoku/>
        <w:wordWrap/>
        <w:overflowPunct/>
        <w:topLinePunct w:val="0"/>
        <w:autoSpaceDE/>
        <w:autoSpaceDN/>
        <w:bidi w:val="0"/>
        <w:snapToGrid/>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（3）《政府采购非招标采购方式管理办法》（财政部令第74号）</w:t>
      </w:r>
    </w:p>
    <w:p w14:paraId="517880F9">
      <w:pPr>
        <w:pStyle w:val="33"/>
        <w:pageBreakBefore w:val="0"/>
        <w:kinsoku/>
        <w:wordWrap/>
        <w:overflowPunct/>
        <w:topLinePunct w:val="0"/>
        <w:autoSpaceDE/>
        <w:autoSpaceDN/>
        <w:bidi w:val="0"/>
        <w:snapToGrid/>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第五十四条 成交供应商有下列情形之一的，责令限期整改，情节严重的，列入不良行为记录名单，在1至3年内禁止参加政府采购活动，并予以通报：……</w:t>
      </w:r>
    </w:p>
    <w:p w14:paraId="67F62BEF">
      <w:pPr>
        <w:pStyle w:val="33"/>
        <w:pageBreakBefore w:val="0"/>
        <w:kinsoku/>
        <w:wordWrap/>
        <w:overflowPunct/>
        <w:topLinePunct w:val="0"/>
        <w:autoSpaceDE/>
        <w:autoSpaceDN/>
        <w:bidi w:val="0"/>
        <w:snapToGrid/>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（二）成交后无正当理由不与采购人签订合同的；……</w:t>
      </w:r>
    </w:p>
    <w:p w14:paraId="447B1752">
      <w:pPr>
        <w:pStyle w:val="3"/>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96" w:name="_Toc15212"/>
      <w:bookmarkStart w:id="97" w:name="_Toc30371"/>
      <w:r>
        <w:rPr>
          <w:rFonts w:hint="eastAsia" w:ascii="宋体" w:hAnsi="宋体" w:eastAsia="宋体" w:cs="宋体"/>
          <w:sz w:val="24"/>
          <w:szCs w:val="24"/>
        </w:rPr>
        <w:t>（九）澄清及变更</w:t>
      </w:r>
      <w:bookmarkEnd w:id="96"/>
      <w:bookmarkEnd w:id="97"/>
    </w:p>
    <w:p w14:paraId="3D28B98A">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谈判文件如有澄清及变更，将以网上公告形式发布，请供应商及时关注。</w:t>
      </w:r>
    </w:p>
    <w:p w14:paraId="0613BB38">
      <w:pPr>
        <w:pStyle w:val="3"/>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98" w:name="_Toc14936"/>
      <w:bookmarkStart w:id="99" w:name="_Toc11886"/>
      <w:r>
        <w:rPr>
          <w:rFonts w:hint="eastAsia" w:ascii="宋体" w:hAnsi="宋体" w:eastAsia="宋体" w:cs="宋体"/>
          <w:sz w:val="24"/>
          <w:szCs w:val="24"/>
        </w:rPr>
        <w:t>（十）验收</w:t>
      </w:r>
      <w:bookmarkEnd w:id="98"/>
      <w:r>
        <w:rPr>
          <w:rFonts w:hint="eastAsia" w:ascii="宋体" w:hAnsi="宋体" w:eastAsia="宋体" w:cs="宋体"/>
          <w:sz w:val="24"/>
          <w:szCs w:val="24"/>
        </w:rPr>
        <w:t>与支付</w:t>
      </w:r>
      <w:bookmarkEnd w:id="99"/>
    </w:p>
    <w:p w14:paraId="5E9616B5">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1、采购人应当在项目完成且收到供应商验收申请后 5 个工作日内组织开展履约验收。</w:t>
      </w:r>
    </w:p>
    <w:p w14:paraId="402EFFB5">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00965A4C">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3、涉及安全、消防、环保等其他需要由质检或行业主管部门进行验收的项目，必须邀请相关部门或相关专家参与验收。</w:t>
      </w:r>
    </w:p>
    <w:p w14:paraId="4DCB2F3A">
      <w:pPr>
        <w:pStyle w:val="33"/>
        <w:pageBreakBefore w:val="0"/>
        <w:kinsoku/>
        <w:wordWrap/>
        <w:overflowPunct/>
        <w:topLinePunct w:val="0"/>
        <w:autoSpaceDE/>
        <w:autoSpaceDN/>
        <w:bidi w:val="0"/>
        <w:snapToGrid/>
        <w:spacing w:line="500" w:lineRule="exact"/>
        <w:rPr>
          <w:rFonts w:hint="eastAsia" w:ascii="宋体" w:hAnsi="宋体" w:eastAsia="宋体" w:cs="宋体"/>
          <w:sz w:val="24"/>
          <w:szCs w:val="24"/>
        </w:rPr>
      </w:pPr>
      <w:r>
        <w:rPr>
          <w:rFonts w:hint="eastAsia" w:ascii="宋体" w:hAnsi="宋体" w:eastAsia="宋体" w:cs="宋体"/>
          <w:sz w:val="24"/>
          <w:szCs w:val="24"/>
        </w:rPr>
        <w:t>4、对于符合支付条件的项目，应在收到发票后7个工作日内将资金支付到合同约定的供应商账户，不得以进行审计作为支付供应商款项的条件。采购人不得以机构变动、人员更替、政策调整、履行内部付款流程等为由延迟付款。</w:t>
      </w:r>
    </w:p>
    <w:p w14:paraId="17013C12">
      <w:pPr>
        <w:pStyle w:val="3"/>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100" w:name="_Toc29355"/>
      <w:bookmarkStart w:id="101" w:name="_Toc24748"/>
      <w:r>
        <w:rPr>
          <w:rFonts w:hint="eastAsia" w:ascii="宋体" w:hAnsi="宋体" w:eastAsia="宋体" w:cs="宋体"/>
          <w:sz w:val="24"/>
          <w:szCs w:val="24"/>
        </w:rPr>
        <w:t>（十一）质疑</w:t>
      </w:r>
      <w:bookmarkEnd w:id="100"/>
      <w:bookmarkEnd w:id="101"/>
    </w:p>
    <w:p w14:paraId="2EAD032C">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1、质疑人认为中标结果使自己的权益受到损害的，可以向采购人及采购代理机构提出质疑。质疑实行实名制，应当有具体的事项及根据，不得进行虚假、恶意质疑，扰乱公共资源交易活动的正常工作秩序。</w:t>
      </w:r>
    </w:p>
    <w:p w14:paraId="3796C0D5">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2、质疑应在规定时限内提出： </w:t>
      </w:r>
    </w:p>
    <w:p w14:paraId="57BD99AE">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对政府采购中标结果的质疑，应在中标结果公布之日起七个工作日内提出。</w:t>
      </w:r>
    </w:p>
    <w:p w14:paraId="733E7D16">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color w:val="auto"/>
          <w:sz w:val="24"/>
          <w:szCs w:val="24"/>
        </w:rPr>
        <w:t>质疑材料应当包括以下内容：</w:t>
      </w:r>
    </w:p>
    <w:p w14:paraId="080B3D79">
      <w:pPr>
        <w:pageBreakBefore w:val="0"/>
        <w:widowControl/>
        <w:kinsoku/>
        <w:wordWrap/>
        <w:overflowPunct/>
        <w:topLinePunct w:val="0"/>
        <w:autoSpaceDE/>
        <w:autoSpaceDN/>
        <w:bidi w:val="0"/>
        <w:snapToGrid/>
        <w:spacing w:line="5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3.1质疑人的名称、地址、有效联系方式；</w:t>
      </w:r>
    </w:p>
    <w:p w14:paraId="66B476FF">
      <w:pPr>
        <w:pageBreakBefore w:val="0"/>
        <w:widowControl/>
        <w:kinsoku/>
        <w:wordWrap/>
        <w:overflowPunct/>
        <w:topLinePunct w:val="0"/>
        <w:autoSpaceDE/>
        <w:autoSpaceDN/>
        <w:bidi w:val="0"/>
        <w:snapToGrid/>
        <w:spacing w:line="5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3.2项目名称、项目编号、包别号（如有）；</w:t>
      </w:r>
    </w:p>
    <w:p w14:paraId="47C3159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3.3被质疑人名称；</w:t>
      </w:r>
    </w:p>
    <w:p w14:paraId="0B5991F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3.4具体的质疑事项、基本事实及必要的证明材料；</w:t>
      </w:r>
    </w:p>
    <w:p w14:paraId="5DD8EFA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3.5明确的请求及主张；</w:t>
      </w:r>
    </w:p>
    <w:p w14:paraId="74B3BB1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3.6提起质疑的日期。</w:t>
      </w:r>
    </w:p>
    <w:p w14:paraId="48D2103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质疑人为法人或者其他组织的，应当由法定代表人或其委托代理人（需有委托授权书）签字并加盖公章。</w:t>
      </w:r>
    </w:p>
    <w:p w14:paraId="20E75B1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质疑人需要修改、补充质疑材料的，应当在质疑期内提交修改或补充材料。</w:t>
      </w:r>
    </w:p>
    <w:p w14:paraId="3BAFEB4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4、有下列情形之一的，不予受理：</w:t>
      </w:r>
    </w:p>
    <w:p w14:paraId="04AA098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4.1提起质疑的主体不是参与该政府采购项目活动的供应商；</w:t>
      </w:r>
    </w:p>
    <w:p w14:paraId="6E527A7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4.2提起质疑的时间超过规定时限的；</w:t>
      </w:r>
    </w:p>
    <w:p w14:paraId="2B64E3E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4.3质疑材料不完整的；</w:t>
      </w:r>
    </w:p>
    <w:p w14:paraId="42DAA75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4.4质疑事项含有主观猜测等内容且未提供有效线索、难以查证的；</w:t>
      </w:r>
    </w:p>
    <w:p w14:paraId="0D023E6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4.5对其他投标供应商的投标文件详细内容质疑，无法提供合法来源渠道的；</w:t>
      </w:r>
    </w:p>
    <w:p w14:paraId="5B592D9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4.6质疑事项已进入投诉处理、行政复议或行政诉讼程序的。</w:t>
      </w:r>
    </w:p>
    <w:p w14:paraId="2BD0554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5、经审查符合质疑条件的，自收到质疑之日起即为受理。采购人及采购代理机构将在质疑受理后7个工作日内作出答复或相关处理决定，并以书面形式通知质疑人，答复的内容不得涉及商业秘密。</w:t>
      </w:r>
    </w:p>
    <w:p w14:paraId="5D8EF2A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6、质疑人在答复期满前撤回质疑的，应由法定代表人或授权代表人签字确认，即终止质疑处理程序。质疑人不得以同一理由再次提出质疑。</w:t>
      </w:r>
    </w:p>
    <w:p w14:paraId="7F27175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质疑人对质疑答复不满意或采购人及采购代理机构未在规定时间内做出答复的，可以在规定期限内向六安市公共资源交易监督管理局提起投诉。</w:t>
      </w:r>
    </w:p>
    <w:p w14:paraId="0F1FE2F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质疑人应在答复期满后十五个工作日内提起投诉。</w:t>
      </w:r>
    </w:p>
    <w:p w14:paraId="62B793C6">
      <w:pPr>
        <w:pStyle w:val="33"/>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7、</w:t>
      </w:r>
      <w:r>
        <w:rPr>
          <w:rFonts w:hint="eastAsia" w:ascii="宋体" w:hAnsi="宋体" w:eastAsia="宋体" w:cs="宋体"/>
          <w:bCs/>
          <w:kern w:val="2"/>
          <w:sz w:val="24"/>
          <w:szCs w:val="24"/>
          <w:lang w:val="en-US" w:eastAsia="zh-CN" w:bidi="ar-SA"/>
        </w:rPr>
        <w:t>投诉人在全国范围12个月内三次以上投诉查无实据的，由财政部门列入不良行为记录名单。</w:t>
      </w:r>
    </w:p>
    <w:p w14:paraId="03935464">
      <w:pPr>
        <w:pStyle w:val="33"/>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投诉人有下列行为之一的，属于虚假、恶意投诉，由财政部门列入不良行为记录名单，禁止其1至3年内参加政府采购活动：</w:t>
      </w:r>
    </w:p>
    <w:p w14:paraId="245D51C5">
      <w:pPr>
        <w:pStyle w:val="33"/>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（一）捏造事实；</w:t>
      </w:r>
    </w:p>
    <w:p w14:paraId="24084D6B">
      <w:pPr>
        <w:pStyle w:val="33"/>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（二）提供虚假材料；</w:t>
      </w:r>
    </w:p>
    <w:p w14:paraId="39ECD4B9">
      <w:pPr>
        <w:pStyle w:val="33"/>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（三）以非法手段取得证明材料。证据来源的合法性存在明显疑问，投诉人无法证明其取得方式合法的，视为以非法手段取得证明材料。</w:t>
      </w:r>
    </w:p>
    <w:p w14:paraId="16BAA034">
      <w:pPr>
        <w:pStyle w:val="3"/>
        <w:numPr>
          <w:ilvl w:val="0"/>
          <w:numId w:val="0"/>
        </w:numPr>
        <w:spacing w:before="0" w:after="0" w:line="560" w:lineRule="exact"/>
        <w:jc w:val="center"/>
        <w:rPr>
          <w:rFonts w:hint="eastAsia" w:ascii="宋体" w:hAnsi="宋体" w:eastAsia="宋体" w:cs="宋体"/>
          <w:sz w:val="28"/>
          <w:szCs w:val="28"/>
        </w:rPr>
      </w:pPr>
      <w:bookmarkStart w:id="102" w:name="_Toc13399"/>
      <w:r>
        <w:rPr>
          <w:rFonts w:hint="eastAsia" w:ascii="宋体" w:hAnsi="宋体" w:eastAsia="宋体" w:cs="宋体"/>
          <w:sz w:val="28"/>
          <w:szCs w:val="28"/>
        </w:rPr>
        <w:t>二、采购合同</w:t>
      </w:r>
      <w:bookmarkEnd w:id="102"/>
    </w:p>
    <w:bookmarkEnd w:id="69"/>
    <w:p w14:paraId="67F10607">
      <w:pPr>
        <w:pStyle w:val="33"/>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宋体" w:hAnsi="宋体" w:eastAsia="宋体" w:cs="宋体"/>
          <w:bCs/>
          <w:kern w:val="2"/>
          <w:sz w:val="24"/>
          <w:szCs w:val="24"/>
          <w:lang w:val="en-US" w:eastAsia="zh-CN" w:bidi="ar-SA"/>
        </w:rPr>
      </w:pPr>
      <w:bookmarkStart w:id="103" w:name="_Toc363199273"/>
      <w:r>
        <w:rPr>
          <w:rFonts w:hint="eastAsia" w:ascii="宋体" w:hAnsi="宋体" w:eastAsia="宋体" w:cs="宋体"/>
          <w:bCs/>
          <w:kern w:val="2"/>
          <w:sz w:val="24"/>
          <w:szCs w:val="24"/>
          <w:lang w:val="en-US" w:eastAsia="zh-CN" w:bidi="ar-SA"/>
        </w:rPr>
        <w:t>（双方自行拟定，但不得违背谈判文件实质性内容）</w:t>
      </w:r>
    </w:p>
    <w:p w14:paraId="0B6AF863">
      <w:pPr>
        <w:pStyle w:val="3"/>
        <w:numPr>
          <w:ilvl w:val="0"/>
          <w:numId w:val="0"/>
        </w:numPr>
        <w:spacing w:before="0" w:after="0" w:line="560" w:lineRule="exact"/>
        <w:jc w:val="center"/>
        <w:rPr>
          <w:rFonts w:hint="eastAsia" w:ascii="宋体" w:hAnsi="宋体" w:eastAsia="宋体" w:cs="宋体"/>
          <w:b/>
          <w:color w:val="auto"/>
          <w:kern w:val="0"/>
          <w:sz w:val="28"/>
          <w:szCs w:val="28"/>
          <w:lang w:val="en-US" w:eastAsia="zh-CN" w:bidi="ar-SA"/>
        </w:rPr>
      </w:pPr>
      <w:bookmarkStart w:id="104" w:name="_Toc20887"/>
    </w:p>
    <w:p w14:paraId="28A3ED30">
      <w:pPr>
        <w:pStyle w:val="3"/>
        <w:numPr>
          <w:ilvl w:val="0"/>
          <w:numId w:val="0"/>
        </w:numPr>
        <w:spacing w:before="0" w:after="0" w:line="560" w:lineRule="exact"/>
        <w:jc w:val="center"/>
        <w:rPr>
          <w:rFonts w:ascii="宋体" w:hAnsi="宋体" w:eastAsia="宋体" w:cs="宋体"/>
          <w:color w:val="auto"/>
          <w:sz w:val="28"/>
          <w:szCs w:val="28"/>
        </w:rPr>
      </w:pPr>
      <w:r>
        <w:rPr>
          <w:rFonts w:hint="eastAsia" w:ascii="宋体" w:hAnsi="宋体" w:eastAsia="宋体" w:cs="宋体"/>
          <w:b/>
          <w:color w:val="auto"/>
          <w:kern w:val="0"/>
          <w:sz w:val="28"/>
          <w:szCs w:val="28"/>
          <w:lang w:val="en-US" w:eastAsia="zh-CN" w:bidi="ar-SA"/>
        </w:rPr>
        <w:t>三、</w:t>
      </w:r>
      <w:r>
        <w:rPr>
          <w:rFonts w:hint="eastAsia" w:ascii="宋体" w:hAnsi="宋体" w:eastAsia="宋体" w:cs="宋体"/>
          <w:color w:val="auto"/>
          <w:sz w:val="28"/>
          <w:szCs w:val="28"/>
        </w:rPr>
        <w:t>采购需求</w:t>
      </w:r>
      <w:bookmarkEnd w:id="104"/>
    </w:p>
    <w:p w14:paraId="49B74F4C">
      <w:pPr>
        <w:spacing w:before="190" w:line="220" w:lineRule="auto"/>
        <w:ind w:left="5"/>
        <w:outlineLvl w:val="0"/>
        <w:rPr>
          <w:rFonts w:hint="eastAsia" w:ascii="宋体" w:hAnsi="宋体" w:eastAsia="宋体" w:cs="宋体"/>
          <w:b/>
          <w:bCs/>
          <w:color w:val="auto"/>
          <w:sz w:val="24"/>
          <w:szCs w:val="24"/>
          <w:lang w:val="en-US" w:eastAsia="zh-CN"/>
        </w:rPr>
      </w:pPr>
      <w:r>
        <w:rPr>
          <w:rFonts w:ascii="宋体" w:hAnsi="宋体" w:eastAsia="宋体" w:cs="宋体"/>
          <w:b/>
          <w:bCs/>
          <w:color w:val="auto"/>
          <w:spacing w:val="-5"/>
          <w:sz w:val="28"/>
          <w:szCs w:val="28"/>
        </w:rPr>
        <w:t>一、</w:t>
      </w:r>
      <w:r>
        <w:rPr>
          <w:rFonts w:hint="eastAsia" w:ascii="宋体" w:hAnsi="宋体" w:eastAsia="宋体" w:cs="宋体"/>
          <w:b/>
          <w:bCs/>
          <w:color w:val="auto"/>
          <w:sz w:val="24"/>
          <w:szCs w:val="24"/>
          <w:lang w:val="en-US" w:eastAsia="zh-CN"/>
        </w:rPr>
        <w:t>项目背景</w:t>
      </w:r>
    </w:p>
    <w:p w14:paraId="4E7C337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b/>
          <w:bCs/>
          <w:color w:val="auto"/>
          <w:spacing w:val="-5"/>
          <w:sz w:val="28"/>
          <w:szCs w:val="28"/>
        </w:rPr>
      </w:pPr>
      <w:r>
        <w:rPr>
          <w:rFonts w:hint="eastAsia" w:ascii="宋体" w:hAnsi="宋体" w:eastAsia="宋体" w:cs="宋体"/>
          <w:bCs/>
          <w:color w:val="auto"/>
          <w:sz w:val="24"/>
          <w:szCs w:val="24"/>
          <w:lang w:val="en-US" w:eastAsia="zh-CN"/>
        </w:rPr>
        <w:t>根据2025年地方政府专项债项目谋划要求，按照县政府统一部署，拟对霍山县全域旅游“一环、两核”、16个乡镇节点和部分景区基础设施配套项目谋划专项债项目，确定设计单位按照专项债要求进行项目策划，后申请地方政府专项债。</w:t>
      </w:r>
    </w:p>
    <w:p w14:paraId="2F910B90">
      <w:pPr>
        <w:spacing w:before="190" w:line="220" w:lineRule="auto"/>
        <w:ind w:left="5"/>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二、服务内容</w:t>
      </w:r>
    </w:p>
    <w:p w14:paraId="009A39A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霍山县全域旅游基础设施及核心区提升项目策划服务，策划内容包含但不限于以下内容：</w:t>
      </w:r>
    </w:p>
    <w:p w14:paraId="2C4C255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eastAsia="zh-CN"/>
        </w:rPr>
        <w:t>霍山县全域旅游道路（一环）沿线基础设施配套项目策划方案；</w:t>
      </w:r>
    </w:p>
    <w:p w14:paraId="4EBC2B8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eastAsia="zh-CN"/>
        </w:rPr>
        <w:t>陡沙河温泉旅游度假区、迎驾生态国家级旅游度假区（两核）基础设施提升配套项目策划方案；</w:t>
      </w:r>
    </w:p>
    <w:p w14:paraId="3366405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全县16个乡镇旅游节点的基础设施配套</w:t>
      </w:r>
      <w:bookmarkStart w:id="105" w:name="zbgg_qs008"/>
      <w:r>
        <w:rPr>
          <w:rFonts w:hint="eastAsia" w:ascii="宋体" w:hAnsi="宋体" w:eastAsia="宋体" w:cs="宋体"/>
          <w:bCs/>
          <w:color w:val="auto"/>
          <w:sz w:val="24"/>
          <w:szCs w:val="24"/>
          <w:lang w:val="en-US" w:eastAsia="zh-CN"/>
        </w:rPr>
        <w:t>项目策划方案；</w:t>
      </w:r>
    </w:p>
    <w:p w14:paraId="1AD6F00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部分景区基础设施配套项目。</w:t>
      </w:r>
    </w:p>
    <w:bookmarkEnd w:id="105"/>
    <w:p w14:paraId="21E873D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以上各个配套项目的策划方案内容应包含项目的建设目标，实施方案，项目投资估算等，对建设项目的内容、规模、现有旅游资源的衔接等做出谋划和安排。</w:t>
      </w:r>
    </w:p>
    <w:p w14:paraId="0C7C6F28">
      <w:pPr>
        <w:spacing w:before="190" w:line="220" w:lineRule="auto"/>
        <w:ind w:left="5"/>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三、策划范围</w:t>
      </w:r>
    </w:p>
    <w:p w14:paraId="0C8A291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u w:val="single"/>
          <w:lang w:val="en-US" w:eastAsia="zh-CN"/>
        </w:rPr>
      </w:pPr>
      <w:r>
        <w:rPr>
          <w:rFonts w:hint="eastAsia" w:ascii="宋体" w:hAnsi="宋体" w:eastAsia="宋体" w:cs="宋体"/>
          <w:bCs/>
          <w:color w:val="auto"/>
          <w:sz w:val="24"/>
          <w:szCs w:val="24"/>
          <w:lang w:val="en-US" w:eastAsia="zh-CN"/>
        </w:rPr>
        <w:t>本次规划范围为霍山县区域管辖范围，包含霍山县16个乡镇，即霍山全域旅游规划发展范围。</w:t>
      </w:r>
    </w:p>
    <w:p w14:paraId="4FAB68B3">
      <w:pPr>
        <w:spacing w:before="190" w:line="220" w:lineRule="auto"/>
        <w:ind w:left="5"/>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四、提交成果</w:t>
      </w:r>
    </w:p>
    <w:p w14:paraId="75C935C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整体项目要与上级规划相协调；要与经济社会发展和产业布局相适应，要与周边地区重要交通基础设施相衔接，要充分依托生态保护和周边环境、项目地域特点和霍山全域旅游的市场定位，准确把握项目的功能需求，提出体现旅游项目特点和品质的策划方案，结合、总结典型案例和经验做法，完成策划文本及相关图件。</w:t>
      </w:r>
    </w:p>
    <w:p w14:paraId="5FFCAF5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szCs w:val="24"/>
        </w:rPr>
      </w:pPr>
      <w:r>
        <w:rPr>
          <w:rFonts w:hint="eastAsia" w:ascii="宋体" w:hAnsi="宋体" w:eastAsia="宋体" w:cs="宋体"/>
          <w:bCs/>
          <w:color w:val="auto"/>
          <w:sz w:val="24"/>
          <w:szCs w:val="24"/>
          <w:lang w:val="en-US" w:eastAsia="zh-CN"/>
        </w:rPr>
        <w:t>项目提交成果中的策划文本采用 WORD、PPT、PDF 等格式，图件成果采用 JPG 等格式。最终成果必须符合国家和行业的有关规定，材料内容符合相关法律、法规要求。所有资料需提供电子版和纸质版，纸质版一式三份。</w:t>
      </w:r>
    </w:p>
    <w:p w14:paraId="39C39FAE">
      <w:pPr>
        <w:spacing w:before="190" w:line="220" w:lineRule="auto"/>
        <w:ind w:left="5"/>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五、其他要求</w:t>
      </w:r>
    </w:p>
    <w:p w14:paraId="0558126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1、供应商应充分了解本项目的服务范围及内容、熟悉本项目的工作流程、充分考虑项目履约期间的市场、政策等因素影响，将所有风险考虑在投标报价中，一旦成交，成交人不得以任何理由提出成交价调整。</w:t>
      </w:r>
    </w:p>
    <w:p w14:paraId="136A8A4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pacing w:val="-1"/>
          <w:sz w:val="28"/>
          <w:szCs w:val="28"/>
        </w:rPr>
      </w:pPr>
      <w:r>
        <w:rPr>
          <w:rFonts w:hint="eastAsia" w:ascii="宋体" w:hAnsi="宋体" w:eastAsia="宋体" w:cs="宋体"/>
          <w:bCs/>
          <w:color w:val="auto"/>
          <w:sz w:val="24"/>
          <w:szCs w:val="24"/>
          <w:lang w:val="en-US" w:eastAsia="zh-CN"/>
        </w:rPr>
        <w:t>2、本项目对所有采购服务需求报总价，总价包含各项规划、策划、 设计服务、专家论证费等完成本项目所发生的应有费用，采购人后期不再支付任何费用，投标人须考虑各种风险综合报价。</w:t>
      </w:r>
    </w:p>
    <w:p w14:paraId="210243EC">
      <w:pPr>
        <w:spacing w:before="190" w:line="220" w:lineRule="auto"/>
        <w:ind w:left="5"/>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六、安全与保密</w:t>
      </w:r>
    </w:p>
    <w:p w14:paraId="5666DED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1、成交人策划规划成果涉及知识产权的，成交人应保证不侵犯任何第三方知识产权。成交人提交的工作成果的著作权人为采购人，若该工作成果侵犯第三方知识产权的，由成交人承担赔偿责任。</w:t>
      </w:r>
    </w:p>
    <w:p w14:paraId="4642E03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2、调查、编制工作中涉及到的涉密和敏感图文资料、电子数据，编制单位应严格执行保密的相关规定，不得以任何方式向任何第三人披露、泄露或许可第三人使用。</w:t>
      </w:r>
    </w:p>
    <w:p w14:paraId="0C6EAAB4">
      <w:pPr>
        <w:spacing w:before="40" w:line="455" w:lineRule="auto"/>
        <w:ind w:left="2" w:right="2" w:firstLine="563"/>
        <w:rPr>
          <w:rFonts w:ascii="宋体" w:hAnsi="宋体" w:eastAsia="宋体" w:cs="宋体"/>
          <w:color w:val="FF0000"/>
          <w:spacing w:val="-1"/>
          <w:sz w:val="28"/>
          <w:szCs w:val="28"/>
        </w:rPr>
        <w:sectPr>
          <w:footerReference r:id="rId6" w:type="default"/>
          <w:pgSz w:w="11906" w:h="16839"/>
          <w:pgMar w:top="1431" w:right="1528" w:bottom="1156" w:left="1541" w:header="0" w:footer="994" w:gutter="0"/>
          <w:pgNumType w:fmt="decimal"/>
          <w:cols w:space="720" w:num="1"/>
        </w:sectPr>
      </w:pPr>
    </w:p>
    <w:p w14:paraId="3CB2C69F">
      <w:pPr>
        <w:pStyle w:val="3"/>
        <w:keepNext/>
        <w:keepLines/>
        <w:pageBreakBefore w:val="0"/>
        <w:widowControl w:val="0"/>
        <w:kinsoku/>
        <w:wordWrap/>
        <w:overflowPunct/>
        <w:topLinePunct w:val="0"/>
        <w:autoSpaceDE/>
        <w:autoSpaceDN/>
        <w:bidi w:val="0"/>
        <w:adjustRightInd w:val="0"/>
        <w:snapToGrid/>
        <w:spacing w:before="140" w:after="140" w:line="560" w:lineRule="exact"/>
        <w:ind w:left="0" w:leftChars="0" w:right="0" w:rightChars="0" w:firstLine="0" w:firstLineChars="0"/>
        <w:jc w:val="center"/>
        <w:textAlignment w:val="baseline"/>
        <w:rPr>
          <w:rFonts w:hint="eastAsia" w:ascii="宋体" w:hAnsi="宋体" w:eastAsia="宋体" w:cs="宋体"/>
          <w:sz w:val="28"/>
          <w:szCs w:val="28"/>
          <w:lang w:eastAsia="zh-CN"/>
        </w:rPr>
      </w:pPr>
      <w:bookmarkStart w:id="106" w:name="_Toc27329"/>
      <w:r>
        <w:rPr>
          <w:rFonts w:hint="eastAsia" w:ascii="宋体" w:hAnsi="宋体" w:eastAsia="宋体" w:cs="宋体"/>
          <w:sz w:val="28"/>
          <w:szCs w:val="28"/>
          <w:lang w:eastAsia="zh-CN"/>
        </w:rPr>
        <w:t>四、</w:t>
      </w:r>
      <w:r>
        <w:rPr>
          <w:rFonts w:hint="eastAsia" w:ascii="宋体" w:hAnsi="宋体" w:eastAsia="宋体" w:cs="宋体"/>
          <w:sz w:val="28"/>
          <w:szCs w:val="28"/>
          <w:lang w:val="en-US" w:eastAsia="zh-CN"/>
        </w:rPr>
        <w:t>评审方法</w:t>
      </w:r>
      <w:bookmarkEnd w:id="106"/>
    </w:p>
    <w:p w14:paraId="5DCB92BC">
      <w:pPr>
        <w:keepNext w:val="0"/>
        <w:keepLines w:val="0"/>
        <w:pageBreakBefore w:val="0"/>
        <w:widowControl w:val="0"/>
        <w:kinsoku/>
        <w:overflowPunct/>
        <w:topLinePunct w:val="0"/>
        <w:autoSpaceDE/>
        <w:autoSpaceDN/>
        <w:bidi w:val="0"/>
        <w:adjustRightInd/>
        <w:snapToGrid/>
        <w:spacing w:line="500" w:lineRule="exact"/>
        <w:ind w:left="0" w:firstLine="474" w:firstLineChars="200"/>
        <w:textAlignment w:val="auto"/>
        <w:outlineLvl w:val="0"/>
        <w:rPr>
          <w:rFonts w:hint="eastAsia" w:ascii="宋体" w:hAnsi="宋体" w:eastAsia="宋体" w:cs="宋体"/>
          <w:b/>
          <w:bCs/>
          <w:spacing w:val="-2"/>
          <w:sz w:val="24"/>
          <w:szCs w:val="24"/>
          <w:u w:val="none"/>
        </w:rPr>
      </w:pPr>
      <w:r>
        <w:rPr>
          <w:rFonts w:hint="eastAsia" w:ascii="宋体" w:hAnsi="宋体" w:eastAsia="宋体" w:cs="宋体"/>
          <w:b/>
          <w:bCs/>
          <w:spacing w:val="-2"/>
          <w:sz w:val="24"/>
          <w:szCs w:val="24"/>
          <w:u w:val="none"/>
        </w:rPr>
        <w:t>1</w:t>
      </w:r>
      <w:r>
        <w:rPr>
          <w:rFonts w:hint="eastAsia" w:ascii="宋体" w:hAnsi="宋体" w:eastAsia="宋体" w:cs="宋体"/>
          <w:b/>
          <w:bCs/>
          <w:spacing w:val="-2"/>
          <w:sz w:val="24"/>
          <w:szCs w:val="24"/>
          <w:u w:val="none"/>
          <w:lang w:eastAsia="zh-CN"/>
        </w:rPr>
        <w:t>、</w:t>
      </w:r>
      <w:r>
        <w:rPr>
          <w:rFonts w:hint="eastAsia" w:ascii="宋体" w:hAnsi="宋体" w:eastAsia="宋体" w:cs="宋体"/>
          <w:b/>
          <w:bCs/>
          <w:spacing w:val="-2"/>
          <w:sz w:val="24"/>
          <w:szCs w:val="24"/>
          <w:u w:val="none"/>
        </w:rPr>
        <w:t>资格审查</w:t>
      </w:r>
    </w:p>
    <w:p w14:paraId="734F6AD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0"/>
        <w:rPr>
          <w:rFonts w:hint="eastAsia" w:ascii="宋体" w:hAnsi="宋体" w:eastAsia="宋体" w:cs="宋体"/>
          <w:i w:val="0"/>
          <w:iCs w:val="0"/>
          <w:spacing w:val="0"/>
          <w:w w:val="100"/>
          <w:position w:val="0"/>
          <w:sz w:val="24"/>
          <w:szCs w:val="24"/>
          <w:u w:val="none"/>
          <w:lang w:val="en-US" w:eastAsia="zh-CN"/>
        </w:rPr>
      </w:pPr>
      <w:r>
        <w:rPr>
          <w:rFonts w:hint="eastAsia" w:ascii="宋体" w:hAnsi="宋体" w:eastAsia="宋体" w:cs="宋体"/>
          <w:spacing w:val="0"/>
          <w:w w:val="100"/>
          <w:position w:val="0"/>
          <w:sz w:val="24"/>
          <w:szCs w:val="24"/>
          <w:u w:val="none"/>
          <w:lang w:val="en-US" w:eastAsia="zh-CN"/>
        </w:rPr>
        <w:t>对供应商的资格进行审查，审查响应文件是否响应了谈判文件的资格要求。</w:t>
      </w:r>
      <w:r>
        <w:rPr>
          <w:rFonts w:hint="eastAsia" w:ascii="宋体" w:hAnsi="宋体" w:eastAsia="宋体" w:cs="宋体"/>
          <w:i w:val="0"/>
          <w:iCs w:val="0"/>
          <w:spacing w:val="0"/>
          <w:w w:val="100"/>
          <w:position w:val="0"/>
          <w:sz w:val="24"/>
          <w:szCs w:val="24"/>
          <w:u w:val="none"/>
          <w:lang w:val="en-US" w:eastAsia="zh-CN"/>
        </w:rPr>
        <w:t>当发现供应商或其响应文件存在下列情况之一时，将判定供应商的资格不符合要求，资格审查不通过。</w:t>
      </w:r>
    </w:p>
    <w:tbl>
      <w:tblPr>
        <w:tblStyle w:val="97"/>
        <w:tblW w:w="91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899"/>
        <w:gridCol w:w="1378"/>
        <w:gridCol w:w="6872"/>
      </w:tblGrid>
      <w:tr w14:paraId="4F936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2277" w:type="dxa"/>
            <w:gridSpan w:val="2"/>
            <w:noWrap w:val="0"/>
            <w:vAlign w:val="center"/>
          </w:tcPr>
          <w:p w14:paraId="111CDB3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br w:type="page"/>
            </w:r>
            <w:r>
              <w:rPr>
                <w:rFonts w:hint="eastAsia" w:ascii="宋体" w:hAnsi="宋体" w:eastAsia="宋体" w:cs="宋体"/>
                <w:b/>
                <w:bCs/>
                <w:sz w:val="24"/>
                <w:szCs w:val="24"/>
              </w:rPr>
              <w:t>审查内容</w:t>
            </w:r>
          </w:p>
        </w:tc>
        <w:tc>
          <w:tcPr>
            <w:tcW w:w="6872" w:type="dxa"/>
            <w:noWrap w:val="0"/>
            <w:vAlign w:val="center"/>
          </w:tcPr>
          <w:p w14:paraId="2422643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审查标准</w:t>
            </w:r>
          </w:p>
        </w:tc>
      </w:tr>
      <w:tr w14:paraId="2D00D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899" w:type="dxa"/>
            <w:vMerge w:val="restart"/>
            <w:tcBorders>
              <w:bottom w:val="nil"/>
            </w:tcBorders>
            <w:noWrap w:val="0"/>
            <w:vAlign w:val="center"/>
          </w:tcPr>
          <w:p w14:paraId="426B355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资格</w:t>
            </w:r>
          </w:p>
          <w:p w14:paraId="7D7EF64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审查</w:t>
            </w:r>
          </w:p>
        </w:tc>
        <w:tc>
          <w:tcPr>
            <w:tcW w:w="1378" w:type="dxa"/>
            <w:noWrap w:val="0"/>
            <w:vAlign w:val="center"/>
          </w:tcPr>
          <w:p w14:paraId="79AA3B3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营业执照</w:t>
            </w:r>
          </w:p>
        </w:tc>
        <w:tc>
          <w:tcPr>
            <w:tcW w:w="6872" w:type="dxa"/>
            <w:noWrap w:val="0"/>
            <w:vAlign w:val="center"/>
          </w:tcPr>
          <w:p w14:paraId="5D4E938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未提供营业执照</w:t>
            </w:r>
          </w:p>
        </w:tc>
      </w:tr>
      <w:tr w14:paraId="70845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899" w:type="dxa"/>
            <w:vMerge w:val="continue"/>
            <w:tcBorders>
              <w:top w:val="nil"/>
              <w:bottom w:val="nil"/>
            </w:tcBorders>
            <w:noWrap w:val="0"/>
            <w:vAlign w:val="center"/>
          </w:tcPr>
          <w:p w14:paraId="68ACD2B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p>
        </w:tc>
        <w:tc>
          <w:tcPr>
            <w:tcW w:w="1378" w:type="dxa"/>
            <w:noWrap w:val="0"/>
            <w:vAlign w:val="center"/>
          </w:tcPr>
          <w:p w14:paraId="70F4E41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资格条件</w:t>
            </w:r>
          </w:p>
        </w:tc>
        <w:tc>
          <w:tcPr>
            <w:tcW w:w="6872" w:type="dxa"/>
            <w:noWrap w:val="0"/>
            <w:vAlign w:val="center"/>
          </w:tcPr>
          <w:p w14:paraId="07C3D7C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不符合</w:t>
            </w:r>
            <w:r>
              <w:rPr>
                <w:rFonts w:hint="eastAsia" w:ascii="宋体" w:hAnsi="宋体" w:eastAsia="宋体" w:cs="宋体"/>
                <w:sz w:val="24"/>
                <w:szCs w:val="24"/>
                <w:lang w:val="en-US" w:eastAsia="zh-CN"/>
              </w:rPr>
              <w:t>谈判</w:t>
            </w:r>
            <w:r>
              <w:rPr>
                <w:rFonts w:hint="eastAsia" w:ascii="宋体" w:hAnsi="宋体" w:eastAsia="宋体" w:cs="宋体"/>
                <w:sz w:val="24"/>
                <w:szCs w:val="24"/>
              </w:rPr>
              <w:t>文件要求</w:t>
            </w:r>
          </w:p>
        </w:tc>
      </w:tr>
      <w:tr w14:paraId="31430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063" w:hRule="atLeast"/>
          <w:jc w:val="center"/>
        </w:trPr>
        <w:tc>
          <w:tcPr>
            <w:tcW w:w="899" w:type="dxa"/>
            <w:vMerge w:val="continue"/>
            <w:tcBorders>
              <w:top w:val="nil"/>
              <w:bottom w:val="nil"/>
            </w:tcBorders>
            <w:noWrap w:val="0"/>
            <w:vAlign w:val="center"/>
          </w:tcPr>
          <w:p w14:paraId="588F7EF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p>
        </w:tc>
        <w:tc>
          <w:tcPr>
            <w:tcW w:w="1378" w:type="dxa"/>
            <w:noWrap w:val="0"/>
            <w:vAlign w:val="center"/>
          </w:tcPr>
          <w:p w14:paraId="4A36EF3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信用要求</w:t>
            </w:r>
          </w:p>
        </w:tc>
        <w:tc>
          <w:tcPr>
            <w:tcW w:w="6872" w:type="dxa"/>
            <w:noWrap w:val="0"/>
            <w:vAlign w:val="center"/>
          </w:tcPr>
          <w:p w14:paraId="17235F6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不符合</w:t>
            </w:r>
            <w:r>
              <w:rPr>
                <w:rFonts w:hint="eastAsia" w:ascii="宋体" w:hAnsi="宋体" w:eastAsia="宋体" w:cs="宋体"/>
                <w:sz w:val="24"/>
                <w:szCs w:val="24"/>
                <w:lang w:val="en-US" w:eastAsia="zh-CN"/>
              </w:rPr>
              <w:t>谈判</w:t>
            </w:r>
            <w:r>
              <w:rPr>
                <w:rFonts w:hint="eastAsia" w:ascii="宋体" w:hAnsi="宋体" w:eastAsia="宋体" w:cs="宋体"/>
                <w:sz w:val="24"/>
                <w:szCs w:val="24"/>
              </w:rPr>
              <w:t>文件要求</w:t>
            </w:r>
          </w:p>
          <w:p w14:paraId="361472D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注 ：</w:t>
            </w:r>
          </w:p>
          <w:p w14:paraId="32FA4AB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1.信用记录查询渠道：</w:t>
            </w:r>
          </w:p>
          <w:p w14:paraId="1616754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(1)被人民法院列入失信被执行人名单的(以</w:t>
            </w:r>
          </w:p>
          <w:p w14:paraId="173D577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www.creditchina.gov.cn查询为准)</w:t>
            </w:r>
          </w:p>
          <w:p w14:paraId="1BC40A9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(2)被税务机关列入重大税收违法失信主体名单的(以ww w.creditchina.gov.cn查询为准)</w:t>
            </w:r>
          </w:p>
          <w:p w14:paraId="795AEE9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(3)被财政部门列入政府采购严重违法失信行为记录名单的 (以www.ccgp.gov.cn/查询为准)</w:t>
            </w:r>
          </w:p>
          <w:p w14:paraId="7DD91A0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(4)被市场监督管理部门列入严重违法失信名单的(以 www.gsxt.gov.cn查询为准)</w:t>
            </w:r>
          </w:p>
          <w:p w14:paraId="4CEAB9A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2.供应商在</w:t>
            </w:r>
            <w:r>
              <w:rPr>
                <w:rFonts w:hint="eastAsia" w:ascii="宋体" w:hAnsi="宋体" w:eastAsia="宋体" w:cs="宋体"/>
                <w:sz w:val="24"/>
                <w:szCs w:val="24"/>
                <w:lang w:val="en-US" w:eastAsia="zh-CN"/>
              </w:rPr>
              <w:t>响应</w:t>
            </w:r>
            <w:r>
              <w:rPr>
                <w:rFonts w:hint="eastAsia" w:ascii="宋体" w:hAnsi="宋体" w:eastAsia="宋体" w:cs="宋体"/>
                <w:sz w:val="24"/>
                <w:szCs w:val="24"/>
              </w:rPr>
              <w:t>文件</w:t>
            </w:r>
            <w:r>
              <w:rPr>
                <w:rFonts w:hint="eastAsia" w:ascii="宋体" w:hAnsi="宋体" w:cs="宋体"/>
                <w:sz w:val="24"/>
                <w:szCs w:val="24"/>
                <w:lang w:eastAsia="zh-CN"/>
              </w:rPr>
              <w:t>提供承诺函。</w:t>
            </w:r>
          </w:p>
        </w:tc>
      </w:tr>
      <w:tr w14:paraId="29097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0" w:hRule="atLeast"/>
          <w:jc w:val="center"/>
        </w:trPr>
        <w:tc>
          <w:tcPr>
            <w:tcW w:w="899" w:type="dxa"/>
            <w:vMerge w:val="continue"/>
            <w:tcBorders>
              <w:top w:val="nil"/>
            </w:tcBorders>
            <w:noWrap w:val="0"/>
            <w:vAlign w:val="center"/>
          </w:tcPr>
          <w:p w14:paraId="0CA2023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p>
        </w:tc>
        <w:tc>
          <w:tcPr>
            <w:tcW w:w="1378" w:type="dxa"/>
            <w:noWrap w:val="0"/>
            <w:vAlign w:val="center"/>
          </w:tcPr>
          <w:p w14:paraId="3726C0A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6872" w:type="dxa"/>
            <w:noWrap w:val="0"/>
            <w:vAlign w:val="center"/>
          </w:tcPr>
          <w:p w14:paraId="301D4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供应商被行政监督部门作出禁止</w:t>
            </w:r>
            <w:r>
              <w:rPr>
                <w:rFonts w:hint="eastAsia" w:ascii="宋体" w:hAnsi="宋体" w:eastAsia="宋体" w:cs="宋体"/>
                <w:sz w:val="24"/>
                <w:szCs w:val="24"/>
                <w:lang w:val="en-US" w:eastAsia="zh-CN"/>
              </w:rPr>
              <w:t>响应</w:t>
            </w:r>
            <w:r>
              <w:rPr>
                <w:rFonts w:hint="eastAsia" w:ascii="宋体" w:hAnsi="宋体" w:eastAsia="宋体" w:cs="宋体"/>
                <w:sz w:val="24"/>
                <w:szCs w:val="24"/>
              </w:rPr>
              <w:t>处罚且在有效期内的，或其他违反法律法规和</w:t>
            </w:r>
            <w:r>
              <w:rPr>
                <w:rFonts w:hint="eastAsia" w:ascii="宋体" w:hAnsi="宋体" w:eastAsia="宋体" w:cs="宋体"/>
                <w:sz w:val="24"/>
                <w:szCs w:val="24"/>
                <w:lang w:val="en-US" w:eastAsia="zh-CN"/>
              </w:rPr>
              <w:t>谈判</w:t>
            </w:r>
            <w:r>
              <w:rPr>
                <w:rFonts w:hint="eastAsia" w:ascii="宋体" w:hAnsi="宋体" w:eastAsia="宋体" w:cs="宋体"/>
                <w:sz w:val="24"/>
                <w:szCs w:val="24"/>
              </w:rPr>
              <w:t>文件规定的应该按无效</w:t>
            </w:r>
            <w:r>
              <w:rPr>
                <w:rFonts w:hint="eastAsia" w:ascii="宋体" w:hAnsi="宋体" w:eastAsia="宋体" w:cs="宋体"/>
                <w:sz w:val="24"/>
                <w:szCs w:val="24"/>
                <w:lang w:val="en-US" w:eastAsia="zh-CN"/>
              </w:rPr>
              <w:t>响应</w:t>
            </w:r>
            <w:r>
              <w:rPr>
                <w:rFonts w:hint="eastAsia" w:ascii="宋体" w:hAnsi="宋体" w:eastAsia="宋体" w:cs="宋体"/>
                <w:sz w:val="24"/>
                <w:szCs w:val="24"/>
              </w:rPr>
              <w:t>处理的情形</w:t>
            </w:r>
            <w:r>
              <w:rPr>
                <w:rFonts w:hint="eastAsia" w:ascii="宋体" w:hAnsi="宋体" w:eastAsia="宋体" w:cs="宋体"/>
                <w:sz w:val="24"/>
                <w:szCs w:val="24"/>
                <w:lang w:eastAsia="zh-CN"/>
              </w:rPr>
              <w:t>。</w:t>
            </w:r>
          </w:p>
        </w:tc>
      </w:tr>
    </w:tbl>
    <w:p w14:paraId="6F7D40AF">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宋体" w:hAnsi="宋体" w:eastAsia="宋体" w:cs="宋体"/>
          <w:b/>
          <w:bCs/>
          <w:spacing w:val="0"/>
          <w:w w:val="100"/>
          <w:position w:val="0"/>
          <w:sz w:val="24"/>
          <w:szCs w:val="24"/>
          <w:u w:val="none"/>
          <w:lang w:val="en-US" w:eastAsia="zh-CN"/>
        </w:rPr>
      </w:pPr>
      <w:r>
        <w:rPr>
          <w:rFonts w:hint="eastAsia" w:ascii="宋体" w:hAnsi="宋体" w:eastAsia="宋体" w:cs="宋体"/>
          <w:b/>
          <w:bCs/>
          <w:spacing w:val="0"/>
          <w:w w:val="100"/>
          <w:position w:val="0"/>
          <w:sz w:val="24"/>
          <w:szCs w:val="24"/>
          <w:u w:val="none"/>
          <w:lang w:val="en-US" w:eastAsia="zh-CN"/>
        </w:rPr>
        <w:t>2、综合评审</w:t>
      </w:r>
    </w:p>
    <w:p w14:paraId="2F0B4E52">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pacing w:val="0"/>
          <w:w w:val="100"/>
          <w:position w:val="0"/>
          <w:sz w:val="24"/>
          <w:szCs w:val="24"/>
          <w:u w:val="none"/>
          <w:lang w:val="en-US" w:eastAsia="zh-CN"/>
        </w:rPr>
      </w:pPr>
      <w:r>
        <w:rPr>
          <w:rFonts w:hint="eastAsia" w:ascii="宋体" w:hAnsi="宋体" w:eastAsia="宋体" w:cs="宋体"/>
          <w:spacing w:val="0"/>
          <w:w w:val="100"/>
          <w:position w:val="0"/>
          <w:sz w:val="24"/>
          <w:szCs w:val="24"/>
          <w:u w:val="none"/>
          <w:lang w:val="en-US" w:eastAsia="zh-CN"/>
        </w:rPr>
        <w:t>由谈判小组对响应文件进行评审，并根据谈判文件规定的程序、评定成交的标准等事项与实质性响应谈判文件要求的供应商进行谈判。</w:t>
      </w:r>
    </w:p>
    <w:p w14:paraId="685A5DE3">
      <w:pPr>
        <w:pStyle w:val="3"/>
        <w:spacing w:before="0" w:after="0" w:line="560" w:lineRule="exact"/>
        <w:jc w:val="center"/>
        <w:rPr>
          <w:rFonts w:hint="eastAsia" w:ascii="宋体" w:hAnsi="宋体" w:eastAsia="宋体" w:cs="宋体"/>
          <w:sz w:val="28"/>
          <w:szCs w:val="28"/>
          <w:lang w:eastAsia="zh-CN"/>
        </w:rPr>
      </w:pPr>
      <w:bookmarkStart w:id="107" w:name="_Toc17782"/>
    </w:p>
    <w:p w14:paraId="7C24A112">
      <w:pPr>
        <w:rPr>
          <w:rFonts w:hint="eastAsia" w:ascii="宋体" w:hAnsi="宋体" w:eastAsia="宋体" w:cs="宋体"/>
          <w:sz w:val="28"/>
          <w:szCs w:val="28"/>
          <w:lang w:eastAsia="zh-CN"/>
        </w:rPr>
      </w:pPr>
    </w:p>
    <w:p w14:paraId="4FD6533A">
      <w:pPr>
        <w:pStyle w:val="28"/>
        <w:rPr>
          <w:rFonts w:hint="eastAsia" w:ascii="宋体" w:hAnsi="宋体" w:eastAsia="宋体" w:cs="宋体"/>
          <w:sz w:val="28"/>
          <w:szCs w:val="28"/>
          <w:lang w:eastAsia="zh-CN"/>
        </w:rPr>
      </w:pPr>
    </w:p>
    <w:p w14:paraId="500AEEFF">
      <w:pPr>
        <w:pStyle w:val="28"/>
        <w:rPr>
          <w:rFonts w:hint="eastAsia" w:ascii="宋体" w:hAnsi="宋体" w:eastAsia="宋体" w:cs="宋体"/>
          <w:sz w:val="28"/>
          <w:szCs w:val="28"/>
          <w:lang w:eastAsia="zh-CN"/>
        </w:rPr>
      </w:pPr>
    </w:p>
    <w:p w14:paraId="5AA95EDD">
      <w:pPr>
        <w:pStyle w:val="3"/>
        <w:spacing w:before="0" w:after="0" w:line="560" w:lineRule="exact"/>
        <w:jc w:val="center"/>
        <w:rPr>
          <w:rFonts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、响应文件格式</w:t>
      </w:r>
      <w:bookmarkEnd w:id="107"/>
    </w:p>
    <w:p w14:paraId="57C4CC94">
      <w:pPr>
        <w:spacing w:line="500" w:lineRule="exact"/>
        <w:jc w:val="center"/>
        <w:rPr>
          <w:rFonts w:ascii="宋体" w:hAnsi="宋体"/>
          <w:b/>
          <w:sz w:val="32"/>
        </w:rPr>
      </w:pPr>
    </w:p>
    <w:p w14:paraId="676A047C">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1E7650EF">
      <w:pPr>
        <w:spacing w:line="900" w:lineRule="exact"/>
        <w:rPr>
          <w:rFonts w:ascii="宋体" w:hAnsi="宋体"/>
          <w:b/>
          <w:sz w:val="72"/>
        </w:rPr>
      </w:pPr>
    </w:p>
    <w:p w14:paraId="5441A5AD">
      <w:pPr>
        <w:spacing w:line="900" w:lineRule="exact"/>
        <w:jc w:val="center"/>
        <w:rPr>
          <w:rFonts w:ascii="宋体" w:hAnsi="宋体"/>
          <w:b/>
          <w:sz w:val="72"/>
        </w:rPr>
      </w:pPr>
      <w:r>
        <w:rPr>
          <w:rFonts w:hint="eastAsia" w:ascii="宋体" w:hAnsi="宋体"/>
          <w:b/>
          <w:sz w:val="72"/>
        </w:rPr>
        <w:t>响</w:t>
      </w:r>
    </w:p>
    <w:p w14:paraId="0908E5D8">
      <w:pPr>
        <w:spacing w:line="900" w:lineRule="exact"/>
        <w:jc w:val="center"/>
        <w:rPr>
          <w:rFonts w:ascii="宋体" w:hAnsi="宋体"/>
          <w:b/>
          <w:sz w:val="72"/>
        </w:rPr>
      </w:pPr>
    </w:p>
    <w:p w14:paraId="0F82F599">
      <w:pPr>
        <w:spacing w:line="900" w:lineRule="exact"/>
        <w:jc w:val="center"/>
        <w:rPr>
          <w:rFonts w:ascii="宋体" w:hAnsi="宋体"/>
          <w:b/>
          <w:sz w:val="72"/>
        </w:rPr>
      </w:pPr>
      <w:r>
        <w:rPr>
          <w:rFonts w:hint="eastAsia" w:ascii="宋体" w:hAnsi="宋体"/>
          <w:b/>
          <w:sz w:val="72"/>
        </w:rPr>
        <w:t>应</w:t>
      </w:r>
    </w:p>
    <w:p w14:paraId="550A5B7B">
      <w:pPr>
        <w:spacing w:line="900" w:lineRule="exact"/>
        <w:jc w:val="center"/>
        <w:rPr>
          <w:rFonts w:ascii="宋体" w:hAnsi="宋体"/>
          <w:b/>
          <w:sz w:val="72"/>
        </w:rPr>
      </w:pPr>
    </w:p>
    <w:p w14:paraId="62FBB8C8">
      <w:pPr>
        <w:spacing w:line="900" w:lineRule="exact"/>
        <w:jc w:val="center"/>
        <w:rPr>
          <w:rFonts w:ascii="宋体" w:hAnsi="宋体"/>
          <w:b/>
          <w:sz w:val="72"/>
        </w:rPr>
      </w:pPr>
      <w:r>
        <w:rPr>
          <w:rFonts w:hint="eastAsia" w:ascii="宋体" w:hAnsi="宋体"/>
          <w:b/>
          <w:sz w:val="72"/>
        </w:rPr>
        <w:t>文</w:t>
      </w:r>
    </w:p>
    <w:p w14:paraId="7ADA153A">
      <w:pPr>
        <w:spacing w:line="900" w:lineRule="exact"/>
        <w:jc w:val="center"/>
        <w:rPr>
          <w:rFonts w:ascii="宋体" w:hAnsi="宋体"/>
          <w:b/>
          <w:sz w:val="72"/>
        </w:rPr>
      </w:pPr>
    </w:p>
    <w:p w14:paraId="7BC9C18A">
      <w:pPr>
        <w:jc w:val="center"/>
        <w:rPr>
          <w:rFonts w:ascii="宋体" w:hAnsi="宋体"/>
          <w:b/>
          <w:sz w:val="72"/>
        </w:rPr>
      </w:pPr>
      <w:r>
        <w:rPr>
          <w:rFonts w:hint="eastAsia" w:ascii="宋体" w:hAnsi="宋体"/>
          <w:b/>
          <w:sz w:val="72"/>
        </w:rPr>
        <w:t>件</w:t>
      </w:r>
    </w:p>
    <w:p w14:paraId="526298D0">
      <w:pPr>
        <w:spacing w:after="156" w:afterLines="50"/>
        <w:jc w:val="center"/>
        <w:rPr>
          <w:rFonts w:ascii="宋体" w:hAnsi="宋体"/>
          <w:b/>
          <w:sz w:val="72"/>
        </w:rPr>
      </w:pPr>
    </w:p>
    <w:p w14:paraId="44C29087">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14:paraId="63B973D1">
      <w:pPr>
        <w:spacing w:after="156" w:afterLines="50" w:line="500" w:lineRule="exact"/>
        <w:jc w:val="center"/>
        <w:rPr>
          <w:rFonts w:ascii="宋体" w:hAnsi="宋体"/>
          <w:b/>
          <w:sz w:val="72"/>
        </w:rPr>
      </w:pPr>
    </w:p>
    <w:p w14:paraId="30062B27">
      <w:pPr>
        <w:spacing w:after="156" w:afterLines="50" w:line="500" w:lineRule="exact"/>
        <w:ind w:firstLine="1606" w:firstLineChars="500"/>
        <w:rPr>
          <w:rFonts w:ascii="宋体" w:hAnsi="宋体"/>
          <w:b/>
          <w:sz w:val="32"/>
          <w:u w:val="single"/>
        </w:rPr>
      </w:pPr>
      <w:r>
        <w:rPr>
          <w:rFonts w:hint="eastAsia" w:ascii="宋体" w:hAnsi="宋体"/>
          <w:b/>
          <w:sz w:val="32"/>
        </w:rPr>
        <w:t>供应商：</w:t>
      </w:r>
    </w:p>
    <w:p w14:paraId="5EAF306F">
      <w:pPr>
        <w:spacing w:after="156" w:afterLines="50" w:line="500" w:lineRule="exact"/>
        <w:jc w:val="center"/>
        <w:rPr>
          <w:rFonts w:ascii="宋体" w:hAnsi="宋体"/>
          <w:b/>
          <w:sz w:val="32"/>
        </w:rPr>
      </w:pPr>
      <w:r>
        <w:rPr>
          <w:rFonts w:hint="eastAsia" w:ascii="宋体" w:hAnsi="宋体"/>
          <w:b/>
          <w:sz w:val="32"/>
        </w:rPr>
        <w:t>年  月  日</w:t>
      </w:r>
    </w:p>
    <w:p w14:paraId="22125ABC">
      <w:pPr>
        <w:spacing w:after="156" w:afterLines="50" w:line="500" w:lineRule="exact"/>
        <w:jc w:val="center"/>
        <w:rPr>
          <w:rFonts w:ascii="宋体" w:hAnsi="宋体"/>
          <w:b/>
          <w:sz w:val="32"/>
        </w:rPr>
      </w:pPr>
    </w:p>
    <w:p w14:paraId="373CED2B">
      <w:pPr>
        <w:spacing w:line="360" w:lineRule="auto"/>
        <w:rPr>
          <w:rFonts w:ascii="宋体" w:hAnsi="宋体"/>
          <w:sz w:val="24"/>
          <w:szCs w:val="28"/>
        </w:rPr>
      </w:pPr>
    </w:p>
    <w:bookmarkEnd w:id="103"/>
    <w:p w14:paraId="7C6A9EA0">
      <w:pPr>
        <w:pStyle w:val="3"/>
        <w:spacing w:before="0" w:after="0" w:line="560" w:lineRule="exact"/>
        <w:jc w:val="center"/>
        <w:rPr>
          <w:rFonts w:ascii="宋体" w:hAnsi="宋体" w:eastAsia="宋体" w:cs="宋体"/>
          <w:sz w:val="24"/>
          <w:szCs w:val="24"/>
        </w:rPr>
      </w:pPr>
      <w:bookmarkStart w:id="108" w:name="_Toc6123"/>
      <w:r>
        <w:rPr>
          <w:rFonts w:hint="eastAsia" w:ascii="宋体" w:hAnsi="宋体" w:eastAsia="宋体" w:cs="宋体"/>
          <w:sz w:val="24"/>
          <w:szCs w:val="24"/>
        </w:rPr>
        <w:t>响应文件资料清单</w:t>
      </w:r>
      <w:bookmarkEnd w:id="108"/>
    </w:p>
    <w:tbl>
      <w:tblPr>
        <w:tblStyle w:val="3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3B22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2DBF5C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序号</w:t>
            </w:r>
          </w:p>
        </w:tc>
        <w:tc>
          <w:tcPr>
            <w:tcW w:w="6038" w:type="dxa"/>
            <w:vAlign w:val="center"/>
          </w:tcPr>
          <w:p w14:paraId="1025B7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资料名称</w:t>
            </w:r>
          </w:p>
        </w:tc>
        <w:tc>
          <w:tcPr>
            <w:tcW w:w="1417" w:type="dxa"/>
            <w:vAlign w:val="center"/>
          </w:tcPr>
          <w:p w14:paraId="3457E0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备注</w:t>
            </w:r>
          </w:p>
        </w:tc>
      </w:tr>
      <w:tr w14:paraId="3AC8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7CB864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ahoma" w:hAnsi="Tahoma"/>
                <w:sz w:val="24"/>
              </w:rPr>
            </w:pPr>
            <w:r>
              <w:rPr>
                <w:rFonts w:hint="eastAsia" w:ascii="Tahoma" w:hAnsi="Tahoma"/>
                <w:sz w:val="24"/>
              </w:rPr>
              <w:t>一</w:t>
            </w:r>
          </w:p>
        </w:tc>
        <w:tc>
          <w:tcPr>
            <w:tcW w:w="6038" w:type="dxa"/>
            <w:vAlign w:val="center"/>
          </w:tcPr>
          <w:p w14:paraId="21BCED43">
            <w:pPr>
              <w:keepNext w:val="0"/>
              <w:keepLines w:val="0"/>
              <w:pageBreakBefore w:val="0"/>
              <w:widowControl w:val="0"/>
              <w:kinsoku/>
              <w:wordWrap/>
              <w:overflowPunct/>
              <w:topLinePunct w:val="0"/>
              <w:autoSpaceDE/>
              <w:autoSpaceDN/>
              <w:bidi w:val="0"/>
              <w:adjustRightInd/>
              <w:snapToGrid/>
              <w:spacing w:line="400" w:lineRule="exact"/>
              <w:textAlignment w:val="auto"/>
              <w:rPr>
                <w:rFonts w:ascii="Tahoma" w:hAnsi="Tahoma"/>
                <w:sz w:val="24"/>
              </w:rPr>
            </w:pPr>
            <w:r>
              <w:rPr>
                <w:rFonts w:hint="eastAsia" w:ascii="宋体" w:hAnsi="宋体"/>
                <w:sz w:val="24"/>
                <w:szCs w:val="24"/>
              </w:rPr>
              <w:t>报价单</w:t>
            </w:r>
          </w:p>
        </w:tc>
        <w:tc>
          <w:tcPr>
            <w:tcW w:w="1417" w:type="dxa"/>
            <w:vAlign w:val="center"/>
          </w:tcPr>
          <w:p w14:paraId="311902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p>
        </w:tc>
      </w:tr>
      <w:tr w14:paraId="221A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1AD3B2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ahoma" w:hAnsi="Tahoma"/>
                <w:sz w:val="24"/>
              </w:rPr>
            </w:pPr>
            <w:r>
              <w:rPr>
                <w:rFonts w:hint="eastAsia" w:ascii="Tahoma" w:hAnsi="Tahoma"/>
                <w:sz w:val="24"/>
              </w:rPr>
              <w:t>二</w:t>
            </w:r>
          </w:p>
        </w:tc>
        <w:tc>
          <w:tcPr>
            <w:tcW w:w="6038" w:type="dxa"/>
            <w:vAlign w:val="center"/>
          </w:tcPr>
          <w:p w14:paraId="7C0CC81C">
            <w:pPr>
              <w:keepNext w:val="0"/>
              <w:keepLines w:val="0"/>
              <w:pageBreakBefore w:val="0"/>
              <w:widowControl w:val="0"/>
              <w:kinsoku/>
              <w:wordWrap/>
              <w:overflowPunct/>
              <w:topLinePunct w:val="0"/>
              <w:autoSpaceDE/>
              <w:autoSpaceDN/>
              <w:bidi w:val="0"/>
              <w:adjustRightInd/>
              <w:snapToGrid/>
              <w:spacing w:line="400" w:lineRule="exact"/>
              <w:textAlignment w:val="auto"/>
              <w:rPr>
                <w:rFonts w:ascii="Tahoma" w:hAnsi="Tahoma"/>
                <w:sz w:val="24"/>
              </w:rPr>
            </w:pPr>
            <w:r>
              <w:rPr>
                <w:rFonts w:hint="eastAsia" w:ascii="Tahoma" w:hAnsi="Tahoma"/>
                <w:sz w:val="24"/>
              </w:rPr>
              <w:t>供应商基本信息</w:t>
            </w:r>
          </w:p>
        </w:tc>
        <w:tc>
          <w:tcPr>
            <w:tcW w:w="1417" w:type="dxa"/>
            <w:vAlign w:val="center"/>
          </w:tcPr>
          <w:p w14:paraId="2C098A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p>
        </w:tc>
      </w:tr>
      <w:tr w14:paraId="380F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589518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ahoma" w:hAnsi="Tahoma"/>
                <w:sz w:val="24"/>
              </w:rPr>
            </w:pPr>
            <w:r>
              <w:rPr>
                <w:rFonts w:hint="eastAsia" w:ascii="Tahoma" w:hAnsi="Tahoma"/>
                <w:sz w:val="24"/>
              </w:rPr>
              <w:t>三</w:t>
            </w:r>
          </w:p>
        </w:tc>
        <w:tc>
          <w:tcPr>
            <w:tcW w:w="6038" w:type="dxa"/>
            <w:vAlign w:val="center"/>
          </w:tcPr>
          <w:p w14:paraId="78D89CCC">
            <w:pPr>
              <w:pStyle w:val="62"/>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szCs w:val="24"/>
              </w:rPr>
              <w:t>谈判授权书</w:t>
            </w:r>
          </w:p>
        </w:tc>
        <w:tc>
          <w:tcPr>
            <w:tcW w:w="1417" w:type="dxa"/>
            <w:vAlign w:val="center"/>
          </w:tcPr>
          <w:p w14:paraId="6E07E2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p>
        </w:tc>
      </w:tr>
      <w:tr w14:paraId="65AA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7AA5F0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ahoma" w:hAnsi="Tahoma"/>
                <w:sz w:val="24"/>
              </w:rPr>
            </w:pPr>
            <w:r>
              <w:rPr>
                <w:rFonts w:hint="eastAsia" w:ascii="Tahoma" w:hAnsi="Tahoma"/>
                <w:sz w:val="24"/>
              </w:rPr>
              <w:t>四</w:t>
            </w:r>
          </w:p>
        </w:tc>
        <w:tc>
          <w:tcPr>
            <w:tcW w:w="6038" w:type="dxa"/>
            <w:vAlign w:val="center"/>
          </w:tcPr>
          <w:p w14:paraId="54B104A7">
            <w:pPr>
              <w:pStyle w:val="62"/>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szCs w:val="24"/>
              </w:rPr>
              <w:t>谈判响应函</w:t>
            </w:r>
          </w:p>
        </w:tc>
        <w:tc>
          <w:tcPr>
            <w:tcW w:w="1417" w:type="dxa"/>
            <w:vAlign w:val="center"/>
          </w:tcPr>
          <w:p w14:paraId="623AFE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p>
        </w:tc>
      </w:tr>
      <w:tr w14:paraId="7C40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727144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ahoma" w:hAnsi="Tahoma"/>
                <w:sz w:val="24"/>
              </w:rPr>
            </w:pPr>
            <w:r>
              <w:rPr>
                <w:rFonts w:hint="eastAsia" w:ascii="Tahoma" w:hAnsi="Tahoma"/>
                <w:sz w:val="24"/>
              </w:rPr>
              <w:t>五</w:t>
            </w:r>
          </w:p>
        </w:tc>
        <w:tc>
          <w:tcPr>
            <w:tcW w:w="6038" w:type="dxa"/>
            <w:vAlign w:val="center"/>
          </w:tcPr>
          <w:p w14:paraId="79C5E4F0">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14:paraId="12733D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p>
        </w:tc>
      </w:tr>
      <w:tr w14:paraId="7EE3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14:paraId="3EE14F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ahoma" w:hAnsi="Tahoma"/>
                <w:sz w:val="24"/>
              </w:rPr>
            </w:pPr>
            <w:r>
              <w:rPr>
                <w:rFonts w:hint="eastAsia" w:ascii="Tahoma" w:hAnsi="Tahoma"/>
                <w:sz w:val="24"/>
              </w:rPr>
              <w:t>六</w:t>
            </w:r>
          </w:p>
        </w:tc>
        <w:tc>
          <w:tcPr>
            <w:tcW w:w="6038" w:type="dxa"/>
            <w:vAlign w:val="center"/>
          </w:tcPr>
          <w:p w14:paraId="2D0BD8B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4"/>
              </w:rPr>
            </w:pPr>
            <w:r>
              <w:rPr>
                <w:rFonts w:hint="eastAsia" w:ascii="宋体" w:hAnsi="宋体" w:cs="宋体"/>
                <w:sz w:val="24"/>
                <w:szCs w:val="24"/>
              </w:rPr>
              <w:t>响应情况表</w:t>
            </w:r>
          </w:p>
        </w:tc>
        <w:tc>
          <w:tcPr>
            <w:tcW w:w="1417" w:type="dxa"/>
            <w:vAlign w:val="center"/>
          </w:tcPr>
          <w:p w14:paraId="7FC26CDD">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r w14:paraId="21C2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14:paraId="2BCAFA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ahoma" w:hAnsi="Tahoma" w:eastAsia="宋体"/>
                <w:sz w:val="24"/>
                <w:lang w:eastAsia="zh-CN"/>
              </w:rPr>
            </w:pPr>
            <w:r>
              <w:rPr>
                <w:rFonts w:hint="eastAsia" w:ascii="Tahoma" w:hAnsi="Tahoma"/>
                <w:sz w:val="24"/>
                <w:lang w:eastAsia="zh-CN"/>
              </w:rPr>
              <w:t>七</w:t>
            </w:r>
          </w:p>
        </w:tc>
        <w:tc>
          <w:tcPr>
            <w:tcW w:w="6038" w:type="dxa"/>
            <w:vAlign w:val="center"/>
          </w:tcPr>
          <w:p w14:paraId="24C16AF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4"/>
              </w:rPr>
            </w:pPr>
            <w:bookmarkStart w:id="109" w:name="_Toc16318"/>
            <w:bookmarkStart w:id="110" w:name="_Toc1904"/>
            <w:bookmarkStart w:id="111" w:name="_Toc14653"/>
            <w:r>
              <w:rPr>
                <w:rStyle w:val="48"/>
                <w:rFonts w:hint="eastAsia" w:ascii="宋体" w:hAnsi="宋体" w:eastAsia="宋体" w:cs="宋体"/>
                <w:b w:val="0"/>
                <w:bCs/>
                <w:sz w:val="24"/>
                <w:szCs w:val="24"/>
              </w:rPr>
              <w:t>中小企业声明函、</w:t>
            </w:r>
            <w:bookmarkEnd w:id="109"/>
            <w:bookmarkEnd w:id="110"/>
            <w:bookmarkEnd w:id="111"/>
            <w:r>
              <w:rPr>
                <w:rFonts w:hint="eastAsia" w:ascii="宋体" w:hAnsi="宋体" w:cs="宋体"/>
                <w:bCs/>
                <w:sz w:val="24"/>
                <w:szCs w:val="24"/>
              </w:rPr>
              <w:t>残疾人福利性单位声明函</w:t>
            </w:r>
          </w:p>
        </w:tc>
        <w:tc>
          <w:tcPr>
            <w:tcW w:w="1417" w:type="dxa"/>
            <w:vAlign w:val="center"/>
          </w:tcPr>
          <w:p w14:paraId="789DED90">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r w14:paraId="1FE8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14:paraId="0A9142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ahoma" w:hAnsi="Tahoma" w:eastAsia="宋体"/>
                <w:sz w:val="24"/>
                <w:lang w:eastAsia="zh-CN"/>
              </w:rPr>
            </w:pPr>
            <w:r>
              <w:rPr>
                <w:rFonts w:hint="eastAsia" w:ascii="Tahoma" w:hAnsi="Tahoma"/>
                <w:sz w:val="24"/>
                <w:lang w:eastAsia="zh-CN"/>
              </w:rPr>
              <w:t>八</w:t>
            </w:r>
          </w:p>
        </w:tc>
        <w:tc>
          <w:tcPr>
            <w:tcW w:w="6038" w:type="dxa"/>
            <w:vAlign w:val="center"/>
          </w:tcPr>
          <w:p w14:paraId="071EF9F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14:paraId="4A709783">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r w14:paraId="3CDE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14:paraId="37D223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ahoma" w:hAnsi="Tahoma" w:eastAsia="宋体"/>
                <w:sz w:val="24"/>
                <w:lang w:eastAsia="zh-CN"/>
              </w:rPr>
            </w:pPr>
          </w:p>
        </w:tc>
        <w:tc>
          <w:tcPr>
            <w:tcW w:w="6038" w:type="dxa"/>
            <w:vAlign w:val="center"/>
          </w:tcPr>
          <w:p w14:paraId="1EDAF5E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4"/>
              </w:rPr>
            </w:pPr>
          </w:p>
        </w:tc>
        <w:tc>
          <w:tcPr>
            <w:tcW w:w="1417" w:type="dxa"/>
            <w:vAlign w:val="center"/>
          </w:tcPr>
          <w:p w14:paraId="103B3B3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r w14:paraId="6129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14:paraId="079AAB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4"/>
                <w:lang w:val="en-US" w:eastAsia="zh-CN"/>
              </w:rPr>
            </w:pPr>
          </w:p>
        </w:tc>
        <w:tc>
          <w:tcPr>
            <w:tcW w:w="6038" w:type="dxa"/>
            <w:vAlign w:val="center"/>
          </w:tcPr>
          <w:p w14:paraId="2C4DF58E">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417" w:type="dxa"/>
            <w:vAlign w:val="center"/>
          </w:tcPr>
          <w:p w14:paraId="3C179EB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r w14:paraId="769B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7A5068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c>
          <w:tcPr>
            <w:tcW w:w="6038" w:type="dxa"/>
            <w:vAlign w:val="center"/>
          </w:tcPr>
          <w:p w14:paraId="54CA49EA">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417" w:type="dxa"/>
            <w:vAlign w:val="center"/>
          </w:tcPr>
          <w:p w14:paraId="2BF28AE6">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r w14:paraId="6263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665F4F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c>
          <w:tcPr>
            <w:tcW w:w="6038" w:type="dxa"/>
            <w:vAlign w:val="center"/>
          </w:tcPr>
          <w:p w14:paraId="728C855D">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417" w:type="dxa"/>
            <w:vAlign w:val="center"/>
          </w:tcPr>
          <w:p w14:paraId="262F43B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bl>
    <w:p w14:paraId="7ED6BF4A">
      <w:pPr>
        <w:spacing w:line="360" w:lineRule="auto"/>
        <w:jc w:val="center"/>
        <w:rPr>
          <w:rFonts w:ascii="宋体" w:hAnsi="宋体"/>
          <w:b/>
          <w:sz w:val="24"/>
        </w:rPr>
      </w:pPr>
    </w:p>
    <w:p w14:paraId="5AB8996C">
      <w:pPr>
        <w:spacing w:line="360" w:lineRule="auto"/>
        <w:jc w:val="center"/>
        <w:rPr>
          <w:rFonts w:ascii="宋体" w:hAnsi="宋体"/>
          <w:b/>
          <w:sz w:val="24"/>
        </w:rPr>
      </w:pPr>
    </w:p>
    <w:p w14:paraId="14B52CD1">
      <w:pPr>
        <w:spacing w:line="360" w:lineRule="auto"/>
        <w:jc w:val="center"/>
        <w:rPr>
          <w:rFonts w:ascii="宋体" w:hAnsi="宋体"/>
          <w:b/>
          <w:sz w:val="24"/>
        </w:rPr>
      </w:pPr>
    </w:p>
    <w:p w14:paraId="1C13FD49">
      <w:pPr>
        <w:rPr>
          <w:rFonts w:ascii="宋体" w:hAnsi="宋体" w:cs="宋体"/>
          <w:sz w:val="24"/>
          <w:szCs w:val="24"/>
        </w:rPr>
      </w:pPr>
      <w:r>
        <w:rPr>
          <w:rFonts w:hint="eastAsia" w:ascii="宋体" w:hAnsi="宋体" w:cs="宋体"/>
          <w:sz w:val="24"/>
          <w:szCs w:val="24"/>
        </w:rPr>
        <w:br w:type="page"/>
      </w:r>
    </w:p>
    <w:p w14:paraId="4CD4F221">
      <w:pPr>
        <w:pStyle w:val="3"/>
        <w:spacing w:before="0" w:after="0" w:line="560" w:lineRule="exact"/>
        <w:rPr>
          <w:rFonts w:ascii="宋体" w:hAnsi="宋体" w:eastAsia="宋体" w:cs="宋体"/>
          <w:sz w:val="24"/>
          <w:szCs w:val="24"/>
        </w:rPr>
      </w:pPr>
      <w:bookmarkStart w:id="112" w:name="_Toc2536"/>
      <w:r>
        <w:rPr>
          <w:rFonts w:hint="eastAsia" w:ascii="宋体" w:hAnsi="宋体" w:eastAsia="宋体" w:cs="宋体"/>
          <w:sz w:val="24"/>
          <w:szCs w:val="24"/>
        </w:rPr>
        <w:t>附件一</w:t>
      </w:r>
      <w:bookmarkEnd w:id="112"/>
    </w:p>
    <w:p w14:paraId="7F27870D">
      <w:pPr>
        <w:pStyle w:val="3"/>
        <w:spacing w:before="156" w:beforeLines="50" w:after="156" w:afterLines="50" w:line="560" w:lineRule="exact"/>
        <w:jc w:val="center"/>
        <w:rPr>
          <w:rFonts w:ascii="宋体" w:hAnsi="宋体" w:eastAsia="宋体" w:cs="宋体"/>
          <w:sz w:val="24"/>
          <w:szCs w:val="24"/>
        </w:rPr>
      </w:pPr>
      <w:bookmarkStart w:id="113" w:name="_Toc5601"/>
      <w:bookmarkStart w:id="114" w:name="_Toc15863"/>
      <w:bookmarkStart w:id="115" w:name="_Toc21540"/>
      <w:r>
        <w:rPr>
          <w:rFonts w:hint="eastAsia" w:ascii="宋体" w:hAnsi="宋体" w:eastAsia="宋体" w:cs="宋体"/>
          <w:sz w:val="24"/>
          <w:szCs w:val="24"/>
        </w:rPr>
        <w:t>报价单</w:t>
      </w:r>
      <w:bookmarkEnd w:id="113"/>
      <w:bookmarkEnd w:id="114"/>
      <w:bookmarkEnd w:id="115"/>
    </w:p>
    <w:tbl>
      <w:tblPr>
        <w:tblStyle w:val="35"/>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078"/>
        <w:gridCol w:w="1214"/>
        <w:gridCol w:w="1091"/>
        <w:gridCol w:w="1821"/>
      </w:tblGrid>
      <w:tr w14:paraId="045E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vAlign w:val="center"/>
          </w:tcPr>
          <w:p w14:paraId="56C802EF">
            <w:pPr>
              <w:jc w:val="center"/>
              <w:rPr>
                <w:rFonts w:ascii="宋体" w:hAnsi="宋体"/>
                <w:b/>
                <w:sz w:val="24"/>
                <w:szCs w:val="24"/>
              </w:rPr>
            </w:pPr>
            <w:r>
              <w:rPr>
                <w:rFonts w:hint="eastAsia" w:ascii="宋体" w:hAnsi="宋体"/>
                <w:b/>
                <w:sz w:val="24"/>
                <w:szCs w:val="24"/>
              </w:rPr>
              <w:t>序号</w:t>
            </w:r>
          </w:p>
        </w:tc>
        <w:tc>
          <w:tcPr>
            <w:tcW w:w="4078" w:type="dxa"/>
            <w:vAlign w:val="center"/>
          </w:tcPr>
          <w:p w14:paraId="6429DB8C">
            <w:pPr>
              <w:jc w:val="center"/>
              <w:rPr>
                <w:rFonts w:ascii="宋体" w:hAnsi="宋体"/>
                <w:b/>
                <w:sz w:val="24"/>
                <w:szCs w:val="24"/>
              </w:rPr>
            </w:pPr>
            <w:r>
              <w:rPr>
                <w:rFonts w:hint="eastAsia" w:ascii="宋体" w:hAnsi="宋体"/>
                <w:b/>
                <w:sz w:val="24"/>
                <w:szCs w:val="24"/>
              </w:rPr>
              <w:t>服务内容</w:t>
            </w:r>
          </w:p>
        </w:tc>
        <w:tc>
          <w:tcPr>
            <w:tcW w:w="1214" w:type="dxa"/>
            <w:vAlign w:val="center"/>
          </w:tcPr>
          <w:p w14:paraId="50280E1F">
            <w:pPr>
              <w:jc w:val="center"/>
              <w:rPr>
                <w:rFonts w:ascii="宋体" w:hAnsi="宋体"/>
                <w:b/>
                <w:sz w:val="24"/>
                <w:szCs w:val="24"/>
              </w:rPr>
            </w:pPr>
            <w:r>
              <w:rPr>
                <w:rFonts w:hint="eastAsia" w:ascii="宋体" w:hAnsi="宋体"/>
                <w:b/>
                <w:sz w:val="24"/>
                <w:szCs w:val="24"/>
              </w:rPr>
              <w:t>项</w:t>
            </w:r>
          </w:p>
        </w:tc>
        <w:tc>
          <w:tcPr>
            <w:tcW w:w="1091" w:type="dxa"/>
            <w:vAlign w:val="center"/>
          </w:tcPr>
          <w:p w14:paraId="19C1D7D7">
            <w:pPr>
              <w:jc w:val="center"/>
              <w:rPr>
                <w:rFonts w:ascii="宋体" w:hAnsi="宋体"/>
                <w:b/>
                <w:sz w:val="24"/>
                <w:szCs w:val="24"/>
              </w:rPr>
            </w:pPr>
            <w:r>
              <w:rPr>
                <w:rFonts w:hint="eastAsia" w:ascii="宋体" w:hAnsi="宋体"/>
                <w:b/>
                <w:sz w:val="24"/>
                <w:szCs w:val="24"/>
              </w:rPr>
              <w:t>单价</w:t>
            </w:r>
          </w:p>
        </w:tc>
        <w:tc>
          <w:tcPr>
            <w:tcW w:w="1821" w:type="dxa"/>
            <w:vAlign w:val="center"/>
          </w:tcPr>
          <w:p w14:paraId="45F00CC3">
            <w:pPr>
              <w:jc w:val="center"/>
              <w:rPr>
                <w:rFonts w:ascii="宋体" w:hAnsi="宋体"/>
                <w:b/>
                <w:sz w:val="24"/>
                <w:szCs w:val="24"/>
              </w:rPr>
            </w:pPr>
            <w:r>
              <w:rPr>
                <w:rFonts w:hint="eastAsia" w:ascii="宋体" w:hAnsi="宋体"/>
                <w:b/>
                <w:sz w:val="24"/>
                <w:szCs w:val="24"/>
              </w:rPr>
              <w:t>小计金额（元）</w:t>
            </w:r>
          </w:p>
        </w:tc>
      </w:tr>
      <w:tr w14:paraId="5689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vAlign w:val="center"/>
          </w:tcPr>
          <w:p w14:paraId="44475032">
            <w:pPr>
              <w:jc w:val="center"/>
              <w:rPr>
                <w:rFonts w:ascii="宋体" w:hAnsi="宋体"/>
                <w:bCs/>
                <w:sz w:val="24"/>
                <w:szCs w:val="24"/>
              </w:rPr>
            </w:pPr>
            <w:r>
              <w:rPr>
                <w:rFonts w:hint="eastAsia" w:ascii="宋体" w:hAnsi="宋体"/>
                <w:bCs/>
                <w:sz w:val="24"/>
                <w:szCs w:val="24"/>
              </w:rPr>
              <w:t>1</w:t>
            </w:r>
          </w:p>
        </w:tc>
        <w:tc>
          <w:tcPr>
            <w:tcW w:w="4078" w:type="dxa"/>
            <w:vAlign w:val="center"/>
          </w:tcPr>
          <w:p w14:paraId="3029DDD8">
            <w:pPr>
              <w:jc w:val="center"/>
              <w:rPr>
                <w:rFonts w:ascii="宋体" w:hAnsi="宋体"/>
                <w:bCs/>
                <w:sz w:val="24"/>
                <w:szCs w:val="24"/>
              </w:rPr>
            </w:pPr>
          </w:p>
        </w:tc>
        <w:tc>
          <w:tcPr>
            <w:tcW w:w="1214" w:type="dxa"/>
            <w:vAlign w:val="center"/>
          </w:tcPr>
          <w:p w14:paraId="3E026BD8">
            <w:pPr>
              <w:jc w:val="center"/>
              <w:rPr>
                <w:rFonts w:ascii="宋体" w:hAnsi="宋体"/>
                <w:bCs/>
                <w:sz w:val="24"/>
                <w:szCs w:val="24"/>
              </w:rPr>
            </w:pPr>
          </w:p>
        </w:tc>
        <w:tc>
          <w:tcPr>
            <w:tcW w:w="1091" w:type="dxa"/>
            <w:vAlign w:val="center"/>
          </w:tcPr>
          <w:p w14:paraId="6A93467A">
            <w:pPr>
              <w:jc w:val="center"/>
              <w:rPr>
                <w:rFonts w:ascii="宋体" w:hAnsi="宋体"/>
                <w:bCs/>
                <w:sz w:val="24"/>
                <w:szCs w:val="24"/>
              </w:rPr>
            </w:pPr>
          </w:p>
        </w:tc>
        <w:tc>
          <w:tcPr>
            <w:tcW w:w="1821" w:type="dxa"/>
            <w:vAlign w:val="center"/>
          </w:tcPr>
          <w:p w14:paraId="1D11E12E">
            <w:pPr>
              <w:jc w:val="center"/>
              <w:rPr>
                <w:rFonts w:ascii="宋体" w:hAnsi="宋体"/>
                <w:bCs/>
                <w:sz w:val="24"/>
                <w:szCs w:val="24"/>
              </w:rPr>
            </w:pPr>
          </w:p>
        </w:tc>
      </w:tr>
      <w:tr w14:paraId="44A0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50B5944E">
            <w:pPr>
              <w:jc w:val="center"/>
              <w:rPr>
                <w:rFonts w:ascii="宋体" w:hAnsi="宋体"/>
                <w:bCs/>
                <w:sz w:val="24"/>
                <w:szCs w:val="24"/>
              </w:rPr>
            </w:pPr>
            <w:r>
              <w:rPr>
                <w:rFonts w:hint="eastAsia" w:ascii="宋体" w:hAnsi="宋体"/>
                <w:bCs/>
                <w:sz w:val="24"/>
                <w:szCs w:val="24"/>
              </w:rPr>
              <w:t>2</w:t>
            </w:r>
          </w:p>
        </w:tc>
        <w:tc>
          <w:tcPr>
            <w:tcW w:w="4078" w:type="dxa"/>
            <w:vAlign w:val="center"/>
          </w:tcPr>
          <w:p w14:paraId="1D1B7244">
            <w:pPr>
              <w:jc w:val="center"/>
              <w:rPr>
                <w:rFonts w:ascii="宋体" w:hAnsi="宋体"/>
                <w:bCs/>
                <w:sz w:val="24"/>
                <w:szCs w:val="24"/>
              </w:rPr>
            </w:pPr>
          </w:p>
        </w:tc>
        <w:tc>
          <w:tcPr>
            <w:tcW w:w="1214" w:type="dxa"/>
            <w:vAlign w:val="center"/>
          </w:tcPr>
          <w:p w14:paraId="69FF98BA">
            <w:pPr>
              <w:jc w:val="center"/>
              <w:rPr>
                <w:rFonts w:ascii="宋体" w:hAnsi="宋体"/>
                <w:bCs/>
                <w:sz w:val="24"/>
                <w:szCs w:val="24"/>
              </w:rPr>
            </w:pPr>
          </w:p>
        </w:tc>
        <w:tc>
          <w:tcPr>
            <w:tcW w:w="1091" w:type="dxa"/>
            <w:vAlign w:val="center"/>
          </w:tcPr>
          <w:p w14:paraId="06609B7F">
            <w:pPr>
              <w:jc w:val="center"/>
              <w:rPr>
                <w:rFonts w:ascii="宋体" w:hAnsi="宋体"/>
                <w:bCs/>
                <w:sz w:val="24"/>
                <w:szCs w:val="24"/>
              </w:rPr>
            </w:pPr>
          </w:p>
        </w:tc>
        <w:tc>
          <w:tcPr>
            <w:tcW w:w="1821" w:type="dxa"/>
            <w:vAlign w:val="center"/>
          </w:tcPr>
          <w:p w14:paraId="7FCE7139">
            <w:pPr>
              <w:jc w:val="center"/>
              <w:rPr>
                <w:rFonts w:ascii="宋体" w:hAnsi="宋体"/>
                <w:bCs/>
                <w:sz w:val="24"/>
                <w:szCs w:val="24"/>
              </w:rPr>
            </w:pPr>
          </w:p>
        </w:tc>
      </w:tr>
      <w:tr w14:paraId="22B9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3F0AF7C2">
            <w:pPr>
              <w:jc w:val="center"/>
              <w:rPr>
                <w:rFonts w:ascii="宋体" w:hAnsi="宋体"/>
                <w:bCs/>
                <w:sz w:val="24"/>
                <w:szCs w:val="24"/>
              </w:rPr>
            </w:pPr>
            <w:r>
              <w:rPr>
                <w:rFonts w:hint="eastAsia" w:ascii="宋体" w:hAnsi="宋体"/>
                <w:bCs/>
                <w:sz w:val="24"/>
                <w:szCs w:val="24"/>
              </w:rPr>
              <w:t>3</w:t>
            </w:r>
          </w:p>
        </w:tc>
        <w:tc>
          <w:tcPr>
            <w:tcW w:w="4078" w:type="dxa"/>
            <w:vAlign w:val="center"/>
          </w:tcPr>
          <w:p w14:paraId="425BCBB3">
            <w:pPr>
              <w:jc w:val="center"/>
              <w:rPr>
                <w:rFonts w:ascii="宋体" w:hAnsi="宋体"/>
                <w:bCs/>
                <w:sz w:val="24"/>
                <w:szCs w:val="24"/>
              </w:rPr>
            </w:pPr>
          </w:p>
        </w:tc>
        <w:tc>
          <w:tcPr>
            <w:tcW w:w="1214" w:type="dxa"/>
            <w:vAlign w:val="center"/>
          </w:tcPr>
          <w:p w14:paraId="35EE9402">
            <w:pPr>
              <w:jc w:val="center"/>
              <w:rPr>
                <w:rFonts w:ascii="宋体" w:hAnsi="宋体"/>
                <w:bCs/>
                <w:sz w:val="24"/>
                <w:szCs w:val="24"/>
              </w:rPr>
            </w:pPr>
          </w:p>
        </w:tc>
        <w:tc>
          <w:tcPr>
            <w:tcW w:w="1091" w:type="dxa"/>
            <w:vAlign w:val="center"/>
          </w:tcPr>
          <w:p w14:paraId="3249F635">
            <w:pPr>
              <w:jc w:val="center"/>
              <w:rPr>
                <w:rFonts w:ascii="宋体" w:hAnsi="宋体"/>
                <w:bCs/>
                <w:sz w:val="24"/>
                <w:szCs w:val="24"/>
              </w:rPr>
            </w:pPr>
          </w:p>
        </w:tc>
        <w:tc>
          <w:tcPr>
            <w:tcW w:w="1821" w:type="dxa"/>
            <w:vAlign w:val="center"/>
          </w:tcPr>
          <w:p w14:paraId="3DEE09B6">
            <w:pPr>
              <w:jc w:val="center"/>
              <w:rPr>
                <w:rFonts w:ascii="宋体" w:hAnsi="宋体"/>
                <w:bCs/>
                <w:sz w:val="24"/>
                <w:szCs w:val="24"/>
              </w:rPr>
            </w:pPr>
          </w:p>
        </w:tc>
      </w:tr>
      <w:tr w14:paraId="5E9F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1553DA0F">
            <w:pPr>
              <w:jc w:val="center"/>
              <w:rPr>
                <w:rFonts w:ascii="宋体" w:hAnsi="宋体"/>
                <w:bCs/>
                <w:sz w:val="24"/>
                <w:szCs w:val="24"/>
              </w:rPr>
            </w:pPr>
            <w:r>
              <w:rPr>
                <w:rFonts w:ascii="宋体" w:hAnsi="宋体"/>
                <w:bCs/>
                <w:sz w:val="24"/>
                <w:szCs w:val="24"/>
              </w:rPr>
              <w:t>…</w:t>
            </w:r>
          </w:p>
        </w:tc>
        <w:tc>
          <w:tcPr>
            <w:tcW w:w="4078" w:type="dxa"/>
            <w:vAlign w:val="center"/>
          </w:tcPr>
          <w:p w14:paraId="123EFFF9">
            <w:pPr>
              <w:jc w:val="center"/>
              <w:rPr>
                <w:rFonts w:ascii="宋体" w:hAnsi="宋体"/>
                <w:bCs/>
                <w:sz w:val="24"/>
                <w:szCs w:val="24"/>
              </w:rPr>
            </w:pPr>
          </w:p>
        </w:tc>
        <w:tc>
          <w:tcPr>
            <w:tcW w:w="1214" w:type="dxa"/>
            <w:vAlign w:val="center"/>
          </w:tcPr>
          <w:p w14:paraId="37769E5B">
            <w:pPr>
              <w:jc w:val="center"/>
              <w:rPr>
                <w:rFonts w:ascii="宋体" w:hAnsi="宋体"/>
                <w:bCs/>
                <w:sz w:val="24"/>
                <w:szCs w:val="24"/>
              </w:rPr>
            </w:pPr>
          </w:p>
        </w:tc>
        <w:tc>
          <w:tcPr>
            <w:tcW w:w="1091" w:type="dxa"/>
            <w:vAlign w:val="center"/>
          </w:tcPr>
          <w:p w14:paraId="3A43E4FA">
            <w:pPr>
              <w:jc w:val="center"/>
              <w:rPr>
                <w:rFonts w:ascii="宋体" w:hAnsi="宋体"/>
                <w:bCs/>
                <w:sz w:val="24"/>
                <w:szCs w:val="24"/>
              </w:rPr>
            </w:pPr>
          </w:p>
        </w:tc>
        <w:tc>
          <w:tcPr>
            <w:tcW w:w="1821" w:type="dxa"/>
            <w:vAlign w:val="center"/>
          </w:tcPr>
          <w:p w14:paraId="685E6A50">
            <w:pPr>
              <w:jc w:val="center"/>
              <w:rPr>
                <w:rFonts w:ascii="宋体" w:hAnsi="宋体"/>
                <w:bCs/>
                <w:sz w:val="24"/>
                <w:szCs w:val="24"/>
              </w:rPr>
            </w:pPr>
          </w:p>
        </w:tc>
      </w:tr>
      <w:tr w14:paraId="0C6D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7F1383A7">
            <w:pPr>
              <w:jc w:val="center"/>
              <w:rPr>
                <w:rFonts w:ascii="宋体" w:hAnsi="宋体"/>
                <w:bCs/>
                <w:sz w:val="24"/>
                <w:szCs w:val="24"/>
              </w:rPr>
            </w:pPr>
          </w:p>
        </w:tc>
        <w:tc>
          <w:tcPr>
            <w:tcW w:w="4078" w:type="dxa"/>
            <w:vAlign w:val="center"/>
          </w:tcPr>
          <w:p w14:paraId="522C1C57">
            <w:pPr>
              <w:pStyle w:val="62"/>
              <w:ind w:left="-108"/>
              <w:jc w:val="center"/>
              <w:rPr>
                <w:rFonts w:ascii="宋体" w:hAnsi="宋体"/>
                <w:bCs/>
                <w:szCs w:val="24"/>
              </w:rPr>
            </w:pPr>
            <w:r>
              <w:rPr>
                <w:rFonts w:hint="eastAsia" w:ascii="宋体" w:hAnsi="宋体"/>
                <w:bCs/>
                <w:szCs w:val="24"/>
              </w:rPr>
              <w:t>其他费用</w:t>
            </w:r>
          </w:p>
        </w:tc>
        <w:tc>
          <w:tcPr>
            <w:tcW w:w="1214" w:type="dxa"/>
            <w:vAlign w:val="center"/>
          </w:tcPr>
          <w:p w14:paraId="0F64FF65">
            <w:pPr>
              <w:jc w:val="center"/>
              <w:rPr>
                <w:rFonts w:ascii="宋体" w:hAnsi="宋体"/>
                <w:bCs/>
                <w:sz w:val="24"/>
                <w:szCs w:val="24"/>
              </w:rPr>
            </w:pPr>
          </w:p>
        </w:tc>
        <w:tc>
          <w:tcPr>
            <w:tcW w:w="1091" w:type="dxa"/>
            <w:vAlign w:val="center"/>
          </w:tcPr>
          <w:p w14:paraId="6E48A29D">
            <w:pPr>
              <w:jc w:val="center"/>
              <w:rPr>
                <w:rFonts w:ascii="宋体" w:hAnsi="宋体"/>
                <w:bCs/>
                <w:sz w:val="24"/>
                <w:szCs w:val="24"/>
              </w:rPr>
            </w:pPr>
          </w:p>
        </w:tc>
        <w:tc>
          <w:tcPr>
            <w:tcW w:w="1821" w:type="dxa"/>
            <w:vAlign w:val="center"/>
          </w:tcPr>
          <w:p w14:paraId="49AF22A0">
            <w:pPr>
              <w:jc w:val="center"/>
              <w:rPr>
                <w:rFonts w:ascii="宋体" w:hAnsi="宋体"/>
                <w:bCs/>
                <w:sz w:val="24"/>
                <w:szCs w:val="24"/>
              </w:rPr>
            </w:pPr>
          </w:p>
        </w:tc>
      </w:tr>
      <w:tr w14:paraId="1667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3D79B6A6">
            <w:pPr>
              <w:jc w:val="center"/>
              <w:rPr>
                <w:rFonts w:ascii="宋体" w:hAnsi="宋体"/>
                <w:bCs/>
                <w:sz w:val="24"/>
                <w:szCs w:val="24"/>
              </w:rPr>
            </w:pPr>
          </w:p>
        </w:tc>
        <w:tc>
          <w:tcPr>
            <w:tcW w:w="4078" w:type="dxa"/>
            <w:vAlign w:val="center"/>
          </w:tcPr>
          <w:p w14:paraId="7E57ED4F">
            <w:pPr>
              <w:jc w:val="center"/>
              <w:rPr>
                <w:rFonts w:ascii="宋体" w:hAnsi="宋体"/>
                <w:bCs/>
                <w:sz w:val="24"/>
                <w:szCs w:val="24"/>
              </w:rPr>
            </w:pPr>
            <w:r>
              <w:rPr>
                <w:rFonts w:ascii="宋体" w:hAnsi="宋体"/>
                <w:bCs/>
                <w:sz w:val="24"/>
                <w:szCs w:val="24"/>
              </w:rPr>
              <w:t>……</w:t>
            </w:r>
          </w:p>
        </w:tc>
        <w:tc>
          <w:tcPr>
            <w:tcW w:w="1214" w:type="dxa"/>
            <w:vAlign w:val="center"/>
          </w:tcPr>
          <w:p w14:paraId="26D00787">
            <w:pPr>
              <w:jc w:val="center"/>
              <w:rPr>
                <w:rFonts w:ascii="宋体" w:hAnsi="宋体"/>
                <w:bCs/>
                <w:sz w:val="24"/>
                <w:szCs w:val="24"/>
              </w:rPr>
            </w:pPr>
          </w:p>
        </w:tc>
        <w:tc>
          <w:tcPr>
            <w:tcW w:w="1091" w:type="dxa"/>
            <w:vAlign w:val="center"/>
          </w:tcPr>
          <w:p w14:paraId="337513A8">
            <w:pPr>
              <w:jc w:val="center"/>
              <w:rPr>
                <w:rFonts w:ascii="宋体" w:hAnsi="宋体"/>
                <w:bCs/>
                <w:sz w:val="24"/>
                <w:szCs w:val="24"/>
              </w:rPr>
            </w:pPr>
          </w:p>
        </w:tc>
        <w:tc>
          <w:tcPr>
            <w:tcW w:w="1821" w:type="dxa"/>
            <w:vAlign w:val="center"/>
          </w:tcPr>
          <w:p w14:paraId="6C23B314">
            <w:pPr>
              <w:jc w:val="center"/>
              <w:rPr>
                <w:rFonts w:ascii="宋体" w:hAnsi="宋体"/>
                <w:bCs/>
                <w:sz w:val="24"/>
                <w:szCs w:val="24"/>
              </w:rPr>
            </w:pPr>
          </w:p>
        </w:tc>
      </w:tr>
      <w:tr w14:paraId="0DFA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23" w:type="dxa"/>
            <w:gridSpan w:val="4"/>
            <w:vAlign w:val="center"/>
          </w:tcPr>
          <w:p w14:paraId="68A96BDA">
            <w:pPr>
              <w:jc w:val="center"/>
              <w:rPr>
                <w:rFonts w:ascii="宋体" w:hAnsi="宋体"/>
                <w:bCs/>
                <w:sz w:val="24"/>
                <w:szCs w:val="24"/>
              </w:rPr>
            </w:pPr>
            <w:r>
              <w:rPr>
                <w:rFonts w:hint="eastAsia" w:ascii="宋体" w:hAnsi="宋体"/>
                <w:bCs/>
                <w:sz w:val="24"/>
                <w:szCs w:val="24"/>
              </w:rPr>
              <w:t>合计金额（元）</w:t>
            </w:r>
          </w:p>
        </w:tc>
        <w:tc>
          <w:tcPr>
            <w:tcW w:w="1821" w:type="dxa"/>
            <w:vAlign w:val="center"/>
          </w:tcPr>
          <w:p w14:paraId="6AA5A85B">
            <w:pPr>
              <w:jc w:val="center"/>
              <w:rPr>
                <w:rFonts w:ascii="宋体" w:hAnsi="宋体"/>
                <w:bCs/>
                <w:sz w:val="24"/>
                <w:szCs w:val="24"/>
              </w:rPr>
            </w:pPr>
          </w:p>
        </w:tc>
      </w:tr>
    </w:tbl>
    <w:p w14:paraId="781130E6">
      <w:pPr>
        <w:snapToGrid w:val="0"/>
        <w:spacing w:line="360" w:lineRule="auto"/>
        <w:rPr>
          <w:rFonts w:ascii="宋体" w:hAnsi="宋体"/>
          <w:bCs/>
          <w:sz w:val="24"/>
          <w:szCs w:val="24"/>
        </w:rPr>
      </w:pPr>
    </w:p>
    <w:p w14:paraId="6E286654">
      <w:pPr>
        <w:snapToGrid w:val="0"/>
        <w:spacing w:line="360" w:lineRule="auto"/>
        <w:rPr>
          <w:rFonts w:ascii="宋体" w:hAnsi="宋体"/>
          <w:bCs/>
          <w:sz w:val="24"/>
          <w:szCs w:val="24"/>
        </w:rPr>
      </w:pPr>
    </w:p>
    <w:p w14:paraId="27C3D745">
      <w:pPr>
        <w:spacing w:line="360" w:lineRule="auto"/>
        <w:ind w:right="480"/>
        <w:jc w:val="center"/>
        <w:rPr>
          <w:rFonts w:ascii="宋体" w:hAnsi="宋体"/>
          <w:b/>
          <w:bCs/>
          <w:sz w:val="24"/>
          <w:szCs w:val="24"/>
        </w:rPr>
      </w:pPr>
      <w:r>
        <w:rPr>
          <w:rFonts w:hint="eastAsia" w:ascii="宋体" w:hAnsi="宋体"/>
          <w:b/>
          <w:bCs/>
          <w:sz w:val="24"/>
          <w:szCs w:val="24"/>
        </w:rPr>
        <w:t xml:space="preserve">                            </w:t>
      </w:r>
    </w:p>
    <w:p w14:paraId="0A392996">
      <w:pPr>
        <w:spacing w:line="560" w:lineRule="exact"/>
        <w:ind w:right="480"/>
        <w:jc w:val="center"/>
        <w:rPr>
          <w:rFonts w:ascii="宋体" w:hAnsi="宋体"/>
          <w:b/>
          <w:bCs/>
          <w:sz w:val="24"/>
          <w:szCs w:val="24"/>
        </w:rPr>
      </w:pPr>
      <w:r>
        <w:rPr>
          <w:rFonts w:hint="eastAsia" w:ascii="宋体" w:hAnsi="宋体"/>
          <w:b/>
          <w:bCs/>
          <w:sz w:val="24"/>
          <w:szCs w:val="24"/>
        </w:rPr>
        <w:t xml:space="preserve">                              供应商电子签章：</w:t>
      </w:r>
    </w:p>
    <w:p w14:paraId="20C230A4">
      <w:pPr>
        <w:spacing w:line="560" w:lineRule="exact"/>
        <w:ind w:firstLine="4337" w:firstLineChars="1800"/>
        <w:jc w:val="center"/>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26F474E0">
      <w:pPr>
        <w:adjustRightInd w:val="0"/>
        <w:snapToGrid w:val="0"/>
        <w:spacing w:line="360" w:lineRule="auto"/>
        <w:rPr>
          <w:rFonts w:ascii="宋体" w:hAnsi="宋体"/>
          <w:b/>
          <w:sz w:val="24"/>
          <w:szCs w:val="24"/>
        </w:rPr>
      </w:pPr>
    </w:p>
    <w:p w14:paraId="35424B9C">
      <w:pPr>
        <w:adjustRightInd w:val="0"/>
        <w:snapToGrid w:val="0"/>
        <w:spacing w:line="360" w:lineRule="auto"/>
        <w:rPr>
          <w:rFonts w:ascii="宋体" w:hAnsi="宋体"/>
          <w:b/>
          <w:sz w:val="24"/>
          <w:szCs w:val="24"/>
        </w:rPr>
      </w:pPr>
    </w:p>
    <w:p w14:paraId="5DFF5F18">
      <w:pPr>
        <w:adjustRightInd w:val="0"/>
        <w:snapToGrid w:val="0"/>
        <w:spacing w:line="360" w:lineRule="auto"/>
        <w:rPr>
          <w:b/>
          <w:sz w:val="24"/>
          <w:szCs w:val="24"/>
        </w:rPr>
      </w:pPr>
      <w:r>
        <w:rPr>
          <w:rFonts w:hint="eastAsia" w:ascii="宋体" w:hAnsi="宋体"/>
          <w:b/>
          <w:sz w:val="24"/>
          <w:szCs w:val="24"/>
        </w:rPr>
        <w:t>注：表中所列服务为对应本项目需求的全部服务内容。如有漏项或缺项，投标供应商承担全部责任。</w:t>
      </w:r>
    </w:p>
    <w:p w14:paraId="6DAC09E4">
      <w:pPr>
        <w:spacing w:line="360" w:lineRule="auto"/>
        <w:rPr>
          <w:sz w:val="24"/>
          <w:szCs w:val="24"/>
        </w:rPr>
      </w:pPr>
    </w:p>
    <w:p w14:paraId="36A12CD6">
      <w:pPr>
        <w:spacing w:line="360" w:lineRule="auto"/>
        <w:rPr>
          <w:sz w:val="24"/>
          <w:szCs w:val="24"/>
        </w:rPr>
      </w:pPr>
    </w:p>
    <w:p w14:paraId="7D6007D7">
      <w:pPr>
        <w:spacing w:line="360" w:lineRule="auto"/>
        <w:rPr>
          <w:sz w:val="24"/>
          <w:szCs w:val="24"/>
        </w:rPr>
      </w:pPr>
    </w:p>
    <w:p w14:paraId="123601E7">
      <w:pPr>
        <w:spacing w:line="360" w:lineRule="auto"/>
        <w:rPr>
          <w:sz w:val="24"/>
          <w:szCs w:val="24"/>
        </w:rPr>
      </w:pPr>
    </w:p>
    <w:p w14:paraId="0B103682">
      <w:pPr>
        <w:spacing w:line="360" w:lineRule="auto"/>
        <w:rPr>
          <w:sz w:val="24"/>
          <w:szCs w:val="24"/>
        </w:rPr>
      </w:pPr>
    </w:p>
    <w:p w14:paraId="6242388E">
      <w:pPr>
        <w:spacing w:line="360" w:lineRule="auto"/>
        <w:rPr>
          <w:sz w:val="24"/>
          <w:szCs w:val="24"/>
        </w:rPr>
      </w:pPr>
    </w:p>
    <w:p w14:paraId="61926871">
      <w:pPr>
        <w:spacing w:line="360" w:lineRule="auto"/>
        <w:rPr>
          <w:sz w:val="24"/>
          <w:szCs w:val="24"/>
        </w:rPr>
      </w:pPr>
    </w:p>
    <w:p w14:paraId="0D76BDE7">
      <w:pPr>
        <w:jc w:val="left"/>
        <w:rPr>
          <w:rFonts w:ascii="宋体" w:hAnsi="宋体"/>
          <w:b/>
          <w:sz w:val="32"/>
          <w:szCs w:val="32"/>
        </w:rPr>
      </w:pPr>
      <w:r>
        <w:rPr>
          <w:rFonts w:hint="eastAsia" w:ascii="宋体" w:hAnsi="宋体"/>
          <w:b/>
          <w:sz w:val="32"/>
          <w:szCs w:val="32"/>
        </w:rPr>
        <w:br w:type="page"/>
      </w:r>
    </w:p>
    <w:p w14:paraId="59BE2C3C">
      <w:pPr>
        <w:pStyle w:val="3"/>
        <w:spacing w:before="0" w:after="0" w:line="560" w:lineRule="exact"/>
        <w:rPr>
          <w:rFonts w:ascii="宋体" w:hAnsi="宋体" w:eastAsia="宋体" w:cs="宋体"/>
          <w:sz w:val="24"/>
          <w:szCs w:val="24"/>
        </w:rPr>
      </w:pPr>
      <w:bookmarkStart w:id="116" w:name="_Toc9164"/>
      <w:r>
        <w:rPr>
          <w:rFonts w:hint="eastAsia" w:ascii="宋体" w:hAnsi="宋体" w:eastAsia="宋体" w:cs="宋体"/>
          <w:sz w:val="24"/>
          <w:szCs w:val="24"/>
        </w:rPr>
        <w:t>附件二</w:t>
      </w:r>
      <w:bookmarkEnd w:id="116"/>
    </w:p>
    <w:p w14:paraId="222E2322">
      <w:pPr>
        <w:pStyle w:val="3"/>
        <w:spacing w:before="0" w:after="0" w:line="560" w:lineRule="exact"/>
        <w:jc w:val="center"/>
        <w:rPr>
          <w:rFonts w:ascii="宋体" w:hAnsi="宋体" w:eastAsia="宋体" w:cs="宋体"/>
          <w:sz w:val="24"/>
          <w:szCs w:val="24"/>
        </w:rPr>
      </w:pPr>
      <w:bookmarkStart w:id="117" w:name="_Toc17280"/>
      <w:bookmarkStart w:id="118" w:name="_Toc4686"/>
      <w:bookmarkStart w:id="119" w:name="_Toc20406"/>
      <w:r>
        <w:rPr>
          <w:rFonts w:hint="eastAsia" w:ascii="宋体" w:hAnsi="宋体" w:eastAsia="宋体" w:cs="宋体"/>
          <w:sz w:val="24"/>
          <w:szCs w:val="24"/>
        </w:rPr>
        <w:t>供应商基本信息</w:t>
      </w:r>
      <w:bookmarkEnd w:id="117"/>
      <w:bookmarkEnd w:id="118"/>
      <w:bookmarkEnd w:id="119"/>
    </w:p>
    <w:p w14:paraId="6D8F57E1">
      <w:pPr>
        <w:spacing w:line="360" w:lineRule="auto"/>
        <w:jc w:val="center"/>
      </w:pPr>
      <w:r>
        <w:rPr>
          <w:rFonts w:hint="eastAsia"/>
          <w:sz w:val="24"/>
          <w:szCs w:val="24"/>
        </w:rPr>
        <w:t>（</w:t>
      </w:r>
      <w:r>
        <w:rPr>
          <w:rFonts w:hint="eastAsia"/>
          <w:sz w:val="24"/>
          <w:szCs w:val="24"/>
          <w:lang w:eastAsia="zh-CN"/>
        </w:rPr>
        <w:t>营业执照等相关材料</w:t>
      </w:r>
      <w:r>
        <w:rPr>
          <w:rFonts w:hint="eastAsia"/>
          <w:sz w:val="24"/>
          <w:szCs w:val="24"/>
        </w:rPr>
        <w:t>）</w:t>
      </w:r>
    </w:p>
    <w:p w14:paraId="5C549F2F">
      <w:pPr>
        <w:pStyle w:val="3"/>
        <w:spacing w:before="0" w:after="0" w:line="560" w:lineRule="exact"/>
        <w:rPr>
          <w:rFonts w:ascii="宋体" w:hAnsi="宋体" w:eastAsia="宋体" w:cs="宋体"/>
          <w:sz w:val="24"/>
          <w:szCs w:val="24"/>
        </w:rPr>
      </w:pPr>
      <w:bookmarkStart w:id="120" w:name="_Toc18794"/>
      <w:r>
        <w:rPr>
          <w:rFonts w:hint="eastAsia" w:ascii="宋体" w:hAnsi="宋体" w:eastAsia="宋体" w:cs="宋体"/>
          <w:sz w:val="24"/>
          <w:szCs w:val="24"/>
        </w:rPr>
        <w:t>附件三</w:t>
      </w:r>
      <w:bookmarkEnd w:id="120"/>
    </w:p>
    <w:p w14:paraId="7EFCF1F6">
      <w:pPr>
        <w:pStyle w:val="3"/>
        <w:spacing w:before="0" w:after="0" w:line="560" w:lineRule="exact"/>
        <w:jc w:val="center"/>
        <w:rPr>
          <w:rFonts w:ascii="宋体" w:hAnsi="宋体" w:eastAsia="宋体" w:cs="宋体"/>
          <w:sz w:val="24"/>
          <w:szCs w:val="24"/>
        </w:rPr>
      </w:pPr>
      <w:bookmarkStart w:id="121" w:name="_Toc2697"/>
      <w:bookmarkStart w:id="122" w:name="_Toc10696"/>
      <w:bookmarkStart w:id="123" w:name="_Toc25318"/>
      <w:r>
        <w:rPr>
          <w:rFonts w:hint="eastAsia" w:ascii="宋体" w:hAnsi="宋体" w:eastAsia="宋体" w:cs="宋体"/>
          <w:sz w:val="24"/>
          <w:szCs w:val="24"/>
        </w:rPr>
        <w:t>谈判授权书</w:t>
      </w:r>
      <w:bookmarkEnd w:id="121"/>
      <w:bookmarkEnd w:id="122"/>
      <w:bookmarkEnd w:id="123"/>
    </w:p>
    <w:p w14:paraId="39A79380">
      <w:pPr>
        <w:rPr>
          <w:rFonts w:ascii="宋体" w:hAnsi="宋体"/>
          <w:sz w:val="24"/>
          <w:szCs w:val="24"/>
        </w:rPr>
      </w:pPr>
    </w:p>
    <w:p w14:paraId="57FCB6E4">
      <w:pPr>
        <w:spacing w:line="480" w:lineRule="auto"/>
        <w:jc w:val="left"/>
        <w:rPr>
          <w:rFonts w:ascii="宋体" w:hAnsi="宋体"/>
          <w:sz w:val="24"/>
          <w:szCs w:val="24"/>
        </w:rPr>
      </w:pPr>
      <w:r>
        <w:rPr>
          <w:rFonts w:hint="eastAsia" w:ascii="宋体" w:hAnsi="宋体"/>
          <w:sz w:val="24"/>
          <w:szCs w:val="24"/>
        </w:rPr>
        <w:t>致：_________________</w:t>
      </w:r>
    </w:p>
    <w:p w14:paraId="528F78B5">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14:paraId="6F2EDD8D">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61102428">
      <w:pPr>
        <w:spacing w:line="360" w:lineRule="auto"/>
        <w:jc w:val="left"/>
        <w:rPr>
          <w:rFonts w:ascii="宋体" w:hAnsi="宋体"/>
          <w:sz w:val="24"/>
          <w:szCs w:val="24"/>
        </w:rPr>
      </w:pPr>
    </w:p>
    <w:p w14:paraId="0752DE81">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b/>
          <w:bCs/>
          <w:sz w:val="24"/>
          <w:szCs w:val="24"/>
          <w:lang w:eastAsia="zh-CN"/>
        </w:rPr>
        <w:t>或盖章</w:t>
      </w:r>
      <w:r>
        <w:rPr>
          <w:rFonts w:hint="eastAsia" w:ascii="宋体" w:hAnsi="宋体"/>
          <w:b/>
          <w:bCs/>
          <w:sz w:val="24"/>
          <w:szCs w:val="24"/>
        </w:rPr>
        <w:t>：</w:t>
      </w:r>
      <w:r>
        <w:rPr>
          <w:rFonts w:hint="eastAsia" w:ascii="宋体" w:hAnsi="宋体"/>
          <w:sz w:val="24"/>
          <w:szCs w:val="24"/>
          <w:u w:val="single"/>
        </w:rPr>
        <w:t xml:space="preserve">                            </w:t>
      </w:r>
    </w:p>
    <w:p w14:paraId="2D91A3F6">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061B7D54">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A97A40D">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27894604">
      <w:pPr>
        <w:spacing w:line="360" w:lineRule="auto"/>
        <w:ind w:firstLine="1084" w:firstLineChars="450"/>
        <w:jc w:val="left"/>
        <w:rPr>
          <w:rFonts w:ascii="宋体" w:hAnsi="宋体"/>
          <w:b/>
          <w:bCs/>
          <w:sz w:val="24"/>
          <w:szCs w:val="24"/>
        </w:rPr>
      </w:pPr>
    </w:p>
    <w:p w14:paraId="1BBFCFCD">
      <w:pPr>
        <w:spacing w:line="360" w:lineRule="auto"/>
        <w:ind w:firstLine="1084" w:firstLineChars="450"/>
        <w:jc w:val="left"/>
        <w:rPr>
          <w:rFonts w:ascii="宋体" w:hAnsi="宋体"/>
          <w:sz w:val="24"/>
          <w:szCs w:val="24"/>
        </w:rPr>
      </w:pPr>
      <w:r>
        <w:rPr>
          <w:rFonts w:hint="eastAsia" w:ascii="宋体" w:hAnsi="宋体"/>
          <w:b/>
          <w:bCs/>
          <w:sz w:val="24"/>
          <w:szCs w:val="24"/>
        </w:rPr>
        <w:t>代理人（被授权人）签字</w:t>
      </w:r>
      <w:r>
        <w:rPr>
          <w:rFonts w:hint="eastAsia" w:ascii="宋体" w:hAnsi="宋体"/>
          <w:b/>
          <w:bCs/>
          <w:sz w:val="24"/>
          <w:szCs w:val="24"/>
          <w:lang w:eastAsia="zh-CN"/>
        </w:rPr>
        <w:t>或盖章</w:t>
      </w:r>
      <w:r>
        <w:rPr>
          <w:rFonts w:hint="eastAsia" w:ascii="宋体" w:hAnsi="宋体"/>
          <w:b/>
          <w:bCs/>
          <w:sz w:val="24"/>
          <w:szCs w:val="24"/>
        </w:rPr>
        <w:t>：</w:t>
      </w:r>
      <w:r>
        <w:rPr>
          <w:rFonts w:hint="eastAsia" w:ascii="宋体" w:hAnsi="宋体"/>
          <w:sz w:val="24"/>
          <w:szCs w:val="24"/>
          <w:u w:val="single"/>
        </w:rPr>
        <w:t xml:space="preserve">                     </w:t>
      </w:r>
    </w:p>
    <w:p w14:paraId="2D87CEB2">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46E6074">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5813B09">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50783EE7">
      <w:pPr>
        <w:spacing w:line="360" w:lineRule="auto"/>
        <w:jc w:val="left"/>
        <w:rPr>
          <w:rFonts w:ascii="宋体" w:hAnsi="宋体"/>
          <w:sz w:val="24"/>
          <w:szCs w:val="24"/>
        </w:rPr>
      </w:pPr>
    </w:p>
    <w:p w14:paraId="33424774">
      <w:pPr>
        <w:wordWrap w:val="0"/>
        <w:spacing w:line="360" w:lineRule="auto"/>
        <w:jc w:val="right"/>
        <w:rPr>
          <w:rFonts w:ascii="宋体" w:hAnsi="宋体"/>
          <w:sz w:val="24"/>
          <w:szCs w:val="24"/>
        </w:rPr>
      </w:pPr>
      <w:r>
        <w:rPr>
          <w:rFonts w:hint="eastAsia" w:ascii="宋体" w:hAnsi="宋体"/>
          <w:sz w:val="24"/>
          <w:szCs w:val="24"/>
        </w:rPr>
        <w:t xml:space="preserve">                                                      </w:t>
      </w:r>
    </w:p>
    <w:p w14:paraId="52100E7F">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cs="宋体"/>
          <w:b/>
          <w:bCs/>
          <w:sz w:val="24"/>
          <w:szCs w:val="24"/>
        </w:rPr>
        <w:t>盖章</w:t>
      </w:r>
      <w:r>
        <w:rPr>
          <w:rFonts w:hint="eastAsia" w:ascii="宋体" w:hAnsi="宋体"/>
          <w:b/>
          <w:bCs/>
          <w:sz w:val="24"/>
          <w:szCs w:val="24"/>
        </w:rPr>
        <w:t>：</w:t>
      </w:r>
    </w:p>
    <w:p w14:paraId="1CF9939E">
      <w:pPr>
        <w:tabs>
          <w:tab w:val="left" w:pos="630"/>
        </w:tabs>
        <w:spacing w:line="360" w:lineRule="auto"/>
        <w:ind w:firstLine="4245" w:firstLineChars="1762"/>
        <w:rPr>
          <w:rFonts w:hint="eastAsia" w:ascii="宋体" w:hAnsi="宋体"/>
          <w:b/>
          <w:bCs/>
          <w:sz w:val="24"/>
          <w:szCs w:val="24"/>
        </w:rPr>
      </w:pPr>
      <w:r>
        <w:rPr>
          <w:rFonts w:hint="eastAsia" w:ascii="宋体" w:hAnsi="宋体"/>
          <w:b/>
          <w:bCs/>
          <w:sz w:val="24"/>
          <w:szCs w:val="24"/>
        </w:rPr>
        <w:t>日期：</w:t>
      </w:r>
    </w:p>
    <w:p w14:paraId="2370F6F3">
      <w:pPr>
        <w:pStyle w:val="28"/>
        <w:rPr>
          <w:rFonts w:hint="eastAsia" w:ascii="宋体" w:hAnsi="宋体"/>
          <w:b/>
          <w:bCs/>
          <w:sz w:val="24"/>
          <w:szCs w:val="24"/>
        </w:rPr>
      </w:pPr>
    </w:p>
    <w:p w14:paraId="3D053715">
      <w:pPr>
        <w:pStyle w:val="28"/>
        <w:rPr>
          <w:rFonts w:hint="eastAsia" w:ascii="宋体" w:hAnsi="宋体"/>
          <w:b/>
          <w:bCs/>
          <w:sz w:val="24"/>
          <w:szCs w:val="24"/>
        </w:rPr>
        <w:sectPr>
          <w:headerReference r:id="rId7" w:type="default"/>
          <w:footerReference r:id="rId9" w:type="default"/>
          <w:headerReference r:id="rId8" w:type="even"/>
          <w:footerReference r:id="rId10" w:type="even"/>
          <w:pgSz w:w="11906" w:h="16838"/>
          <w:pgMar w:top="1440" w:right="1531" w:bottom="1440" w:left="1531" w:header="851" w:footer="992" w:gutter="0"/>
          <w:pgNumType w:fmt="decimal"/>
          <w:cols w:space="425" w:num="1"/>
          <w:docGrid w:type="lines" w:linePitch="312" w:charSpace="0"/>
        </w:sectPr>
      </w:pPr>
    </w:p>
    <w:p w14:paraId="66170475">
      <w:pPr>
        <w:spacing w:line="360" w:lineRule="auto"/>
        <w:rPr>
          <w:rFonts w:ascii="宋体" w:hAnsi="宋体" w:cs="宋体"/>
          <w:b/>
          <w:sz w:val="24"/>
          <w:szCs w:val="24"/>
        </w:rPr>
      </w:pPr>
      <w:r>
        <w:rPr>
          <w:rFonts w:hint="eastAsia" w:ascii="宋体" w:hAnsi="宋体" w:cs="宋体"/>
          <w:b/>
          <w:sz w:val="24"/>
          <w:szCs w:val="24"/>
        </w:rPr>
        <w:t>法定代表人身份证复印件</w:t>
      </w:r>
    </w:p>
    <w:tbl>
      <w:tblPr>
        <w:tblStyle w:val="35"/>
        <w:tblW w:w="7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7FAD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14:paraId="6214F4CF">
            <w:pPr>
              <w:spacing w:line="240" w:lineRule="atLeast"/>
              <w:rPr>
                <w:rFonts w:ascii="宋体" w:hAnsi="宋体" w:cs="宋体"/>
                <w:b/>
                <w:sz w:val="24"/>
                <w:szCs w:val="24"/>
              </w:rPr>
            </w:pPr>
          </w:p>
          <w:p w14:paraId="2658456A">
            <w:pPr>
              <w:spacing w:line="240" w:lineRule="atLeast"/>
              <w:rPr>
                <w:rFonts w:ascii="宋体" w:hAnsi="宋体" w:cs="宋体"/>
                <w:b/>
                <w:sz w:val="24"/>
                <w:szCs w:val="24"/>
              </w:rPr>
            </w:pPr>
            <w:r>
              <w:rPr>
                <w:rFonts w:hint="eastAsia" w:ascii="宋体" w:hAnsi="宋体" w:cs="宋体"/>
                <w:b/>
                <w:sz w:val="24"/>
                <w:szCs w:val="24"/>
              </w:rPr>
              <w:t>此处贴法人代表身份证正面</w:t>
            </w:r>
          </w:p>
          <w:p w14:paraId="02127355">
            <w:pPr>
              <w:spacing w:line="240" w:lineRule="atLeast"/>
              <w:rPr>
                <w:rFonts w:ascii="宋体" w:hAnsi="宋体" w:cs="宋体"/>
                <w:b/>
                <w:sz w:val="24"/>
                <w:szCs w:val="24"/>
              </w:rPr>
            </w:pPr>
          </w:p>
          <w:p w14:paraId="0E28B778">
            <w:pPr>
              <w:spacing w:line="240" w:lineRule="atLeast"/>
              <w:rPr>
                <w:rFonts w:ascii="宋体" w:hAnsi="宋体" w:cs="宋体"/>
                <w:b/>
                <w:sz w:val="24"/>
                <w:szCs w:val="24"/>
              </w:rPr>
            </w:pPr>
          </w:p>
          <w:p w14:paraId="55BA763D">
            <w:pPr>
              <w:spacing w:line="240" w:lineRule="atLeast"/>
              <w:rPr>
                <w:rFonts w:ascii="宋体" w:hAnsi="宋体" w:cs="宋体"/>
                <w:b/>
                <w:sz w:val="24"/>
                <w:szCs w:val="24"/>
              </w:rPr>
            </w:pPr>
          </w:p>
        </w:tc>
      </w:tr>
    </w:tbl>
    <w:p w14:paraId="0BDCACBD">
      <w:pPr>
        <w:spacing w:line="240" w:lineRule="atLeast"/>
        <w:rPr>
          <w:rFonts w:ascii="宋体" w:hAnsi="宋体" w:cs="宋体"/>
          <w:b/>
          <w:sz w:val="24"/>
          <w:szCs w:val="24"/>
        </w:rPr>
      </w:pPr>
    </w:p>
    <w:tbl>
      <w:tblPr>
        <w:tblStyle w:val="35"/>
        <w:tblW w:w="7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2BAB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14:paraId="12655779">
            <w:pPr>
              <w:spacing w:line="240" w:lineRule="atLeast"/>
              <w:rPr>
                <w:rFonts w:ascii="宋体" w:hAnsi="宋体" w:cs="宋体"/>
                <w:b/>
                <w:sz w:val="24"/>
                <w:szCs w:val="24"/>
              </w:rPr>
            </w:pPr>
          </w:p>
          <w:p w14:paraId="7686443C">
            <w:pPr>
              <w:spacing w:line="240" w:lineRule="atLeast"/>
              <w:rPr>
                <w:rFonts w:ascii="宋体" w:hAnsi="宋体" w:cs="宋体"/>
                <w:b/>
                <w:sz w:val="24"/>
                <w:szCs w:val="24"/>
              </w:rPr>
            </w:pPr>
            <w:r>
              <w:rPr>
                <w:rFonts w:hint="eastAsia" w:ascii="宋体" w:hAnsi="宋体" w:cs="宋体"/>
                <w:b/>
                <w:sz w:val="24"/>
                <w:szCs w:val="24"/>
              </w:rPr>
              <w:t>此处贴法人代表身份证背面</w:t>
            </w:r>
          </w:p>
          <w:p w14:paraId="3F5A1092">
            <w:pPr>
              <w:spacing w:line="240" w:lineRule="atLeast"/>
              <w:rPr>
                <w:rFonts w:ascii="宋体" w:hAnsi="宋体" w:cs="宋体"/>
                <w:b/>
                <w:sz w:val="24"/>
                <w:szCs w:val="24"/>
              </w:rPr>
            </w:pPr>
          </w:p>
          <w:p w14:paraId="6C818FC3">
            <w:pPr>
              <w:spacing w:line="240" w:lineRule="atLeast"/>
              <w:rPr>
                <w:rFonts w:ascii="宋体" w:hAnsi="宋体" w:cs="宋体"/>
                <w:b/>
                <w:sz w:val="24"/>
                <w:szCs w:val="24"/>
              </w:rPr>
            </w:pPr>
          </w:p>
          <w:p w14:paraId="799B9357">
            <w:pPr>
              <w:spacing w:line="240" w:lineRule="atLeast"/>
              <w:rPr>
                <w:rFonts w:ascii="宋体" w:hAnsi="宋体" w:cs="宋体"/>
                <w:b/>
                <w:sz w:val="24"/>
                <w:szCs w:val="24"/>
              </w:rPr>
            </w:pPr>
          </w:p>
          <w:p w14:paraId="2577799D">
            <w:pPr>
              <w:spacing w:line="240" w:lineRule="atLeast"/>
              <w:rPr>
                <w:rFonts w:ascii="宋体" w:hAnsi="宋体" w:cs="宋体"/>
                <w:b/>
                <w:sz w:val="24"/>
                <w:szCs w:val="24"/>
              </w:rPr>
            </w:pPr>
          </w:p>
        </w:tc>
      </w:tr>
    </w:tbl>
    <w:p w14:paraId="52DE7CC8">
      <w:pPr>
        <w:spacing w:line="240" w:lineRule="atLeast"/>
        <w:rPr>
          <w:rFonts w:ascii="宋体" w:hAnsi="宋体" w:cs="宋体"/>
          <w:b/>
          <w:sz w:val="24"/>
          <w:szCs w:val="24"/>
        </w:rPr>
      </w:pPr>
    </w:p>
    <w:p w14:paraId="341F749C">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14:paraId="2F1A2796">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14:paraId="037C70A0">
      <w:pPr>
        <w:spacing w:line="360" w:lineRule="auto"/>
        <w:rPr>
          <w:rFonts w:ascii="宋体" w:hAnsi="宋体" w:cs="宋体"/>
          <w:b/>
          <w:sz w:val="24"/>
          <w:szCs w:val="24"/>
        </w:rPr>
      </w:pPr>
    </w:p>
    <w:p w14:paraId="65115B78">
      <w:pPr>
        <w:pStyle w:val="28"/>
        <w:rPr>
          <w:rFonts w:ascii="宋体" w:hAnsi="宋体" w:cs="宋体"/>
          <w:sz w:val="24"/>
          <w:szCs w:val="24"/>
        </w:rPr>
      </w:pPr>
    </w:p>
    <w:p w14:paraId="3FE67280">
      <w:pPr>
        <w:pStyle w:val="28"/>
        <w:rPr>
          <w:rFonts w:ascii="宋体" w:hAnsi="宋体" w:cs="宋体"/>
          <w:sz w:val="24"/>
          <w:szCs w:val="24"/>
        </w:rPr>
      </w:pPr>
    </w:p>
    <w:p w14:paraId="345D40FA">
      <w:pPr>
        <w:rPr>
          <w:rFonts w:ascii="宋体" w:hAnsi="宋体" w:cs="宋体"/>
          <w:sz w:val="24"/>
          <w:szCs w:val="24"/>
        </w:rPr>
      </w:pPr>
    </w:p>
    <w:p w14:paraId="75081A98">
      <w:pPr>
        <w:rPr>
          <w:rFonts w:ascii="宋体" w:hAnsi="宋体" w:cs="宋体"/>
          <w:sz w:val="24"/>
          <w:szCs w:val="24"/>
        </w:rPr>
      </w:pPr>
    </w:p>
    <w:p w14:paraId="402056D3">
      <w:pPr>
        <w:rPr>
          <w:rFonts w:ascii="宋体" w:hAnsi="宋体" w:cs="宋体"/>
          <w:sz w:val="24"/>
          <w:szCs w:val="24"/>
        </w:rPr>
      </w:pPr>
    </w:p>
    <w:p w14:paraId="6A24531E">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0DF7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14:paraId="69CEE8D7">
            <w:pPr>
              <w:spacing w:line="240" w:lineRule="atLeast"/>
              <w:rPr>
                <w:rFonts w:ascii="宋体" w:hAnsi="宋体" w:cs="宋体"/>
                <w:b/>
                <w:sz w:val="24"/>
                <w:szCs w:val="24"/>
              </w:rPr>
            </w:pPr>
          </w:p>
          <w:p w14:paraId="51516B6E">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14:paraId="4A5D4A19">
            <w:pPr>
              <w:spacing w:line="240" w:lineRule="atLeast"/>
              <w:rPr>
                <w:rFonts w:ascii="宋体" w:hAnsi="宋体" w:cs="宋体"/>
                <w:b/>
                <w:sz w:val="24"/>
                <w:szCs w:val="24"/>
              </w:rPr>
            </w:pPr>
          </w:p>
          <w:p w14:paraId="049D4A66">
            <w:pPr>
              <w:spacing w:line="240" w:lineRule="atLeast"/>
              <w:rPr>
                <w:rFonts w:ascii="宋体" w:hAnsi="宋体" w:cs="宋体"/>
                <w:b/>
                <w:sz w:val="24"/>
                <w:szCs w:val="24"/>
              </w:rPr>
            </w:pPr>
          </w:p>
          <w:p w14:paraId="12D954FC">
            <w:pPr>
              <w:spacing w:line="240" w:lineRule="atLeast"/>
              <w:rPr>
                <w:rFonts w:ascii="宋体" w:hAnsi="宋体" w:cs="宋体"/>
                <w:b/>
                <w:sz w:val="24"/>
                <w:szCs w:val="24"/>
              </w:rPr>
            </w:pPr>
          </w:p>
        </w:tc>
      </w:tr>
    </w:tbl>
    <w:p w14:paraId="16EDFDCA">
      <w:pPr>
        <w:spacing w:line="240" w:lineRule="atLeast"/>
        <w:rPr>
          <w:rFonts w:ascii="宋体" w:hAnsi="宋体" w:cs="宋体"/>
          <w:b/>
          <w:sz w:val="24"/>
          <w:szCs w:val="24"/>
        </w:rPr>
      </w:pP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5251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14:paraId="3A3A3DEE">
            <w:pPr>
              <w:spacing w:line="240" w:lineRule="atLeast"/>
              <w:rPr>
                <w:rFonts w:ascii="宋体" w:hAnsi="宋体" w:cs="宋体"/>
                <w:b/>
                <w:sz w:val="24"/>
                <w:szCs w:val="24"/>
              </w:rPr>
            </w:pPr>
          </w:p>
          <w:p w14:paraId="630A24AB">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14:paraId="11D2B89D">
            <w:pPr>
              <w:spacing w:line="240" w:lineRule="atLeast"/>
              <w:rPr>
                <w:rFonts w:ascii="宋体" w:hAnsi="宋体" w:cs="宋体"/>
                <w:b/>
                <w:sz w:val="24"/>
                <w:szCs w:val="24"/>
              </w:rPr>
            </w:pPr>
          </w:p>
          <w:p w14:paraId="7BEA1ADC">
            <w:pPr>
              <w:spacing w:line="240" w:lineRule="atLeast"/>
              <w:rPr>
                <w:rFonts w:ascii="宋体" w:hAnsi="宋体" w:cs="宋体"/>
                <w:b/>
                <w:sz w:val="24"/>
                <w:szCs w:val="24"/>
              </w:rPr>
            </w:pPr>
          </w:p>
          <w:p w14:paraId="755B423D">
            <w:pPr>
              <w:spacing w:line="240" w:lineRule="atLeast"/>
              <w:rPr>
                <w:rFonts w:ascii="宋体" w:hAnsi="宋体" w:cs="宋体"/>
                <w:b/>
                <w:sz w:val="24"/>
                <w:szCs w:val="24"/>
              </w:rPr>
            </w:pPr>
          </w:p>
        </w:tc>
      </w:tr>
    </w:tbl>
    <w:p w14:paraId="0BEB33EE">
      <w:pPr>
        <w:spacing w:line="240" w:lineRule="atLeast"/>
        <w:rPr>
          <w:rFonts w:ascii="宋体" w:hAnsi="宋体" w:cs="宋体"/>
          <w:b/>
          <w:sz w:val="24"/>
          <w:szCs w:val="24"/>
        </w:rPr>
      </w:pPr>
    </w:p>
    <w:p w14:paraId="41DA800B">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14:paraId="2E18AEB7">
      <w:pPr>
        <w:spacing w:line="360" w:lineRule="auto"/>
        <w:ind w:firstLine="482" w:firstLineChars="200"/>
        <w:rPr>
          <w:rFonts w:ascii="宋体" w:hAnsi="宋体" w:cs="宋体"/>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14:paraId="1678E96C">
      <w:pPr>
        <w:spacing w:line="360" w:lineRule="auto"/>
        <w:rPr>
          <w:rFonts w:ascii="宋体" w:hAnsi="宋体" w:cs="宋体"/>
          <w:b/>
          <w:sz w:val="24"/>
          <w:szCs w:val="24"/>
        </w:rPr>
      </w:pPr>
      <w:r>
        <w:rPr>
          <w:rFonts w:hint="eastAsia" w:ascii="宋体" w:hAnsi="宋体" w:cs="宋体"/>
          <w:b/>
          <w:sz w:val="24"/>
          <w:szCs w:val="24"/>
        </w:rPr>
        <w:t>特殊说明：</w:t>
      </w:r>
    </w:p>
    <w:p w14:paraId="5BB99A83">
      <w:pPr>
        <w:spacing w:line="360" w:lineRule="auto"/>
        <w:rPr>
          <w:rFonts w:ascii="宋体" w:hAnsi="宋体" w:cs="宋体"/>
          <w:b/>
          <w:sz w:val="24"/>
          <w:szCs w:val="24"/>
        </w:rPr>
      </w:pPr>
      <w:r>
        <w:rPr>
          <w:rFonts w:hint="eastAsia" w:ascii="宋体" w:hAnsi="宋体" w:cs="宋体"/>
          <w:b/>
          <w:sz w:val="24"/>
          <w:szCs w:val="24"/>
        </w:rPr>
        <w:t>1、上述身份证复印件必须清晰；</w:t>
      </w:r>
    </w:p>
    <w:p w14:paraId="07CB7F11">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14:paraId="7F47931F">
      <w:pPr>
        <w:pStyle w:val="28"/>
        <w:rPr>
          <w:rFonts w:hint="eastAsia" w:ascii="宋体" w:hAnsi="宋体"/>
          <w:b/>
          <w:bCs/>
          <w:sz w:val="24"/>
          <w:szCs w:val="24"/>
        </w:rPr>
        <w:sectPr>
          <w:pgSz w:w="11906" w:h="16838"/>
          <w:pgMar w:top="1440" w:right="1531" w:bottom="1440" w:left="1531" w:header="851" w:footer="992" w:gutter="0"/>
          <w:pgNumType w:fmt="decimal"/>
          <w:cols w:space="425" w:num="1"/>
          <w:docGrid w:type="lines" w:linePitch="312" w:charSpace="0"/>
        </w:sectPr>
      </w:pPr>
    </w:p>
    <w:p w14:paraId="7C4DD901">
      <w:pPr>
        <w:pStyle w:val="3"/>
        <w:spacing w:before="0" w:after="0" w:line="560" w:lineRule="exact"/>
        <w:rPr>
          <w:rFonts w:ascii="宋体" w:hAnsi="宋体" w:eastAsia="宋体" w:cs="宋体"/>
          <w:sz w:val="24"/>
          <w:szCs w:val="24"/>
        </w:rPr>
      </w:pPr>
      <w:bookmarkStart w:id="124" w:name="_Toc17885"/>
      <w:r>
        <w:rPr>
          <w:rFonts w:hint="eastAsia" w:ascii="宋体" w:hAnsi="宋体" w:eastAsia="宋体" w:cs="宋体"/>
          <w:sz w:val="24"/>
          <w:szCs w:val="24"/>
        </w:rPr>
        <w:t>附件四</w:t>
      </w:r>
      <w:bookmarkEnd w:id="124"/>
    </w:p>
    <w:p w14:paraId="3FC664E4">
      <w:pPr>
        <w:pStyle w:val="3"/>
        <w:spacing w:before="0" w:after="0" w:line="560" w:lineRule="exact"/>
        <w:jc w:val="center"/>
        <w:rPr>
          <w:rFonts w:ascii="宋体" w:hAnsi="宋体" w:eastAsia="宋体" w:cs="宋体"/>
          <w:sz w:val="24"/>
          <w:szCs w:val="24"/>
        </w:rPr>
      </w:pPr>
      <w:bookmarkStart w:id="125" w:name="_Toc1318"/>
      <w:bookmarkStart w:id="126" w:name="_Toc9758"/>
      <w:bookmarkStart w:id="127" w:name="_Toc417045478"/>
      <w:r>
        <w:rPr>
          <w:rFonts w:hint="eastAsia" w:ascii="宋体" w:hAnsi="宋体" w:eastAsia="宋体" w:cs="宋体"/>
          <w:sz w:val="24"/>
          <w:szCs w:val="24"/>
        </w:rPr>
        <w:t>谈判响应函</w:t>
      </w:r>
      <w:bookmarkEnd w:id="125"/>
      <w:bookmarkEnd w:id="126"/>
    </w:p>
    <w:p w14:paraId="06E955B3">
      <w:pPr>
        <w:spacing w:line="360" w:lineRule="auto"/>
        <w:rPr>
          <w:rFonts w:ascii="宋体" w:hAnsi="宋体"/>
          <w:sz w:val="24"/>
          <w:szCs w:val="24"/>
        </w:rPr>
      </w:pPr>
      <w:r>
        <w:rPr>
          <w:rFonts w:hint="eastAsia" w:ascii="宋体" w:hAnsi="宋体"/>
          <w:sz w:val="24"/>
          <w:szCs w:val="24"/>
        </w:rPr>
        <w:t>致：XXX（代理机构名称）</w:t>
      </w:r>
    </w:p>
    <w:p w14:paraId="26960A76">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（供应商的名称）全权处理本项目谈判的有关事宜。</w:t>
      </w:r>
    </w:p>
    <w:p w14:paraId="52D9CA36">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2、我方愿意按照采购书规定的各项要求，向采购人提供所需的货物服务。</w:t>
      </w:r>
    </w:p>
    <w:p w14:paraId="06FAA70A">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3、一旦我方中标，我方将严格履行合同规定的责任和义务，保证于采购人要求的日期内完成服务，并交付买方验收、使用。</w:t>
      </w:r>
    </w:p>
    <w:p w14:paraId="647C56EF">
      <w:pPr>
        <w:spacing w:line="360" w:lineRule="auto"/>
        <w:ind w:firstLine="480" w:firstLineChars="200"/>
        <w:rPr>
          <w:rFonts w:ascii="宋体" w:hAnsi="宋体"/>
          <w:sz w:val="24"/>
          <w:szCs w:val="24"/>
        </w:rPr>
      </w:pPr>
      <w:r>
        <w:rPr>
          <w:rFonts w:hint="eastAsia" w:ascii="宋体" w:hAnsi="宋体"/>
          <w:sz w:val="24"/>
          <w:szCs w:val="24"/>
        </w:rPr>
        <w:t>4、如我公司成交，我公司承诺愿意按谈判文件规定缴纳履约保证金。</w:t>
      </w:r>
    </w:p>
    <w:p w14:paraId="14A00571">
      <w:pPr>
        <w:tabs>
          <w:tab w:val="left" w:pos="840"/>
        </w:tabs>
        <w:spacing w:line="360" w:lineRule="auto"/>
        <w:ind w:firstLine="480" w:firstLineChars="200"/>
        <w:rPr>
          <w:rFonts w:ascii="宋体" w:hAnsi="宋体"/>
          <w:sz w:val="24"/>
          <w:szCs w:val="24"/>
        </w:rPr>
      </w:pPr>
      <w:r>
        <w:rPr>
          <w:rFonts w:hint="eastAsia" w:ascii="宋体" w:hAnsi="宋体"/>
          <w:sz w:val="24"/>
          <w:szCs w:val="24"/>
        </w:rPr>
        <w:t>5、我方愿意提供贵方可能另外要求的、与谈判有关的文件资料，并保证我方已提供和将要提供的文件是真实的、准确的。</w:t>
      </w:r>
    </w:p>
    <w:p w14:paraId="7D942DC3">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6、我方完全理解贵方不一定将合同授予最低报价的供应商。</w:t>
      </w:r>
    </w:p>
    <w:p w14:paraId="4E3DD137">
      <w:pPr>
        <w:tabs>
          <w:tab w:val="left" w:pos="0"/>
          <w:tab w:val="left" w:pos="840"/>
        </w:tabs>
        <w:spacing w:line="360" w:lineRule="auto"/>
        <w:jc w:val="left"/>
        <w:rPr>
          <w:rFonts w:ascii="宋体" w:hAnsi="宋体"/>
          <w:sz w:val="24"/>
          <w:szCs w:val="24"/>
        </w:rPr>
      </w:pPr>
    </w:p>
    <w:p w14:paraId="5274730E">
      <w:pPr>
        <w:tabs>
          <w:tab w:val="left" w:pos="0"/>
          <w:tab w:val="left" w:pos="840"/>
        </w:tabs>
        <w:rPr>
          <w:rFonts w:ascii="宋体" w:hAnsi="宋体"/>
          <w:sz w:val="24"/>
          <w:szCs w:val="24"/>
        </w:rPr>
      </w:pPr>
    </w:p>
    <w:p w14:paraId="12DC10A9">
      <w:pPr>
        <w:tabs>
          <w:tab w:val="left" w:pos="0"/>
          <w:tab w:val="left" w:pos="840"/>
        </w:tabs>
        <w:rPr>
          <w:rFonts w:ascii="宋体" w:hAnsi="宋体"/>
          <w:sz w:val="24"/>
          <w:szCs w:val="24"/>
        </w:rPr>
      </w:pPr>
    </w:p>
    <w:p w14:paraId="2C4F8D53">
      <w:pPr>
        <w:tabs>
          <w:tab w:val="left" w:pos="0"/>
          <w:tab w:val="left" w:pos="840"/>
        </w:tabs>
        <w:rPr>
          <w:rFonts w:ascii="宋体" w:hAnsi="宋体"/>
          <w:sz w:val="24"/>
          <w:szCs w:val="24"/>
        </w:rPr>
      </w:pPr>
    </w:p>
    <w:p w14:paraId="7EEF8171">
      <w:pPr>
        <w:tabs>
          <w:tab w:val="left" w:pos="0"/>
          <w:tab w:val="left" w:pos="840"/>
        </w:tabs>
        <w:rPr>
          <w:rFonts w:ascii="宋体" w:hAnsi="宋体"/>
          <w:sz w:val="24"/>
          <w:szCs w:val="24"/>
        </w:rPr>
      </w:pPr>
    </w:p>
    <w:p w14:paraId="16DE8CA9">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cs="宋体"/>
          <w:b/>
          <w:bCs/>
          <w:sz w:val="24"/>
          <w:szCs w:val="24"/>
        </w:rPr>
        <w:t>盖章</w:t>
      </w:r>
      <w:r>
        <w:rPr>
          <w:rFonts w:hint="eastAsia" w:ascii="宋体" w:hAnsi="宋体"/>
          <w:b/>
          <w:bCs/>
          <w:sz w:val="24"/>
          <w:szCs w:val="24"/>
        </w:rPr>
        <w:t>：</w:t>
      </w:r>
    </w:p>
    <w:p w14:paraId="6F666F4C">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14:paraId="63B38977">
      <w:pPr>
        <w:pStyle w:val="4"/>
        <w:rPr>
          <w:sz w:val="24"/>
          <w:szCs w:val="24"/>
          <w:lang w:val="en-US"/>
        </w:rPr>
      </w:pPr>
    </w:p>
    <w:p w14:paraId="48596994"/>
    <w:p w14:paraId="7673753A"/>
    <w:p w14:paraId="7E5E363D">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1E2CF78B">
      <w:pPr>
        <w:pStyle w:val="3"/>
        <w:spacing w:before="0" w:after="0" w:line="560" w:lineRule="exact"/>
        <w:rPr>
          <w:rFonts w:ascii="宋体" w:hAnsi="宋体" w:eastAsia="宋体" w:cs="宋体"/>
          <w:sz w:val="24"/>
          <w:szCs w:val="24"/>
        </w:rPr>
      </w:pPr>
      <w:bookmarkStart w:id="128" w:name="_Toc27501"/>
      <w:r>
        <w:rPr>
          <w:rFonts w:hint="eastAsia" w:ascii="宋体" w:hAnsi="宋体" w:eastAsia="宋体" w:cs="宋体"/>
          <w:sz w:val="24"/>
          <w:szCs w:val="24"/>
        </w:rPr>
        <w:t>附件</w:t>
      </w:r>
      <w:bookmarkEnd w:id="127"/>
      <w:r>
        <w:rPr>
          <w:rFonts w:hint="eastAsia" w:ascii="宋体" w:hAnsi="宋体" w:eastAsia="宋体" w:cs="宋体"/>
          <w:sz w:val="24"/>
          <w:szCs w:val="24"/>
        </w:rPr>
        <w:t>五</w:t>
      </w:r>
      <w:bookmarkEnd w:id="128"/>
    </w:p>
    <w:p w14:paraId="2EA00900">
      <w:pPr>
        <w:pStyle w:val="33"/>
        <w:ind w:firstLine="2891" w:firstLineChars="1200"/>
        <w:rPr>
          <w:rFonts w:ascii="宋体" w:hAnsi="宋体" w:cs="宋体"/>
          <w:b/>
          <w:szCs w:val="24"/>
          <w:lang w:val="zh-CN"/>
        </w:rPr>
      </w:pPr>
      <w:bookmarkStart w:id="129" w:name="_Toc363199274"/>
      <w:r>
        <w:rPr>
          <w:rFonts w:hint="eastAsia" w:ascii="宋体" w:hAnsi="宋体" w:cs="宋体"/>
          <w:b/>
          <w:szCs w:val="24"/>
          <w:lang w:val="zh-CN"/>
        </w:rPr>
        <w:t>无重大违法记录声明函</w:t>
      </w:r>
    </w:p>
    <w:p w14:paraId="2B9C0DB3">
      <w:pPr>
        <w:pStyle w:val="33"/>
        <w:ind w:firstLine="480" w:firstLineChars="200"/>
        <w:rPr>
          <w:rFonts w:ascii="宋体" w:hAnsi="宋体"/>
          <w:szCs w:val="24"/>
        </w:rPr>
      </w:pPr>
      <w:bookmarkStart w:id="130"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614CC645">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08D59C2B">
      <w:pPr>
        <w:spacing w:line="360" w:lineRule="auto"/>
        <w:ind w:firstLine="435"/>
        <w:rPr>
          <w:rFonts w:ascii="宋体" w:hAnsi="宋体"/>
          <w:sz w:val="24"/>
          <w:szCs w:val="24"/>
        </w:rPr>
      </w:pPr>
    </w:p>
    <w:p w14:paraId="6DE85446">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cs="宋体"/>
          <w:b/>
          <w:bCs/>
          <w:sz w:val="24"/>
          <w:szCs w:val="24"/>
        </w:rPr>
        <w:t>盖章</w:t>
      </w:r>
      <w:r>
        <w:rPr>
          <w:rFonts w:hint="eastAsia" w:ascii="宋体" w:hAnsi="宋体"/>
          <w:bCs/>
          <w:sz w:val="24"/>
          <w:szCs w:val="24"/>
        </w:rPr>
        <w:t>：</w:t>
      </w:r>
    </w:p>
    <w:p w14:paraId="7BCD63D4">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130"/>
    <w:p w14:paraId="207B82DD">
      <w:pPr>
        <w:pStyle w:val="33"/>
        <w:ind w:firstLine="210"/>
      </w:pPr>
    </w:p>
    <w:p w14:paraId="3046BA94">
      <w:pPr>
        <w:pStyle w:val="33"/>
        <w:ind w:firstLine="210"/>
      </w:pPr>
    </w:p>
    <w:p w14:paraId="451A8DCF">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14:paraId="61D12094">
      <w:pPr>
        <w:spacing w:line="360" w:lineRule="auto"/>
        <w:ind w:firstLine="435"/>
        <w:rPr>
          <w:rFonts w:ascii="宋体" w:hAnsi="宋体"/>
          <w:sz w:val="24"/>
          <w:szCs w:val="24"/>
        </w:rPr>
      </w:pPr>
      <w:bookmarkStart w:id="131" w:name="_Hlk77794010"/>
      <w:r>
        <w:rPr>
          <w:rFonts w:hint="eastAsia" w:ascii="宋体" w:hAnsi="宋体"/>
          <w:sz w:val="24"/>
          <w:szCs w:val="24"/>
        </w:rPr>
        <w:t>本公司郑重承诺，我公司无以下不良信用记录情形：</w:t>
      </w:r>
    </w:p>
    <w:p w14:paraId="18A37BA9">
      <w:pPr>
        <w:spacing w:line="360" w:lineRule="auto"/>
        <w:ind w:firstLine="435"/>
        <w:rPr>
          <w:rFonts w:ascii="宋体" w:hAnsi="宋体"/>
          <w:sz w:val="24"/>
          <w:szCs w:val="24"/>
        </w:rPr>
      </w:pPr>
      <w:r>
        <w:rPr>
          <w:rFonts w:hint="eastAsia" w:ascii="宋体" w:hAnsi="宋体"/>
          <w:sz w:val="24"/>
          <w:szCs w:val="24"/>
        </w:rPr>
        <w:t>1、公司被人民法院列入失信被执行人；</w:t>
      </w:r>
    </w:p>
    <w:p w14:paraId="6ED80704">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w:t>
      </w:r>
      <w:r>
        <w:rPr>
          <w:rFonts w:hint="eastAsia" w:ascii="宋体" w:hAnsi="宋体"/>
          <w:sz w:val="24"/>
          <w:szCs w:val="24"/>
          <w:lang w:eastAsia="zh-CN"/>
        </w:rPr>
        <w:t>严重违法失信企业</w:t>
      </w:r>
      <w:r>
        <w:rPr>
          <w:rFonts w:hint="eastAsia" w:ascii="宋体" w:hAnsi="宋体"/>
          <w:sz w:val="24"/>
          <w:szCs w:val="24"/>
        </w:rPr>
        <w:t>名录；</w:t>
      </w:r>
    </w:p>
    <w:p w14:paraId="4B5000A0">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14:paraId="2AED1758">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14:paraId="5C85709E">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3D1E5F5E">
      <w:pPr>
        <w:tabs>
          <w:tab w:val="left" w:pos="630"/>
        </w:tabs>
        <w:spacing w:line="360" w:lineRule="auto"/>
        <w:ind w:firstLine="630"/>
        <w:rPr>
          <w:rFonts w:ascii="宋体" w:hAnsi="宋体"/>
          <w:sz w:val="24"/>
          <w:szCs w:val="24"/>
        </w:rPr>
      </w:pPr>
    </w:p>
    <w:p w14:paraId="0FB6DCCE">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cs="宋体"/>
          <w:b/>
          <w:bCs/>
          <w:sz w:val="24"/>
          <w:szCs w:val="24"/>
        </w:rPr>
        <w:t>盖章</w:t>
      </w:r>
      <w:r>
        <w:rPr>
          <w:rFonts w:hint="eastAsia" w:ascii="宋体" w:hAnsi="宋体"/>
          <w:bCs/>
          <w:sz w:val="24"/>
          <w:szCs w:val="24"/>
        </w:rPr>
        <w:t>：</w:t>
      </w:r>
    </w:p>
    <w:p w14:paraId="3DC27C28">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日期：</w:t>
      </w:r>
    </w:p>
    <w:bookmarkEnd w:id="131"/>
    <w:p w14:paraId="5D1C5D25">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573616B3">
      <w:pPr>
        <w:pStyle w:val="3"/>
        <w:spacing w:before="0" w:after="0" w:line="560" w:lineRule="exact"/>
        <w:rPr>
          <w:rFonts w:ascii="宋体" w:hAnsi="宋体" w:eastAsia="宋体" w:cs="宋体"/>
          <w:sz w:val="24"/>
          <w:szCs w:val="24"/>
        </w:rPr>
      </w:pPr>
      <w:bookmarkStart w:id="132" w:name="_Toc30242"/>
      <w:r>
        <w:rPr>
          <w:rFonts w:hint="eastAsia" w:ascii="宋体" w:hAnsi="宋体" w:eastAsia="宋体" w:cs="宋体"/>
          <w:sz w:val="24"/>
          <w:szCs w:val="24"/>
        </w:rPr>
        <w:t>附件</w:t>
      </w:r>
      <w:bookmarkEnd w:id="129"/>
      <w:r>
        <w:rPr>
          <w:rFonts w:hint="eastAsia" w:ascii="宋体" w:hAnsi="宋体" w:eastAsia="宋体" w:cs="宋体"/>
          <w:sz w:val="24"/>
          <w:szCs w:val="24"/>
        </w:rPr>
        <w:t>六</w:t>
      </w:r>
      <w:bookmarkEnd w:id="132"/>
    </w:p>
    <w:p w14:paraId="257F743D">
      <w:pPr>
        <w:pStyle w:val="3"/>
        <w:spacing w:before="0" w:after="0" w:line="560" w:lineRule="exact"/>
        <w:jc w:val="center"/>
        <w:rPr>
          <w:rFonts w:ascii="宋体" w:hAnsi="宋体" w:eastAsia="宋体" w:cs="宋体"/>
          <w:sz w:val="24"/>
          <w:szCs w:val="24"/>
          <w:lang w:val="zh-CN"/>
        </w:rPr>
      </w:pPr>
      <w:bookmarkStart w:id="133" w:name="_Toc24468"/>
      <w:bookmarkStart w:id="134" w:name="_Toc25238"/>
      <w:bookmarkStart w:id="135" w:name="_Toc12738"/>
      <w:r>
        <w:rPr>
          <w:rFonts w:hint="eastAsia" w:ascii="宋体" w:hAnsi="宋体" w:eastAsia="宋体" w:cs="宋体"/>
          <w:sz w:val="24"/>
          <w:szCs w:val="24"/>
          <w:lang w:val="zh-CN"/>
        </w:rPr>
        <w:t>响应情况表</w:t>
      </w:r>
      <w:bookmarkEnd w:id="133"/>
      <w:bookmarkEnd w:id="134"/>
      <w:bookmarkEnd w:id="135"/>
    </w:p>
    <w:p w14:paraId="778E6521">
      <w:pPr>
        <w:jc w:val="center"/>
        <w:rPr>
          <w:bCs/>
          <w:sz w:val="24"/>
          <w:szCs w:val="24"/>
          <w:lang w:val="zh-CN"/>
        </w:rPr>
      </w:pPr>
    </w:p>
    <w:tbl>
      <w:tblPr>
        <w:tblStyle w:val="35"/>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3970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14:paraId="362FAB26">
            <w:pPr>
              <w:jc w:val="center"/>
              <w:rPr>
                <w:rFonts w:ascii="宋体" w:cs="宋体"/>
                <w:b/>
                <w:sz w:val="24"/>
                <w:szCs w:val="21"/>
              </w:rPr>
            </w:pPr>
            <w:bookmarkStart w:id="136" w:name="_Toc471299110"/>
            <w:r>
              <w:rPr>
                <w:rFonts w:hint="eastAsia" w:ascii="宋体" w:hAnsi="宋体" w:cs="宋体"/>
                <w:b/>
                <w:sz w:val="24"/>
                <w:szCs w:val="21"/>
              </w:rPr>
              <w:t>按谈判文件规定填写</w:t>
            </w:r>
          </w:p>
        </w:tc>
        <w:tc>
          <w:tcPr>
            <w:tcW w:w="4200" w:type="dxa"/>
            <w:gridSpan w:val="2"/>
            <w:vAlign w:val="center"/>
          </w:tcPr>
          <w:p w14:paraId="602F65FA">
            <w:pPr>
              <w:jc w:val="center"/>
              <w:rPr>
                <w:rFonts w:ascii="宋体" w:cs="宋体"/>
                <w:b/>
                <w:sz w:val="24"/>
                <w:szCs w:val="21"/>
              </w:rPr>
            </w:pPr>
            <w:r>
              <w:rPr>
                <w:rFonts w:hint="eastAsia" w:ascii="宋体" w:hAnsi="宋体" w:cs="宋体"/>
                <w:b/>
                <w:sz w:val="24"/>
                <w:szCs w:val="21"/>
              </w:rPr>
              <w:t>按供应商所投内容填写</w:t>
            </w:r>
          </w:p>
        </w:tc>
      </w:tr>
      <w:tr w14:paraId="3142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45CFD208">
            <w:pPr>
              <w:jc w:val="center"/>
              <w:rPr>
                <w:rFonts w:ascii="宋体" w:cs="宋体"/>
                <w:b/>
                <w:sz w:val="24"/>
                <w:szCs w:val="21"/>
              </w:rPr>
            </w:pPr>
            <w:r>
              <w:rPr>
                <w:rFonts w:hint="eastAsia" w:ascii="宋体" w:hAnsi="宋体" w:cs="宋体"/>
                <w:b/>
                <w:sz w:val="24"/>
                <w:szCs w:val="21"/>
              </w:rPr>
              <w:t>序号</w:t>
            </w:r>
          </w:p>
        </w:tc>
        <w:tc>
          <w:tcPr>
            <w:tcW w:w="1794" w:type="dxa"/>
            <w:vAlign w:val="center"/>
          </w:tcPr>
          <w:p w14:paraId="6F27D07F">
            <w:pPr>
              <w:jc w:val="center"/>
              <w:rPr>
                <w:rFonts w:ascii="宋体" w:cs="宋体"/>
                <w:b/>
                <w:sz w:val="24"/>
                <w:szCs w:val="21"/>
              </w:rPr>
            </w:pPr>
            <w:r>
              <w:rPr>
                <w:rFonts w:hint="eastAsia" w:ascii="宋体" w:hAnsi="宋体" w:cs="宋体"/>
                <w:b/>
                <w:sz w:val="24"/>
                <w:szCs w:val="21"/>
              </w:rPr>
              <w:t>内容</w:t>
            </w:r>
          </w:p>
        </w:tc>
        <w:tc>
          <w:tcPr>
            <w:tcW w:w="2196" w:type="dxa"/>
            <w:vAlign w:val="center"/>
          </w:tcPr>
          <w:p w14:paraId="6ED051E9">
            <w:pPr>
              <w:jc w:val="center"/>
              <w:rPr>
                <w:rFonts w:ascii="宋体" w:cs="宋体"/>
                <w:b/>
                <w:sz w:val="24"/>
                <w:szCs w:val="21"/>
              </w:rPr>
            </w:pPr>
            <w:r>
              <w:rPr>
                <w:rFonts w:hint="eastAsia" w:ascii="宋体" w:hAnsi="宋体" w:cs="宋体"/>
                <w:b/>
                <w:sz w:val="24"/>
                <w:szCs w:val="21"/>
              </w:rPr>
              <w:t>谈判文件要求</w:t>
            </w:r>
          </w:p>
        </w:tc>
        <w:tc>
          <w:tcPr>
            <w:tcW w:w="2222" w:type="dxa"/>
            <w:vAlign w:val="center"/>
          </w:tcPr>
          <w:p w14:paraId="09981CFA">
            <w:pPr>
              <w:jc w:val="center"/>
              <w:rPr>
                <w:rFonts w:ascii="宋体" w:cs="宋体"/>
                <w:b/>
                <w:sz w:val="24"/>
                <w:szCs w:val="21"/>
              </w:rPr>
            </w:pPr>
            <w:r>
              <w:rPr>
                <w:rFonts w:hint="eastAsia" w:ascii="宋体" w:hAnsi="宋体" w:cs="宋体"/>
                <w:b/>
                <w:sz w:val="24"/>
                <w:szCs w:val="21"/>
              </w:rPr>
              <w:t>响应承诺</w:t>
            </w:r>
          </w:p>
        </w:tc>
        <w:tc>
          <w:tcPr>
            <w:tcW w:w="1978" w:type="dxa"/>
            <w:vAlign w:val="center"/>
          </w:tcPr>
          <w:p w14:paraId="103800A6">
            <w:pPr>
              <w:jc w:val="center"/>
              <w:rPr>
                <w:rFonts w:ascii="宋体" w:cs="宋体"/>
                <w:b/>
                <w:sz w:val="24"/>
                <w:szCs w:val="21"/>
              </w:rPr>
            </w:pPr>
            <w:r>
              <w:rPr>
                <w:rFonts w:hint="eastAsia" w:ascii="宋体" w:hAnsi="宋体" w:cs="宋体"/>
                <w:b/>
                <w:sz w:val="24"/>
                <w:szCs w:val="21"/>
              </w:rPr>
              <w:t>偏离说明</w:t>
            </w:r>
          </w:p>
        </w:tc>
      </w:tr>
      <w:tr w14:paraId="7379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59E75FDA">
            <w:pPr>
              <w:jc w:val="center"/>
              <w:rPr>
                <w:rFonts w:ascii="宋体" w:cs="宋体"/>
                <w:sz w:val="24"/>
                <w:szCs w:val="24"/>
              </w:rPr>
            </w:pPr>
            <w:r>
              <w:rPr>
                <w:rFonts w:ascii="宋体" w:hAnsi="宋体" w:cs="宋体"/>
                <w:sz w:val="24"/>
                <w:szCs w:val="24"/>
              </w:rPr>
              <w:t>1</w:t>
            </w:r>
          </w:p>
        </w:tc>
        <w:tc>
          <w:tcPr>
            <w:tcW w:w="1794" w:type="dxa"/>
            <w:vAlign w:val="center"/>
          </w:tcPr>
          <w:p w14:paraId="5089FD05">
            <w:pPr>
              <w:jc w:val="center"/>
              <w:rPr>
                <w:rFonts w:ascii="宋体" w:cs="宋体"/>
                <w:sz w:val="24"/>
                <w:szCs w:val="24"/>
              </w:rPr>
            </w:pPr>
            <w:r>
              <w:rPr>
                <w:rFonts w:hint="eastAsia" w:ascii="宋体" w:hAnsi="宋体"/>
                <w:sz w:val="24"/>
                <w:szCs w:val="28"/>
              </w:rPr>
              <w:t>技术响应</w:t>
            </w:r>
          </w:p>
        </w:tc>
        <w:tc>
          <w:tcPr>
            <w:tcW w:w="2196" w:type="dxa"/>
            <w:vAlign w:val="center"/>
          </w:tcPr>
          <w:p w14:paraId="4B7F59E2">
            <w:pPr>
              <w:rPr>
                <w:rFonts w:ascii="宋体" w:cs="宋体"/>
                <w:sz w:val="24"/>
                <w:szCs w:val="24"/>
              </w:rPr>
            </w:pPr>
          </w:p>
        </w:tc>
        <w:tc>
          <w:tcPr>
            <w:tcW w:w="2222" w:type="dxa"/>
            <w:vAlign w:val="center"/>
          </w:tcPr>
          <w:p w14:paraId="4FBC2BAD">
            <w:pPr>
              <w:rPr>
                <w:rFonts w:ascii="宋体" w:cs="宋体"/>
                <w:sz w:val="24"/>
                <w:szCs w:val="24"/>
              </w:rPr>
            </w:pPr>
          </w:p>
        </w:tc>
        <w:tc>
          <w:tcPr>
            <w:tcW w:w="1978" w:type="dxa"/>
            <w:vAlign w:val="center"/>
          </w:tcPr>
          <w:p w14:paraId="0B7747A7">
            <w:pPr>
              <w:rPr>
                <w:rFonts w:ascii="宋体" w:cs="宋体"/>
                <w:sz w:val="24"/>
                <w:szCs w:val="24"/>
              </w:rPr>
            </w:pPr>
          </w:p>
        </w:tc>
      </w:tr>
      <w:tr w14:paraId="485A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220BF9B4">
            <w:pPr>
              <w:jc w:val="center"/>
              <w:rPr>
                <w:rFonts w:ascii="宋体" w:cs="宋体"/>
                <w:sz w:val="24"/>
                <w:szCs w:val="24"/>
              </w:rPr>
            </w:pPr>
            <w:r>
              <w:rPr>
                <w:rFonts w:ascii="宋体" w:hAnsi="宋体" w:cs="宋体"/>
                <w:sz w:val="24"/>
                <w:szCs w:val="24"/>
              </w:rPr>
              <w:t>2</w:t>
            </w:r>
          </w:p>
        </w:tc>
        <w:tc>
          <w:tcPr>
            <w:tcW w:w="1794" w:type="dxa"/>
            <w:vAlign w:val="center"/>
          </w:tcPr>
          <w:p w14:paraId="2FE1D7FA">
            <w:pPr>
              <w:jc w:val="center"/>
              <w:rPr>
                <w:rFonts w:ascii="宋体" w:cs="宋体"/>
                <w:sz w:val="24"/>
                <w:szCs w:val="24"/>
              </w:rPr>
            </w:pPr>
            <w:r>
              <w:rPr>
                <w:rFonts w:hint="eastAsia" w:ascii="宋体" w:hAnsi="宋体"/>
                <w:sz w:val="24"/>
                <w:szCs w:val="28"/>
              </w:rPr>
              <w:t>付款响应</w:t>
            </w:r>
          </w:p>
        </w:tc>
        <w:tc>
          <w:tcPr>
            <w:tcW w:w="2196" w:type="dxa"/>
            <w:vAlign w:val="center"/>
          </w:tcPr>
          <w:p w14:paraId="15E41A88">
            <w:pPr>
              <w:rPr>
                <w:rFonts w:ascii="宋体" w:cs="宋体"/>
                <w:sz w:val="24"/>
                <w:szCs w:val="24"/>
              </w:rPr>
            </w:pPr>
          </w:p>
        </w:tc>
        <w:tc>
          <w:tcPr>
            <w:tcW w:w="2222" w:type="dxa"/>
            <w:vAlign w:val="center"/>
          </w:tcPr>
          <w:p w14:paraId="3A1E750E">
            <w:pPr>
              <w:rPr>
                <w:rFonts w:ascii="宋体" w:cs="宋体"/>
                <w:sz w:val="24"/>
                <w:szCs w:val="24"/>
              </w:rPr>
            </w:pPr>
          </w:p>
        </w:tc>
        <w:tc>
          <w:tcPr>
            <w:tcW w:w="1978" w:type="dxa"/>
            <w:vAlign w:val="center"/>
          </w:tcPr>
          <w:p w14:paraId="54B1A1B9">
            <w:pPr>
              <w:rPr>
                <w:rFonts w:ascii="宋体" w:cs="宋体"/>
                <w:sz w:val="24"/>
                <w:szCs w:val="24"/>
              </w:rPr>
            </w:pPr>
          </w:p>
        </w:tc>
      </w:tr>
      <w:tr w14:paraId="1BF4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01A64416">
            <w:pPr>
              <w:jc w:val="center"/>
              <w:rPr>
                <w:rFonts w:ascii="宋体" w:cs="宋体"/>
                <w:sz w:val="24"/>
                <w:szCs w:val="24"/>
              </w:rPr>
            </w:pPr>
            <w:r>
              <w:rPr>
                <w:rFonts w:ascii="宋体" w:hAnsi="宋体" w:cs="宋体"/>
                <w:sz w:val="24"/>
                <w:szCs w:val="24"/>
              </w:rPr>
              <w:t>3</w:t>
            </w:r>
          </w:p>
        </w:tc>
        <w:tc>
          <w:tcPr>
            <w:tcW w:w="1794" w:type="dxa"/>
            <w:vAlign w:val="center"/>
          </w:tcPr>
          <w:p w14:paraId="650E6C0B">
            <w:pPr>
              <w:jc w:val="center"/>
              <w:rPr>
                <w:rFonts w:ascii="宋体" w:cs="宋体"/>
                <w:sz w:val="24"/>
                <w:szCs w:val="24"/>
              </w:rPr>
            </w:pPr>
            <w:r>
              <w:rPr>
                <w:rFonts w:hint="eastAsia" w:ascii="宋体" w:hAnsi="宋体"/>
                <w:sz w:val="24"/>
                <w:szCs w:val="28"/>
              </w:rPr>
              <w:t>服务期响应</w:t>
            </w:r>
          </w:p>
        </w:tc>
        <w:tc>
          <w:tcPr>
            <w:tcW w:w="2196" w:type="dxa"/>
            <w:vAlign w:val="center"/>
          </w:tcPr>
          <w:p w14:paraId="1F769C6A">
            <w:pPr>
              <w:rPr>
                <w:rFonts w:ascii="宋体" w:cs="宋体"/>
                <w:sz w:val="24"/>
                <w:szCs w:val="24"/>
              </w:rPr>
            </w:pPr>
          </w:p>
        </w:tc>
        <w:tc>
          <w:tcPr>
            <w:tcW w:w="2222" w:type="dxa"/>
            <w:vAlign w:val="center"/>
          </w:tcPr>
          <w:p w14:paraId="55446F9A">
            <w:pPr>
              <w:rPr>
                <w:rFonts w:ascii="宋体" w:cs="宋体"/>
                <w:sz w:val="24"/>
                <w:szCs w:val="24"/>
              </w:rPr>
            </w:pPr>
          </w:p>
        </w:tc>
        <w:tc>
          <w:tcPr>
            <w:tcW w:w="1978" w:type="dxa"/>
            <w:vAlign w:val="center"/>
          </w:tcPr>
          <w:p w14:paraId="38E23904">
            <w:pPr>
              <w:rPr>
                <w:rFonts w:ascii="宋体" w:cs="宋体"/>
                <w:sz w:val="24"/>
                <w:szCs w:val="24"/>
              </w:rPr>
            </w:pPr>
          </w:p>
        </w:tc>
      </w:tr>
      <w:tr w14:paraId="2F27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7DA142DC">
            <w:pPr>
              <w:jc w:val="center"/>
              <w:rPr>
                <w:rFonts w:ascii="宋体" w:cs="宋体"/>
                <w:sz w:val="24"/>
                <w:szCs w:val="24"/>
              </w:rPr>
            </w:pPr>
            <w:r>
              <w:rPr>
                <w:rFonts w:hint="eastAsia" w:ascii="宋体" w:cs="宋体"/>
                <w:sz w:val="24"/>
                <w:szCs w:val="24"/>
              </w:rPr>
              <w:t>4</w:t>
            </w:r>
          </w:p>
        </w:tc>
        <w:tc>
          <w:tcPr>
            <w:tcW w:w="1794" w:type="dxa"/>
            <w:vAlign w:val="center"/>
          </w:tcPr>
          <w:p w14:paraId="5EE107EC">
            <w:pPr>
              <w:jc w:val="center"/>
              <w:rPr>
                <w:rFonts w:ascii="宋体" w:cs="宋体"/>
                <w:sz w:val="24"/>
                <w:szCs w:val="24"/>
              </w:rPr>
            </w:pPr>
            <w:r>
              <w:rPr>
                <w:rFonts w:hint="eastAsia" w:ascii="宋体" w:hAnsi="宋体" w:cs="宋体"/>
                <w:sz w:val="24"/>
                <w:szCs w:val="24"/>
              </w:rPr>
              <w:t>其他</w:t>
            </w:r>
          </w:p>
        </w:tc>
        <w:tc>
          <w:tcPr>
            <w:tcW w:w="2196" w:type="dxa"/>
            <w:vAlign w:val="center"/>
          </w:tcPr>
          <w:p w14:paraId="2D9ED47E">
            <w:pPr>
              <w:rPr>
                <w:rFonts w:ascii="宋体" w:cs="宋体"/>
                <w:sz w:val="24"/>
                <w:szCs w:val="24"/>
              </w:rPr>
            </w:pPr>
          </w:p>
        </w:tc>
        <w:tc>
          <w:tcPr>
            <w:tcW w:w="2222" w:type="dxa"/>
            <w:vAlign w:val="center"/>
          </w:tcPr>
          <w:p w14:paraId="1F58B8C0">
            <w:pPr>
              <w:rPr>
                <w:rFonts w:ascii="宋体" w:cs="宋体"/>
                <w:sz w:val="24"/>
                <w:szCs w:val="24"/>
              </w:rPr>
            </w:pPr>
          </w:p>
        </w:tc>
        <w:tc>
          <w:tcPr>
            <w:tcW w:w="1978" w:type="dxa"/>
            <w:vAlign w:val="center"/>
          </w:tcPr>
          <w:p w14:paraId="7B19912F">
            <w:pPr>
              <w:rPr>
                <w:rFonts w:ascii="宋体" w:cs="宋体"/>
                <w:sz w:val="24"/>
                <w:szCs w:val="24"/>
              </w:rPr>
            </w:pPr>
          </w:p>
        </w:tc>
      </w:tr>
    </w:tbl>
    <w:p w14:paraId="2BAA51CA">
      <w:pPr>
        <w:spacing w:after="312" w:afterLines="100" w:line="520" w:lineRule="exact"/>
        <w:ind w:firstLine="482" w:firstLineChars="200"/>
        <w:rPr>
          <w:rFonts w:ascii="宋体" w:hAnsi="宋体"/>
          <w:sz w:val="24"/>
          <w:szCs w:val="28"/>
        </w:rPr>
      </w:pPr>
      <w:r>
        <w:rPr>
          <w:rFonts w:hint="eastAsia" w:ascii="宋体" w:hAnsi="宋体" w:cs="宋体"/>
          <w:b/>
          <w:sz w:val="24"/>
          <w:szCs w:val="24"/>
        </w:rPr>
        <w:t>注：</w:t>
      </w:r>
      <w:r>
        <w:rPr>
          <w:rFonts w:hint="eastAsia" w:ascii="宋体" w:hAnsi="宋体"/>
          <w:sz w:val="24"/>
          <w:szCs w:val="28"/>
        </w:rPr>
        <w:t>提供的服务满足采购需求；付款及服务期等均应响应谈判文件要求。</w:t>
      </w:r>
    </w:p>
    <w:p w14:paraId="19AB4D7B">
      <w:pPr>
        <w:spacing w:after="312" w:afterLines="100" w:line="520" w:lineRule="exact"/>
        <w:rPr>
          <w:rFonts w:ascii="宋体" w:hAnsi="宋体"/>
          <w:sz w:val="24"/>
          <w:szCs w:val="28"/>
        </w:rPr>
      </w:pPr>
    </w:p>
    <w:p w14:paraId="598913F5">
      <w:pPr>
        <w:rPr>
          <w:rFonts w:ascii="宋体" w:hAnsi="宋体"/>
          <w:sz w:val="24"/>
          <w:szCs w:val="24"/>
        </w:rPr>
      </w:pPr>
    </w:p>
    <w:p w14:paraId="3A14DEFA">
      <w:pPr>
        <w:rPr>
          <w:rFonts w:ascii="宋体" w:hAnsi="宋体"/>
          <w:sz w:val="24"/>
          <w:szCs w:val="24"/>
        </w:rPr>
      </w:pPr>
    </w:p>
    <w:p w14:paraId="7A420E8B">
      <w:pPr>
        <w:spacing w:line="360" w:lineRule="auto"/>
        <w:ind w:right="480"/>
        <w:jc w:val="center"/>
        <w:rPr>
          <w:rFonts w:ascii="宋体" w:hAnsi="宋体"/>
          <w:b/>
          <w:bCs/>
          <w:sz w:val="24"/>
          <w:szCs w:val="24"/>
        </w:rPr>
      </w:pPr>
      <w:r>
        <w:rPr>
          <w:rFonts w:hint="eastAsia" w:ascii="宋体" w:hAnsi="宋体"/>
          <w:b/>
          <w:bCs/>
          <w:sz w:val="24"/>
          <w:szCs w:val="24"/>
        </w:rPr>
        <w:t xml:space="preserve">                              供应商</w:t>
      </w:r>
      <w:r>
        <w:rPr>
          <w:rFonts w:hint="eastAsia" w:ascii="宋体" w:hAnsi="宋体" w:cs="宋体"/>
          <w:b/>
          <w:bCs/>
          <w:sz w:val="24"/>
          <w:szCs w:val="24"/>
        </w:rPr>
        <w:t>盖章</w:t>
      </w:r>
      <w:r>
        <w:rPr>
          <w:rFonts w:hint="eastAsia" w:ascii="宋体" w:hAnsi="宋体"/>
          <w:b/>
          <w:bCs/>
          <w:sz w:val="24"/>
          <w:szCs w:val="24"/>
        </w:rPr>
        <w:t>：</w:t>
      </w:r>
    </w:p>
    <w:p w14:paraId="1CA449C5">
      <w:pPr>
        <w:ind w:firstLine="4337" w:firstLineChars="1800"/>
        <w:jc w:val="center"/>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3925771D">
      <w:pPr>
        <w:pStyle w:val="4"/>
        <w:spacing w:before="0" w:after="0"/>
        <w:rPr>
          <w:sz w:val="24"/>
          <w:szCs w:val="24"/>
        </w:rPr>
      </w:pPr>
      <w:r>
        <w:rPr>
          <w:rFonts w:hint="eastAsia"/>
          <w:sz w:val="24"/>
          <w:szCs w:val="24"/>
        </w:rPr>
        <w:br w:type="page"/>
      </w:r>
    </w:p>
    <w:p w14:paraId="0D22BB83">
      <w:pPr>
        <w:pStyle w:val="3"/>
        <w:bidi w:val="0"/>
        <w:rPr>
          <w:rFonts w:hint="eastAsia" w:ascii="宋体" w:hAnsi="宋体" w:eastAsia="宋体" w:cs="宋体"/>
          <w:sz w:val="24"/>
          <w:szCs w:val="16"/>
        </w:rPr>
      </w:pPr>
      <w:bookmarkStart w:id="137" w:name="_Toc32767"/>
      <w:bookmarkStart w:id="138" w:name="_Toc19848"/>
      <w:r>
        <w:rPr>
          <w:rFonts w:hint="eastAsia" w:ascii="宋体" w:hAnsi="宋体" w:eastAsia="宋体" w:cs="宋体"/>
          <w:sz w:val="24"/>
          <w:szCs w:val="16"/>
        </w:rPr>
        <w:t>附件</w:t>
      </w:r>
      <w:bookmarkEnd w:id="136"/>
      <w:r>
        <w:rPr>
          <w:rFonts w:hint="eastAsia" w:ascii="宋体" w:hAnsi="宋体" w:eastAsia="宋体" w:cs="宋体"/>
          <w:sz w:val="24"/>
          <w:szCs w:val="16"/>
        </w:rPr>
        <w:t>七</w:t>
      </w:r>
      <w:bookmarkEnd w:id="137"/>
      <w:bookmarkEnd w:id="138"/>
    </w:p>
    <w:p w14:paraId="3D3F6833">
      <w:pPr>
        <w:ind w:firstLine="3373" w:firstLineChars="1400"/>
        <w:rPr>
          <w:rFonts w:ascii="仿宋_GB2312" w:hAnsi="仿宋_GB2312"/>
          <w:sz w:val="28"/>
          <w:szCs w:val="28"/>
        </w:rPr>
      </w:pPr>
      <w:bookmarkStart w:id="139" w:name="_Toc23594"/>
      <w:bookmarkStart w:id="140" w:name="_Toc4135"/>
      <w:r>
        <w:rPr>
          <w:rStyle w:val="48"/>
          <w:rFonts w:hint="eastAsia" w:ascii="宋体" w:hAnsi="宋体" w:eastAsia="宋体" w:cs="宋体"/>
          <w:bCs/>
          <w:kern w:val="2"/>
          <w:sz w:val="24"/>
          <w:szCs w:val="24"/>
        </w:rPr>
        <w:t>中小企业声明函</w:t>
      </w:r>
      <w:bookmarkEnd w:id="139"/>
      <w:bookmarkEnd w:id="140"/>
    </w:p>
    <w:p w14:paraId="302CA279">
      <w:pPr>
        <w:autoSpaceDE w:val="0"/>
        <w:spacing w:line="480" w:lineRule="exact"/>
        <w:rPr>
          <w:rFonts w:ascii="仿宋_GB2312" w:hAnsi="仿宋_GB2312"/>
          <w:sz w:val="28"/>
          <w:szCs w:val="28"/>
        </w:rPr>
      </w:pPr>
      <w:r>
        <w:rPr>
          <w:rFonts w:ascii="仿宋_GB2312" w:hAnsi="仿宋_GB2312"/>
          <w:sz w:val="28"/>
          <w:szCs w:val="28"/>
        </w:rPr>
        <w:t xml:space="preserve"> </w:t>
      </w:r>
    </w:p>
    <w:p w14:paraId="3F489D95">
      <w:pPr>
        <w:autoSpaceDE w:val="0"/>
        <w:spacing w:line="500" w:lineRule="exact"/>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 xml:space="preserve"> 采购活动</w:t>
      </w:r>
      <w:r>
        <w:rPr>
          <w:rFonts w:hint="eastAsia" w:ascii="宋体" w:hAnsi="宋体" w:cs="宋体"/>
          <w:sz w:val="24"/>
          <w:szCs w:val="24"/>
          <w:lang w:eastAsia="zh-CN"/>
        </w:rPr>
        <w:t>，</w:t>
      </w:r>
      <w:r>
        <w:rPr>
          <w:rFonts w:hint="eastAsia" w:ascii="宋体" w:hAnsi="宋体" w:cs="宋体"/>
          <w:sz w:val="24"/>
          <w:szCs w:val="24"/>
        </w:rPr>
        <w:t>工程的施工单位全部为符合政策要求的中小企业（或者：服务全部由符合政策要求的中小企业承接）。相关企业（含联合体中的中小企业、签订分包意向协议的中小企业）的具体情况如下：</w:t>
      </w:r>
    </w:p>
    <w:p w14:paraId="368F2BB1">
      <w:pPr>
        <w:autoSpaceDE w:val="0"/>
        <w:spacing w:line="50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p>
    <w:p w14:paraId="44037406">
      <w:pPr>
        <w:autoSpaceDE w:val="0"/>
        <w:spacing w:line="50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p>
    <w:p w14:paraId="72B8F042">
      <w:pPr>
        <w:autoSpaceDE w:val="0"/>
        <w:spacing w:line="500" w:lineRule="exact"/>
        <w:ind w:firstLine="480" w:firstLineChars="200"/>
        <w:rPr>
          <w:rFonts w:ascii="宋体" w:hAnsi="宋体" w:cs="宋体"/>
          <w:sz w:val="24"/>
          <w:szCs w:val="24"/>
        </w:rPr>
      </w:pPr>
      <w:r>
        <w:rPr>
          <w:rFonts w:hint="eastAsia" w:ascii="宋体" w:hAnsi="宋体" w:cs="宋体"/>
          <w:sz w:val="24"/>
          <w:szCs w:val="24"/>
        </w:rPr>
        <w:t>......</w:t>
      </w:r>
    </w:p>
    <w:p w14:paraId="3857B730">
      <w:pPr>
        <w:pStyle w:val="10"/>
        <w:autoSpaceDE w:val="0"/>
        <w:spacing w:after="0" w:line="500" w:lineRule="exact"/>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88378BB">
      <w:pPr>
        <w:pStyle w:val="10"/>
        <w:autoSpaceDE w:val="0"/>
        <w:spacing w:after="0" w:line="500" w:lineRule="exact"/>
        <w:ind w:firstLine="480" w:firstLineChars="200"/>
        <w:rPr>
          <w:rFonts w:ascii="宋体" w:hAnsi="宋体" w:cs="宋体"/>
          <w:bCs/>
          <w:sz w:val="24"/>
        </w:rPr>
      </w:pPr>
      <w:r>
        <w:rPr>
          <w:rFonts w:hint="eastAsia" w:ascii="宋体" w:hAnsi="宋体" w:cs="宋体"/>
          <w:sz w:val="24"/>
        </w:rPr>
        <w:t>本企业对上述声明内容的真实性负责。</w:t>
      </w:r>
      <w:r>
        <w:rPr>
          <w:rFonts w:hint="eastAsia" w:ascii="宋体" w:hAnsi="宋体" w:cs="宋体"/>
          <w:color w:val="auto"/>
          <w:sz w:val="24"/>
          <w:lang w:eastAsia="zh-CN"/>
        </w:rPr>
        <w:t xml:space="preserve"> </w:t>
      </w:r>
      <w:r>
        <w:rPr>
          <w:rFonts w:hint="default" w:ascii="宋体" w:hAnsi="宋体" w:cs="宋体"/>
          <w:bCs/>
          <w:color w:val="auto"/>
          <w:sz w:val="24"/>
          <w:lang w:val="en-US"/>
        </w:rPr>
        <w:t>如有虚假，</w:t>
      </w:r>
      <w:r>
        <w:rPr>
          <w:rFonts w:hint="default" w:ascii="宋体" w:hAnsi="宋体" w:cs="宋体"/>
          <w:bCs/>
          <w:color w:val="auto"/>
          <w:sz w:val="24"/>
          <w:lang w:val="en-US" w:eastAsia="zh-CN"/>
        </w:rPr>
        <w:t>将依法承担相应责任</w:t>
      </w:r>
      <w:r>
        <w:rPr>
          <w:rFonts w:hint="eastAsia" w:ascii="宋体" w:hAnsi="宋体" w:cs="宋体"/>
          <w:bCs/>
          <w:color w:val="auto"/>
          <w:sz w:val="24"/>
        </w:rPr>
        <w:t>。</w:t>
      </w:r>
    </w:p>
    <w:p w14:paraId="5B43181F">
      <w:pPr>
        <w:spacing w:line="480" w:lineRule="exact"/>
        <w:rPr>
          <w:rFonts w:ascii="宋体" w:hAnsi="宋体"/>
          <w:b/>
          <w:sz w:val="24"/>
          <w:szCs w:val="24"/>
        </w:rPr>
      </w:pPr>
    </w:p>
    <w:p w14:paraId="3C3C506C">
      <w:pPr>
        <w:spacing w:line="480" w:lineRule="exact"/>
        <w:ind w:firstLine="5060" w:firstLineChars="2100"/>
        <w:rPr>
          <w:rFonts w:ascii="宋体"/>
          <w:b/>
          <w:sz w:val="24"/>
          <w:szCs w:val="24"/>
          <w:u w:val="single"/>
        </w:rPr>
      </w:pPr>
      <w:r>
        <w:rPr>
          <w:rFonts w:hint="eastAsia" w:ascii="宋体" w:hAnsi="宋体"/>
          <w:b/>
          <w:sz w:val="24"/>
          <w:szCs w:val="24"/>
        </w:rPr>
        <w:t>供应商</w:t>
      </w:r>
      <w:r>
        <w:rPr>
          <w:rFonts w:hint="eastAsia" w:ascii="宋体" w:hAnsi="宋体" w:cs="宋体"/>
          <w:b/>
          <w:bCs/>
          <w:sz w:val="24"/>
          <w:szCs w:val="24"/>
        </w:rPr>
        <w:t>盖</w:t>
      </w:r>
      <w:r>
        <w:rPr>
          <w:rFonts w:hint="eastAsia" w:ascii="宋体" w:hAnsi="宋体"/>
          <w:b/>
          <w:sz w:val="24"/>
          <w:szCs w:val="24"/>
        </w:rPr>
        <w:t>章：</w:t>
      </w:r>
      <w:r>
        <w:rPr>
          <w:rFonts w:ascii="宋体" w:hAnsi="宋体"/>
          <w:b/>
          <w:sz w:val="24"/>
          <w:szCs w:val="24"/>
          <w:u w:val="single"/>
        </w:rPr>
        <w:t xml:space="preserve">              </w:t>
      </w:r>
    </w:p>
    <w:p w14:paraId="6F10AF47">
      <w:pPr>
        <w:pStyle w:val="33"/>
        <w:ind w:firstLine="5180" w:firstLineChars="2150"/>
        <w:rPr>
          <w:rFonts w:ascii="宋体" w:hAnsi="宋体" w:cs="宋体"/>
          <w:szCs w:val="24"/>
        </w:rPr>
      </w:pPr>
      <w:r>
        <w:rPr>
          <w:rFonts w:hint="eastAsia" w:ascii="宋体" w:hAnsi="宋体"/>
          <w:b/>
          <w:szCs w:val="24"/>
        </w:rPr>
        <w:t xml:space="preserve">日 </w:t>
      </w:r>
      <w:r>
        <w:rPr>
          <w:rFonts w:ascii="宋体" w:hAnsi="宋体"/>
          <w:b/>
          <w:szCs w:val="24"/>
        </w:rPr>
        <w:t xml:space="preserve">  </w:t>
      </w:r>
      <w:r>
        <w:rPr>
          <w:rFonts w:hint="eastAsia" w:ascii="宋体" w:hAnsi="宋体"/>
          <w:b/>
          <w:szCs w:val="24"/>
        </w:rPr>
        <w:t xml:space="preserve"> 期：</w:t>
      </w:r>
    </w:p>
    <w:p w14:paraId="0D9361A8">
      <w:pPr>
        <w:pStyle w:val="33"/>
      </w:pPr>
    </w:p>
    <w:p w14:paraId="0B1DA173">
      <w:pPr>
        <w:spacing w:line="500" w:lineRule="exact"/>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4"/>
        </w:rPr>
        <w:t>1、从业人员、营业收入、资产总额填报上一年度数据，无上一年度数据的新成立企业可不填报。</w:t>
      </w:r>
    </w:p>
    <w:p w14:paraId="442F275A">
      <w:pPr>
        <w:pStyle w:val="33"/>
        <w:spacing w:after="0" w:line="500" w:lineRule="exact"/>
        <w:ind w:firstLine="480" w:firstLineChars="200"/>
      </w:pPr>
      <w:r>
        <w:rPr>
          <w:rFonts w:hint="eastAsia"/>
        </w:rPr>
        <w:t>2、企业划型标准按照《关于印发中小企业划型标准规定的通知》（工信部联企业〔2011〕300号）规定执行。</w:t>
      </w:r>
    </w:p>
    <w:p w14:paraId="6803BB70">
      <w:pPr>
        <w:rPr>
          <w:rFonts w:ascii="宋体" w:hAnsi="宋体"/>
          <w:b/>
          <w:bCs/>
          <w:sz w:val="24"/>
          <w:szCs w:val="24"/>
        </w:rPr>
      </w:pPr>
      <w:r>
        <w:rPr>
          <w:rFonts w:hint="eastAsia" w:ascii="宋体" w:hAnsi="宋体"/>
          <w:b/>
          <w:bCs/>
          <w:sz w:val="24"/>
          <w:szCs w:val="24"/>
        </w:rPr>
        <w:br w:type="page"/>
      </w:r>
    </w:p>
    <w:p w14:paraId="743170C4">
      <w:pPr>
        <w:pStyle w:val="3"/>
        <w:bidi w:val="0"/>
        <w:ind w:left="0" w:leftChars="0" w:right="0" w:rightChars="0" w:firstLine="0" w:firstLineChars="0"/>
        <w:jc w:val="center"/>
        <w:rPr>
          <w:rFonts w:hint="eastAsia" w:ascii="宋体" w:hAnsi="宋体" w:eastAsia="宋体" w:cs="宋体"/>
          <w:sz w:val="24"/>
          <w:szCs w:val="16"/>
        </w:rPr>
      </w:pPr>
      <w:bookmarkStart w:id="141" w:name="_Toc21587"/>
      <w:r>
        <w:rPr>
          <w:rFonts w:hint="eastAsia" w:ascii="宋体" w:hAnsi="宋体" w:eastAsia="宋体" w:cs="宋体"/>
          <w:sz w:val="24"/>
          <w:szCs w:val="16"/>
        </w:rPr>
        <w:t>残疾人福利性单位声明函</w:t>
      </w:r>
      <w:bookmarkEnd w:id="141"/>
    </w:p>
    <w:p w14:paraId="4431EB48">
      <w:pPr>
        <w:pStyle w:val="17"/>
        <w:spacing w:line="480" w:lineRule="exact"/>
        <w:jc w:val="center"/>
        <w:rPr>
          <w:rFonts w:ascii="宋体" w:hAnsi="宋体" w:eastAsia="宋体" w:cs="宋体"/>
          <w:bCs/>
          <w:sz w:val="24"/>
          <w:szCs w:val="24"/>
        </w:rPr>
      </w:pPr>
      <w:r>
        <w:rPr>
          <w:rFonts w:hint="eastAsia" w:ascii="宋体" w:hAnsi="宋体" w:eastAsia="宋体" w:cs="宋体"/>
          <w:bCs/>
          <w:sz w:val="24"/>
          <w:szCs w:val="24"/>
        </w:rPr>
        <w:t>（非残疾人福利性单位不需此件）</w:t>
      </w:r>
    </w:p>
    <w:p w14:paraId="4066019A">
      <w:pPr>
        <w:spacing w:line="480" w:lineRule="exact"/>
      </w:pPr>
    </w:p>
    <w:p w14:paraId="5EB96ECA">
      <w:pPr>
        <w:autoSpaceDE w:val="0"/>
        <w:autoSpaceDN w:val="0"/>
        <w:spacing w:line="480" w:lineRule="exact"/>
        <w:ind w:right="40" w:firstLine="480" w:firstLineChars="200"/>
        <w:rPr>
          <w:rFonts w:ascii="宋体" w:hAnsi="宋体"/>
          <w:bCs/>
          <w:sz w:val="24"/>
          <w:szCs w:val="24"/>
          <w:lang w:val="zh-CN"/>
        </w:rPr>
      </w:pPr>
      <w:r>
        <w:rPr>
          <w:rFonts w:hint="eastAsia" w:ascii="宋体" w:hAnsi="宋体"/>
          <w:bCs/>
          <w:sz w:val="24"/>
          <w:szCs w:val="24"/>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bCs/>
          <w:sz w:val="24"/>
          <w:szCs w:val="24"/>
          <w:u w:val="single"/>
        </w:rPr>
        <w:t xml:space="preserve">     </w:t>
      </w:r>
      <w:r>
        <w:rPr>
          <w:rFonts w:hint="eastAsia" w:ascii="宋体" w:hAnsi="宋体"/>
          <w:bCs/>
          <w:sz w:val="24"/>
          <w:szCs w:val="24"/>
          <w:lang w:val="zh-CN"/>
        </w:rPr>
        <w:t>项目（项目编号：</w:t>
      </w:r>
      <w:r>
        <w:rPr>
          <w:rFonts w:hint="eastAsia" w:ascii="宋体" w:hAnsi="宋体"/>
          <w:bCs/>
          <w:sz w:val="24"/>
          <w:szCs w:val="24"/>
          <w:u w:val="single"/>
        </w:rPr>
        <w:t xml:space="preserve">     </w:t>
      </w:r>
      <w:r>
        <w:rPr>
          <w:rFonts w:hint="eastAsia" w:ascii="宋体" w:hAnsi="宋体"/>
          <w:bCs/>
          <w:sz w:val="24"/>
          <w:szCs w:val="24"/>
          <w:lang w:val="zh-CN"/>
        </w:rPr>
        <w:t>）采购活动由本单位提供服务。</w:t>
      </w:r>
    </w:p>
    <w:p w14:paraId="3B0F6A06">
      <w:pPr>
        <w:autoSpaceDE w:val="0"/>
        <w:autoSpaceDN w:val="0"/>
        <w:spacing w:line="480" w:lineRule="exact"/>
        <w:ind w:right="40" w:firstLine="480" w:firstLineChars="200"/>
        <w:rPr>
          <w:rFonts w:ascii="宋体" w:hAnsi="宋体"/>
          <w:bCs/>
          <w:sz w:val="24"/>
          <w:szCs w:val="24"/>
          <w:lang w:val="zh-CN"/>
        </w:rPr>
      </w:pPr>
      <w:r>
        <w:rPr>
          <w:rFonts w:hint="eastAsia" w:ascii="宋体" w:hAnsi="宋体"/>
          <w:bCs/>
          <w:sz w:val="24"/>
          <w:szCs w:val="24"/>
          <w:lang w:val="zh-CN"/>
        </w:rPr>
        <w:t>本单位对上述声明的真实性负责。如有虚假，将依法承担相应责任。</w:t>
      </w:r>
    </w:p>
    <w:p w14:paraId="044C237C">
      <w:pPr>
        <w:spacing w:line="480" w:lineRule="exact"/>
        <w:rPr>
          <w:rFonts w:ascii="宋体" w:hAnsi="宋体"/>
          <w:bCs/>
          <w:sz w:val="24"/>
          <w:szCs w:val="24"/>
        </w:rPr>
      </w:pPr>
    </w:p>
    <w:p w14:paraId="012E7366">
      <w:pPr>
        <w:spacing w:line="480" w:lineRule="exact"/>
        <w:ind w:firstLine="5060" w:firstLineChars="2100"/>
        <w:rPr>
          <w:rFonts w:ascii="宋体"/>
          <w:b/>
          <w:sz w:val="24"/>
          <w:szCs w:val="24"/>
          <w:u w:val="single"/>
        </w:rPr>
      </w:pPr>
      <w:r>
        <w:rPr>
          <w:rFonts w:hint="eastAsia" w:ascii="宋体" w:hAnsi="宋体"/>
          <w:b/>
          <w:sz w:val="24"/>
          <w:szCs w:val="24"/>
        </w:rPr>
        <w:t>供应商</w:t>
      </w:r>
      <w:r>
        <w:rPr>
          <w:rFonts w:hint="eastAsia" w:ascii="宋体" w:hAnsi="宋体" w:cs="宋体"/>
          <w:b/>
          <w:bCs/>
          <w:sz w:val="24"/>
          <w:szCs w:val="24"/>
        </w:rPr>
        <w:t>盖章</w:t>
      </w:r>
      <w:r>
        <w:rPr>
          <w:rFonts w:hint="eastAsia" w:ascii="宋体" w:hAnsi="宋体"/>
          <w:b/>
          <w:sz w:val="24"/>
          <w:szCs w:val="24"/>
        </w:rPr>
        <w:t>：</w:t>
      </w:r>
      <w:r>
        <w:rPr>
          <w:rFonts w:ascii="宋体" w:hAnsi="宋体"/>
          <w:b/>
          <w:sz w:val="24"/>
          <w:szCs w:val="24"/>
          <w:u w:val="single"/>
        </w:rPr>
        <w:t xml:space="preserve">              </w:t>
      </w:r>
    </w:p>
    <w:p w14:paraId="67954AFF">
      <w:pPr>
        <w:tabs>
          <w:tab w:val="left" w:pos="4620"/>
        </w:tabs>
        <w:spacing w:line="480" w:lineRule="exact"/>
        <w:ind w:firstLine="5060" w:firstLineChars="2100"/>
        <w:rPr>
          <w:rFonts w:ascii="宋体" w:hAnsi="宋体"/>
          <w:b/>
          <w:bCs/>
          <w:sz w:val="24"/>
          <w:szCs w:val="24"/>
        </w:rPr>
      </w:pPr>
      <w:r>
        <w:rPr>
          <w:rFonts w:hint="eastAsia" w:ascii="宋体" w:hAnsi="宋体"/>
          <w:b/>
          <w:sz w:val="24"/>
          <w:szCs w:val="24"/>
        </w:rPr>
        <w:t xml:space="preserve">日 </w:t>
      </w:r>
      <w:r>
        <w:rPr>
          <w:rFonts w:ascii="宋体" w:hAnsi="宋体"/>
          <w:b/>
          <w:sz w:val="24"/>
          <w:szCs w:val="24"/>
        </w:rPr>
        <w:t xml:space="preserve">  </w:t>
      </w:r>
      <w:r>
        <w:rPr>
          <w:rFonts w:hint="eastAsia" w:ascii="宋体" w:hAnsi="宋体"/>
          <w:b/>
          <w:sz w:val="24"/>
          <w:szCs w:val="24"/>
        </w:rPr>
        <w:t xml:space="preserve"> 期：</w:t>
      </w:r>
      <w:r>
        <w:rPr>
          <w:rFonts w:ascii="宋体" w:hAnsi="宋体"/>
          <w:b/>
          <w:sz w:val="24"/>
          <w:szCs w:val="24"/>
          <w:u w:val="single"/>
        </w:rPr>
        <w:t xml:space="preserve">                     </w:t>
      </w:r>
    </w:p>
    <w:p w14:paraId="30CE31C0">
      <w:pPr>
        <w:pStyle w:val="3"/>
        <w:spacing w:before="0" w:after="0" w:line="560" w:lineRule="exact"/>
        <w:rPr>
          <w:rFonts w:hint="eastAsia" w:ascii="宋体" w:hAnsi="宋体" w:eastAsia="宋体" w:cs="宋体"/>
          <w:sz w:val="24"/>
          <w:szCs w:val="24"/>
        </w:rPr>
      </w:pPr>
      <w:bookmarkStart w:id="142" w:name="_Toc14089"/>
    </w:p>
    <w:p w14:paraId="4DB43D13">
      <w:pPr>
        <w:pStyle w:val="3"/>
        <w:spacing w:before="0" w:after="0" w:line="560" w:lineRule="exact"/>
        <w:rPr>
          <w:rFonts w:hint="eastAsia" w:ascii="宋体" w:hAnsi="宋体" w:eastAsia="宋体" w:cs="宋体"/>
          <w:sz w:val="24"/>
          <w:szCs w:val="24"/>
        </w:rPr>
      </w:pPr>
    </w:p>
    <w:p w14:paraId="03CFB030">
      <w:pPr>
        <w:pStyle w:val="3"/>
        <w:spacing w:before="0" w:after="0" w:line="560" w:lineRule="exact"/>
        <w:rPr>
          <w:rFonts w:hint="eastAsia" w:ascii="宋体" w:hAnsi="宋体" w:eastAsia="宋体" w:cs="宋体"/>
          <w:sz w:val="24"/>
          <w:szCs w:val="24"/>
        </w:rPr>
      </w:pPr>
    </w:p>
    <w:p w14:paraId="2E2B6E13">
      <w:pPr>
        <w:pStyle w:val="3"/>
        <w:spacing w:before="0" w:after="0" w:line="560" w:lineRule="exact"/>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eastAsia="宋体" w:cs="宋体"/>
          <w:sz w:val="24"/>
          <w:szCs w:val="24"/>
          <w:lang w:eastAsia="zh-CN"/>
        </w:rPr>
        <w:t>八</w:t>
      </w:r>
      <w:bookmarkEnd w:id="142"/>
    </w:p>
    <w:p w14:paraId="71DC5A83">
      <w:pPr>
        <w:rPr>
          <w:rFonts w:ascii="宋体" w:hAnsi="宋体"/>
          <w:b/>
          <w:sz w:val="24"/>
          <w:szCs w:val="28"/>
        </w:rPr>
      </w:pPr>
    </w:p>
    <w:p w14:paraId="76FC6C81">
      <w:pPr>
        <w:rPr>
          <w:rFonts w:ascii="宋体" w:hAnsi="宋体"/>
          <w:b/>
          <w:sz w:val="24"/>
          <w:szCs w:val="28"/>
        </w:rPr>
      </w:pPr>
    </w:p>
    <w:p w14:paraId="0C5D7840">
      <w:pPr>
        <w:jc w:val="center"/>
        <w:rPr>
          <w:rFonts w:ascii="宋体" w:hAnsi="宋体" w:eastAsia="宋体" w:cs="宋体"/>
          <w:b w:val="0"/>
          <w:bCs/>
          <w:sz w:val="24"/>
          <w:szCs w:val="24"/>
        </w:rPr>
      </w:pPr>
      <w:bookmarkStart w:id="143" w:name="_Toc28453"/>
      <w:bookmarkStart w:id="144" w:name="_Toc28850"/>
      <w:bookmarkStart w:id="145" w:name="_Toc30670"/>
      <w:r>
        <w:rPr>
          <w:rFonts w:hint="eastAsia" w:ascii="宋体" w:hAnsi="宋体" w:eastAsia="宋体" w:cs="宋体"/>
          <w:b w:val="0"/>
          <w:bCs/>
          <w:sz w:val="24"/>
          <w:szCs w:val="24"/>
        </w:rPr>
        <w:t>谈判文件要求和供应商认为需要提供的其它说明和资料</w:t>
      </w:r>
      <w:bookmarkEnd w:id="143"/>
      <w:bookmarkEnd w:id="144"/>
      <w:bookmarkEnd w:id="145"/>
    </w:p>
    <w:p w14:paraId="1A520255">
      <w:pPr>
        <w:rPr>
          <w:rFonts w:hAnsi="宋体" w:cs="宋体"/>
          <w:sz w:val="24"/>
          <w:szCs w:val="32"/>
        </w:rPr>
        <w:sectPr>
          <w:pgSz w:w="11906" w:h="16838"/>
          <w:pgMar w:top="1440" w:right="1531" w:bottom="1440" w:left="1531" w:header="851" w:footer="992" w:gutter="0"/>
          <w:pgNumType w:fmt="decimal"/>
          <w:cols w:space="425" w:num="1"/>
          <w:docGrid w:type="lines" w:linePitch="312" w:charSpace="0"/>
        </w:sectPr>
      </w:pPr>
    </w:p>
    <w:p w14:paraId="3A667222">
      <w:pPr>
        <w:pStyle w:val="3"/>
        <w:pageBreakBefore w:val="0"/>
        <w:kinsoku/>
        <w:overflowPunct/>
        <w:topLinePunct w:val="0"/>
        <w:bidi w:val="0"/>
        <w:spacing w:before="0" w:after="0" w:line="500" w:lineRule="exact"/>
        <w:rPr>
          <w:rStyle w:val="100"/>
          <w:rFonts w:ascii="宋体" w:hAnsi="宋体" w:eastAsia="宋体" w:cs="宋体"/>
          <w:b/>
          <w:sz w:val="24"/>
          <w:szCs w:val="24"/>
        </w:rPr>
      </w:pPr>
      <w:bookmarkStart w:id="146" w:name="_Toc23763"/>
      <w:bookmarkStart w:id="147" w:name="_Toc5314"/>
      <w:r>
        <w:rPr>
          <w:rFonts w:hint="eastAsia" w:ascii="宋体" w:hAnsi="宋体" w:eastAsia="宋体" w:cs="宋体"/>
          <w:sz w:val="24"/>
          <w:szCs w:val="24"/>
        </w:rPr>
        <w:t>附件九</w:t>
      </w:r>
      <w:bookmarkEnd w:id="146"/>
      <w:bookmarkEnd w:id="147"/>
      <w:r>
        <w:rPr>
          <w:rFonts w:hint="eastAsia" w:ascii="宋体" w:hAnsi="宋体" w:eastAsia="宋体" w:cs="宋体"/>
          <w:sz w:val="24"/>
          <w:szCs w:val="24"/>
          <w:lang w:val="en-US" w:eastAsia="zh-CN"/>
        </w:rPr>
        <w:t xml:space="preserve">                      </w:t>
      </w:r>
    </w:p>
    <w:p w14:paraId="45DDF4F3">
      <w:pPr>
        <w:pageBreakBefore w:val="0"/>
        <w:kinsoku/>
        <w:overflowPunct/>
        <w:topLinePunct w:val="0"/>
        <w:bidi w:val="0"/>
        <w:spacing w:line="500" w:lineRule="exact"/>
        <w:jc w:val="center"/>
        <w:rPr>
          <w:rFonts w:hint="eastAsia" w:ascii="宋体" w:hAnsi="宋体"/>
          <w:b/>
          <w:color w:val="auto"/>
          <w:sz w:val="28"/>
          <w:szCs w:val="28"/>
        </w:rPr>
      </w:pPr>
      <w:r>
        <w:rPr>
          <w:rFonts w:hint="eastAsia" w:ascii="宋体" w:hAnsi="宋体"/>
          <w:b/>
          <w:color w:val="auto"/>
          <w:sz w:val="28"/>
          <w:szCs w:val="28"/>
        </w:rPr>
        <w:t>最终承包报价书</w:t>
      </w:r>
    </w:p>
    <w:p w14:paraId="2B9A0737">
      <w:pPr>
        <w:pageBreakBefore w:val="0"/>
        <w:widowControl w:val="0"/>
        <w:tabs>
          <w:tab w:val="left" w:pos="1663"/>
        </w:tabs>
        <w:kinsoku/>
        <w:overflowPunct/>
        <w:topLinePunct w:val="0"/>
        <w:autoSpaceDE w:val="0"/>
        <w:autoSpaceDN w:val="0"/>
        <w:bidi w:val="0"/>
        <w:spacing w:before="0" w:after="0" w:line="500" w:lineRule="exact"/>
        <w:ind w:left="96" w:right="0"/>
        <w:jc w:val="center"/>
        <w:outlineLvl w:val="3"/>
        <w:rPr>
          <w:rFonts w:ascii="宋体" w:hAnsi="宋体" w:eastAsia="宋体" w:cs="宋体"/>
          <w:b/>
          <w:sz w:val="12"/>
          <w:szCs w:val="24"/>
          <w:lang w:val="zh-CN" w:eastAsia="zh-CN" w:bidi="zh-CN"/>
        </w:rPr>
      </w:pPr>
      <w:r>
        <w:rPr>
          <w:rFonts w:hint="eastAsia" w:ascii="宋体" w:hAnsi="宋体" w:cs="宋体"/>
          <w:b w:val="0"/>
          <w:bCs w:val="0"/>
          <w:sz w:val="24"/>
          <w:szCs w:val="24"/>
          <w:lang w:val="en-US" w:eastAsia="zh-CN" w:bidi="zh-CN"/>
        </w:rPr>
        <w:t>(</w:t>
      </w:r>
      <w:r>
        <w:rPr>
          <w:rFonts w:ascii="宋体" w:hAnsi="宋体" w:eastAsia="宋体" w:cs="宋体"/>
          <w:b w:val="0"/>
          <w:bCs w:val="0"/>
          <w:sz w:val="24"/>
          <w:szCs w:val="24"/>
          <w:lang w:val="zh-CN" w:eastAsia="zh-CN" w:bidi="zh-CN"/>
        </w:rPr>
        <w:t>第</w:t>
      </w:r>
      <w:r>
        <w:rPr>
          <w:rFonts w:ascii="宋体" w:hAnsi="宋体" w:eastAsia="宋体" w:cs="宋体"/>
          <w:b w:val="0"/>
          <w:bCs w:val="0"/>
          <w:sz w:val="24"/>
          <w:szCs w:val="24"/>
          <w:u w:val="single"/>
          <w:lang w:val="zh-CN" w:eastAsia="zh-CN" w:bidi="zh-CN"/>
        </w:rPr>
        <w:t xml:space="preserve"> </w:t>
      </w:r>
      <w:r>
        <w:rPr>
          <w:rFonts w:hint="eastAsia" w:ascii="宋体" w:hAnsi="宋体" w:cs="宋体"/>
          <w:b w:val="0"/>
          <w:bCs w:val="0"/>
          <w:sz w:val="24"/>
          <w:szCs w:val="24"/>
          <w:u w:val="single"/>
          <w:lang w:val="en-US"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14:paraId="58C9B0CC">
      <w:pPr>
        <w:pageBreakBefore w:val="0"/>
        <w:widowControl w:val="0"/>
        <w:tabs>
          <w:tab w:val="left" w:pos="2992"/>
        </w:tabs>
        <w:kinsoku/>
        <w:overflowPunct/>
        <w:topLinePunct w:val="0"/>
        <w:autoSpaceDE w:val="0"/>
        <w:autoSpaceDN w:val="0"/>
        <w:bidi w:val="0"/>
        <w:spacing w:before="74" w:after="0" w:line="500" w:lineRule="exact"/>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14:paraId="0FC30A04">
      <w:pPr>
        <w:pageBreakBefore w:val="0"/>
        <w:widowControl w:val="0"/>
        <w:tabs>
          <w:tab w:val="left" w:pos="2992"/>
        </w:tabs>
        <w:kinsoku/>
        <w:overflowPunct/>
        <w:topLinePunct w:val="0"/>
        <w:autoSpaceDE w:val="0"/>
        <w:autoSpaceDN w:val="0"/>
        <w:bidi w:val="0"/>
        <w:spacing w:before="74" w:after="0" w:line="500" w:lineRule="exact"/>
        <w:ind w:left="220" w:right="5891"/>
        <w:jc w:val="left"/>
        <w:outlineLvl w:val="3"/>
        <w:rPr>
          <w:rFonts w:ascii="宋体" w:hAnsi="宋体" w:eastAsia="宋体" w:cs="宋体"/>
          <w:b/>
          <w:sz w:val="12"/>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tbl>
      <w:tblPr>
        <w:tblStyle w:val="35"/>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41071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14:paraId="103C3620">
            <w:pPr>
              <w:keepNext w:val="0"/>
              <w:keepLines w:val="0"/>
              <w:pageBreakBefore w:val="0"/>
              <w:widowControl w:val="0"/>
              <w:suppressLineNumbers w:val="0"/>
              <w:kinsoku/>
              <w:overflowPunct/>
              <w:topLinePunct w:val="0"/>
              <w:autoSpaceDE w:val="0"/>
              <w:autoSpaceDN w:val="0"/>
              <w:bidi w:val="0"/>
              <w:spacing w:before="177" w:beforeAutospacing="0" w:after="0" w:afterAutospacing="0" w:line="500" w:lineRule="exact"/>
              <w:ind w:left="243" w:right="238"/>
              <w:jc w:val="center"/>
              <w:rPr>
                <w:rFonts w:hint="eastAsia" w:ascii="宋体" w:hAnsi="宋体" w:eastAsia="宋体" w:cs="宋体"/>
                <w:b/>
                <w:sz w:val="24"/>
                <w:szCs w:val="24"/>
                <w:lang w:val="zh-CN" w:eastAsia="zh-CN" w:bidi="zh-CN"/>
              </w:rPr>
            </w:pPr>
            <w:r>
              <w:rPr>
                <w:rFonts w:hint="eastAsia" w:ascii="宋体" w:hAnsi="宋体" w:eastAsia="宋体" w:cs="宋体"/>
                <w:b/>
                <w:sz w:val="24"/>
                <w:szCs w:val="24"/>
                <w:lang w:val="zh-CN" w:eastAsia="zh-CN" w:bidi="zh-CN"/>
              </w:rPr>
              <w:t>供应商名称</w:t>
            </w:r>
          </w:p>
        </w:tc>
        <w:tc>
          <w:tcPr>
            <w:tcW w:w="6064" w:type="dxa"/>
            <w:noWrap w:val="0"/>
            <w:vAlign w:val="top"/>
          </w:tcPr>
          <w:p w14:paraId="5F5115C6">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0" w:right="0"/>
              <w:jc w:val="left"/>
              <w:rPr>
                <w:rFonts w:hint="eastAsia" w:ascii="宋体" w:hAnsi="宋体" w:eastAsia="宋体" w:cs="宋体"/>
                <w:sz w:val="24"/>
                <w:szCs w:val="24"/>
                <w:lang w:val="zh-CN" w:eastAsia="zh-CN" w:bidi="zh-CN"/>
              </w:rPr>
            </w:pPr>
          </w:p>
        </w:tc>
      </w:tr>
      <w:tr w14:paraId="4968B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14:paraId="40D5D830">
            <w:pPr>
              <w:keepNext w:val="0"/>
              <w:keepLines w:val="0"/>
              <w:pageBreakBefore w:val="0"/>
              <w:widowControl w:val="0"/>
              <w:suppressLineNumbers w:val="0"/>
              <w:kinsoku/>
              <w:overflowPunct/>
              <w:topLinePunct w:val="0"/>
              <w:autoSpaceDE w:val="0"/>
              <w:autoSpaceDN w:val="0"/>
              <w:bidi w:val="0"/>
              <w:spacing w:before="11" w:beforeAutospacing="0" w:after="0" w:afterAutospacing="0" w:line="500" w:lineRule="exact"/>
              <w:ind w:left="0" w:right="0"/>
              <w:jc w:val="left"/>
              <w:rPr>
                <w:rFonts w:hint="eastAsia" w:ascii="宋体" w:hAnsi="宋体" w:eastAsia="宋体" w:cs="宋体"/>
                <w:b/>
                <w:sz w:val="24"/>
                <w:szCs w:val="24"/>
                <w:lang w:val="zh-CN" w:eastAsia="zh-CN" w:bidi="zh-CN"/>
              </w:rPr>
            </w:pPr>
          </w:p>
          <w:p w14:paraId="2A8A4556">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245" w:right="237"/>
              <w:jc w:val="center"/>
              <w:rPr>
                <w:rFonts w:hint="eastAsia" w:ascii="宋体" w:hAnsi="宋体" w:eastAsia="宋体" w:cs="宋体"/>
                <w:b/>
                <w:sz w:val="24"/>
                <w:szCs w:val="24"/>
                <w:lang w:val="zh-CN" w:eastAsia="zh-CN" w:bidi="zh-CN"/>
              </w:rPr>
            </w:pPr>
            <w:r>
              <w:rPr>
                <w:rFonts w:hint="eastAsia" w:ascii="宋体" w:hAnsi="宋体" w:eastAsia="宋体" w:cs="宋体"/>
                <w:b/>
                <w:sz w:val="24"/>
                <w:szCs w:val="24"/>
                <w:lang w:val="en-US" w:eastAsia="zh-CN" w:bidi="zh-CN"/>
              </w:rPr>
              <w:t>谈判</w:t>
            </w:r>
            <w:r>
              <w:rPr>
                <w:rFonts w:hint="eastAsia" w:ascii="宋体" w:hAnsi="宋体" w:eastAsia="宋体" w:cs="宋体"/>
                <w:b/>
                <w:sz w:val="24"/>
                <w:szCs w:val="24"/>
                <w:lang w:val="zh-CN" w:eastAsia="zh-CN" w:bidi="zh-CN"/>
              </w:rPr>
              <w:t>范围</w:t>
            </w:r>
          </w:p>
        </w:tc>
        <w:tc>
          <w:tcPr>
            <w:tcW w:w="6064" w:type="dxa"/>
            <w:noWrap w:val="0"/>
            <w:vAlign w:val="top"/>
          </w:tcPr>
          <w:p w14:paraId="048BE9C2">
            <w:pPr>
              <w:keepNext w:val="0"/>
              <w:keepLines w:val="0"/>
              <w:pageBreakBefore w:val="0"/>
              <w:widowControl w:val="0"/>
              <w:suppressLineNumbers w:val="0"/>
              <w:kinsoku/>
              <w:overflowPunct/>
              <w:topLinePunct w:val="0"/>
              <w:autoSpaceDE w:val="0"/>
              <w:autoSpaceDN w:val="0"/>
              <w:bidi w:val="0"/>
              <w:spacing w:before="11" w:beforeAutospacing="0" w:after="0" w:afterAutospacing="0" w:line="500" w:lineRule="exact"/>
              <w:ind w:left="0" w:right="0"/>
              <w:jc w:val="left"/>
              <w:rPr>
                <w:rFonts w:hint="eastAsia" w:ascii="宋体" w:hAnsi="宋体" w:eastAsia="宋体" w:cs="宋体"/>
                <w:b/>
                <w:sz w:val="24"/>
                <w:szCs w:val="24"/>
                <w:lang w:val="zh-CN" w:eastAsia="zh-CN" w:bidi="zh-CN"/>
              </w:rPr>
            </w:pPr>
          </w:p>
          <w:p w14:paraId="02497361">
            <w:pPr>
              <w:keepNext w:val="0"/>
              <w:keepLines w:val="0"/>
              <w:pageBreakBefore w:val="0"/>
              <w:widowControl w:val="0"/>
              <w:suppressLineNumbers w:val="0"/>
              <w:tabs>
                <w:tab w:val="left" w:pos="1547"/>
              </w:tabs>
              <w:kinsoku/>
              <w:overflowPunct/>
              <w:topLinePunct w:val="0"/>
              <w:autoSpaceDE w:val="0"/>
              <w:autoSpaceDN w:val="0"/>
              <w:bidi w:val="0"/>
              <w:spacing w:before="0" w:beforeAutospacing="0" w:after="0" w:afterAutospacing="0" w:line="500" w:lineRule="exact"/>
              <w:ind w:left="107" w:right="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全部 </w:t>
            </w:r>
          </w:p>
        </w:tc>
      </w:tr>
      <w:tr w14:paraId="67DF6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noWrap w:val="0"/>
            <w:vAlign w:val="top"/>
          </w:tcPr>
          <w:p w14:paraId="4F0946D6">
            <w:pPr>
              <w:keepNext w:val="0"/>
              <w:keepLines w:val="0"/>
              <w:pageBreakBefore w:val="0"/>
              <w:widowControl w:val="0"/>
              <w:suppressLineNumbers w:val="0"/>
              <w:kinsoku/>
              <w:overflowPunct/>
              <w:topLinePunct w:val="0"/>
              <w:autoSpaceDE w:val="0"/>
              <w:autoSpaceDN w:val="0"/>
              <w:bidi w:val="0"/>
              <w:spacing w:before="7" w:beforeAutospacing="0" w:after="0" w:afterAutospacing="0" w:line="500" w:lineRule="exact"/>
              <w:ind w:left="0" w:right="0"/>
              <w:jc w:val="left"/>
              <w:rPr>
                <w:rFonts w:hint="eastAsia" w:ascii="宋体" w:hAnsi="宋体" w:eastAsia="宋体" w:cs="宋体"/>
                <w:b/>
                <w:sz w:val="24"/>
                <w:szCs w:val="24"/>
                <w:lang w:val="zh-CN" w:eastAsia="zh-CN" w:bidi="zh-CN"/>
              </w:rPr>
            </w:pPr>
          </w:p>
          <w:p w14:paraId="7B225B6C">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243" w:right="238"/>
              <w:jc w:val="center"/>
              <w:rPr>
                <w:rFonts w:hint="eastAsia" w:ascii="宋体" w:hAnsi="宋体" w:eastAsia="宋体" w:cs="宋体"/>
                <w:b/>
                <w:sz w:val="24"/>
                <w:szCs w:val="24"/>
                <w:lang w:val="zh-CN" w:eastAsia="zh-CN" w:bidi="zh-CN"/>
              </w:rPr>
            </w:pPr>
            <w:r>
              <w:rPr>
                <w:rFonts w:hint="eastAsia" w:ascii="宋体" w:hAnsi="宋体" w:eastAsia="宋体" w:cs="宋体"/>
                <w:b/>
                <w:sz w:val="24"/>
                <w:szCs w:val="24"/>
                <w:lang w:val="zh-CN" w:eastAsia="zh-CN" w:bidi="zh-CN"/>
              </w:rPr>
              <w:t>最后报价</w:t>
            </w:r>
          </w:p>
          <w:p w14:paraId="6CCF49CB">
            <w:pPr>
              <w:keepNext w:val="0"/>
              <w:keepLines w:val="0"/>
              <w:pageBreakBefore w:val="0"/>
              <w:widowControl w:val="0"/>
              <w:suppressLineNumbers w:val="0"/>
              <w:kinsoku/>
              <w:overflowPunct/>
              <w:topLinePunct w:val="0"/>
              <w:autoSpaceDE w:val="0"/>
              <w:autoSpaceDN w:val="0"/>
              <w:bidi w:val="0"/>
              <w:spacing w:before="161" w:beforeAutospacing="0" w:after="0" w:afterAutospacing="0" w:line="500" w:lineRule="exact"/>
              <w:ind w:left="245" w:right="238"/>
              <w:jc w:val="center"/>
              <w:rPr>
                <w:rFonts w:hint="eastAsia" w:ascii="宋体" w:hAnsi="宋体" w:eastAsia="宋体" w:cs="宋体"/>
                <w:b/>
                <w:sz w:val="24"/>
                <w:szCs w:val="24"/>
                <w:lang w:val="zh-CN" w:eastAsia="zh-CN" w:bidi="zh-CN"/>
              </w:rPr>
            </w:pPr>
            <w:r>
              <w:rPr>
                <w:rFonts w:hint="eastAsia" w:ascii="宋体" w:hAnsi="宋体" w:eastAsia="宋体" w:cs="宋体"/>
                <w:b/>
                <w:sz w:val="24"/>
                <w:szCs w:val="24"/>
                <w:lang w:val="zh-CN" w:eastAsia="zh-CN" w:bidi="zh-CN"/>
              </w:rPr>
              <w:t>（详见备注说明）</w:t>
            </w:r>
          </w:p>
        </w:tc>
        <w:tc>
          <w:tcPr>
            <w:tcW w:w="6064" w:type="dxa"/>
            <w:noWrap w:val="0"/>
            <w:vAlign w:val="top"/>
          </w:tcPr>
          <w:p w14:paraId="3597D304">
            <w:pPr>
              <w:keepNext w:val="0"/>
              <w:keepLines w:val="0"/>
              <w:pageBreakBefore w:val="0"/>
              <w:widowControl w:val="0"/>
              <w:suppressLineNumbers w:val="0"/>
              <w:kinsoku/>
              <w:overflowPunct/>
              <w:topLinePunct w:val="0"/>
              <w:autoSpaceDE w:val="0"/>
              <w:autoSpaceDN w:val="0"/>
              <w:bidi w:val="0"/>
              <w:spacing w:before="9" w:beforeAutospacing="0" w:after="0" w:afterAutospacing="0" w:line="500" w:lineRule="exact"/>
              <w:ind w:left="0" w:right="0"/>
              <w:jc w:val="left"/>
              <w:rPr>
                <w:rFonts w:hint="eastAsia" w:ascii="宋体" w:hAnsi="宋体" w:eastAsia="宋体" w:cs="宋体"/>
                <w:b/>
                <w:sz w:val="24"/>
                <w:szCs w:val="24"/>
                <w:lang w:val="zh-CN" w:eastAsia="zh-CN" w:bidi="zh-CN"/>
              </w:rPr>
            </w:pPr>
          </w:p>
          <w:p w14:paraId="38F28EA3">
            <w:pPr>
              <w:keepNext w:val="0"/>
              <w:keepLines w:val="0"/>
              <w:pageBreakBefore w:val="0"/>
              <w:widowControl w:val="0"/>
              <w:suppressLineNumbers w:val="0"/>
              <w:tabs>
                <w:tab w:val="left" w:pos="4482"/>
              </w:tabs>
              <w:kinsoku/>
              <w:overflowPunct/>
              <w:topLinePunct w:val="0"/>
              <w:autoSpaceDE w:val="0"/>
              <w:autoSpaceDN w:val="0"/>
              <w:bidi w:val="0"/>
              <w:spacing w:before="0" w:beforeAutospacing="0" w:after="0" w:afterAutospacing="0" w:line="500" w:lineRule="exact"/>
              <w:ind w:left="107" w:right="0"/>
              <w:jc w:val="left"/>
              <w:rPr>
                <w:rFonts w:hint="eastAsia" w:ascii="宋体" w:hAnsi="宋体" w:eastAsia="宋体" w:cs="宋体"/>
                <w:sz w:val="24"/>
                <w:szCs w:val="24"/>
                <w:u w:val="single"/>
                <w:lang w:val="en-US" w:eastAsia="zh-CN" w:bidi="zh-CN"/>
              </w:rPr>
            </w:pPr>
            <w:r>
              <w:rPr>
                <w:rFonts w:hint="eastAsia" w:ascii="宋体" w:hAnsi="宋体" w:eastAsia="宋体" w:cs="宋体"/>
                <w:sz w:val="24"/>
                <w:szCs w:val="24"/>
                <w:lang w:val="zh-CN" w:eastAsia="zh-CN" w:bidi="zh-CN"/>
              </w:rPr>
              <w:t>人民币</w:t>
            </w:r>
            <w:r>
              <w:rPr>
                <w:rFonts w:hint="eastAsia" w:ascii="宋体" w:hAnsi="宋体" w:eastAsia="宋体" w:cs="宋体"/>
                <w:sz w:val="24"/>
                <w:szCs w:val="24"/>
                <w:lang w:val="en-US" w:eastAsia="zh-CN" w:bidi="zh-CN"/>
              </w:rPr>
              <w:t>(</w:t>
            </w:r>
            <w:r>
              <w:rPr>
                <w:rFonts w:hint="eastAsia" w:ascii="宋体" w:hAnsi="宋体" w:eastAsia="宋体" w:cs="宋体"/>
                <w:sz w:val="24"/>
                <w:szCs w:val="24"/>
                <w:lang w:val="zh-CN" w:eastAsia="zh-CN" w:bidi="zh-CN"/>
              </w:rPr>
              <w:t>大写</w:t>
            </w:r>
            <w:r>
              <w:rPr>
                <w:rFonts w:hint="eastAsia" w:ascii="宋体" w:hAnsi="宋体" w:eastAsia="宋体" w:cs="宋体"/>
                <w:sz w:val="24"/>
                <w:szCs w:val="24"/>
                <w:lang w:val="en-US" w:eastAsia="zh-CN" w:bidi="zh-CN"/>
              </w:rPr>
              <w:t>)</w:t>
            </w:r>
            <w:r>
              <w:rPr>
                <w:rFonts w:hint="eastAsia" w:ascii="宋体" w:hAnsi="宋体" w:eastAsia="宋体" w:cs="宋体"/>
                <w:sz w:val="24"/>
                <w:szCs w:val="24"/>
                <w:u w:val="single"/>
                <w:lang w:val="en-US" w:eastAsia="zh-CN" w:bidi="zh-CN"/>
              </w:rPr>
              <w:t xml:space="preserve">                         .                  </w:t>
            </w:r>
          </w:p>
          <w:p w14:paraId="09363331">
            <w:pPr>
              <w:keepNext w:val="0"/>
              <w:keepLines w:val="0"/>
              <w:pageBreakBefore w:val="0"/>
              <w:widowControl w:val="0"/>
              <w:suppressLineNumbers w:val="0"/>
              <w:tabs>
                <w:tab w:val="left" w:pos="4482"/>
              </w:tabs>
              <w:kinsoku/>
              <w:overflowPunct/>
              <w:topLinePunct w:val="0"/>
              <w:autoSpaceDE w:val="0"/>
              <w:autoSpaceDN w:val="0"/>
              <w:bidi w:val="0"/>
              <w:spacing w:before="0" w:beforeAutospacing="0" w:after="0" w:afterAutospacing="0" w:line="500" w:lineRule="exact"/>
              <w:ind w:right="0" w:firstLine="240" w:firstLineChars="1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小 写</w:t>
            </w:r>
            <w:r>
              <w:rPr>
                <w:rFonts w:hint="eastAsia" w:ascii="宋体" w:hAnsi="宋体" w:eastAsia="宋体" w:cs="宋体"/>
                <w:sz w:val="24"/>
                <w:szCs w:val="24"/>
                <w:u w:val="single"/>
                <w:lang w:val="zh-CN" w:eastAsia="zh-CN" w:bidi="zh-CN"/>
              </w:rPr>
              <w:t xml:space="preserve"> </w:t>
            </w:r>
            <w:r>
              <w:rPr>
                <w:rFonts w:hint="eastAsia" w:ascii="宋体" w:hAnsi="宋体" w:eastAsia="宋体" w:cs="宋体"/>
                <w:sz w:val="24"/>
                <w:szCs w:val="24"/>
                <w:u w:val="single"/>
                <w:lang w:val="zh-CN" w:eastAsia="zh-CN" w:bidi="zh-CN"/>
              </w:rPr>
              <w:tab/>
            </w:r>
          </w:p>
        </w:tc>
      </w:tr>
      <w:tr w14:paraId="10994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2461" w:type="dxa"/>
            <w:noWrap w:val="0"/>
            <w:vAlign w:val="top"/>
          </w:tcPr>
          <w:p w14:paraId="3AFC75C8">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243" w:right="238"/>
              <w:jc w:val="center"/>
              <w:rPr>
                <w:rFonts w:hint="eastAsia" w:ascii="宋体" w:hAnsi="宋体" w:eastAsia="宋体" w:cs="宋体"/>
                <w:b/>
                <w:sz w:val="24"/>
                <w:szCs w:val="24"/>
                <w:lang w:val="zh-CN" w:eastAsia="zh-CN" w:bidi="zh-CN"/>
              </w:rPr>
            </w:pPr>
          </w:p>
          <w:p w14:paraId="472AEF20">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243" w:right="238"/>
              <w:jc w:val="center"/>
              <w:rPr>
                <w:rFonts w:hint="eastAsia" w:ascii="宋体" w:hAnsi="宋体" w:eastAsia="宋体" w:cs="宋体"/>
                <w:b/>
                <w:sz w:val="24"/>
                <w:szCs w:val="24"/>
                <w:lang w:val="zh-CN" w:eastAsia="zh-CN" w:bidi="zh-CN"/>
              </w:rPr>
            </w:pPr>
            <w:r>
              <w:rPr>
                <w:rFonts w:hint="eastAsia" w:ascii="宋体" w:hAnsi="宋体" w:eastAsia="宋体" w:cs="宋体"/>
                <w:b/>
                <w:sz w:val="24"/>
                <w:szCs w:val="24"/>
                <w:lang w:val="zh-CN" w:eastAsia="zh-CN" w:bidi="zh-CN"/>
              </w:rPr>
              <w:t>备注说明</w:t>
            </w:r>
          </w:p>
        </w:tc>
        <w:tc>
          <w:tcPr>
            <w:tcW w:w="6064" w:type="dxa"/>
            <w:noWrap w:val="0"/>
            <w:vAlign w:val="top"/>
          </w:tcPr>
          <w:p w14:paraId="3957A11C">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0" w:right="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1、</w:t>
            </w:r>
            <w:r>
              <w:rPr>
                <w:rFonts w:hint="eastAsia" w:ascii="宋体" w:hAnsi="宋体" w:eastAsia="宋体" w:cs="宋体"/>
                <w:sz w:val="24"/>
                <w:szCs w:val="24"/>
                <w:lang w:val="zh-CN" w:eastAsia="zh-CN" w:bidi="zh-CN"/>
              </w:rPr>
              <w:t xml:space="preserve">上述报价包含完成本项目范围内工作内容的全部费用，该费用不再调整。 </w:t>
            </w:r>
          </w:p>
          <w:p w14:paraId="2D43DB7B">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0" w:right="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2、其他部分与响应文件内容一致。</w:t>
            </w:r>
          </w:p>
        </w:tc>
      </w:tr>
    </w:tbl>
    <w:p w14:paraId="4D60715B">
      <w:pPr>
        <w:pageBreakBefore w:val="0"/>
        <w:widowControl w:val="0"/>
        <w:kinsoku/>
        <w:overflowPunct/>
        <w:topLinePunct w:val="0"/>
        <w:autoSpaceDE w:val="0"/>
        <w:autoSpaceDN w:val="0"/>
        <w:bidi w:val="0"/>
        <w:spacing w:before="79" w:after="0" w:line="500" w:lineRule="exact"/>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14:paraId="046BAF61">
      <w:pPr>
        <w:pageBreakBefore w:val="0"/>
        <w:widowControl w:val="0"/>
        <w:tabs>
          <w:tab w:val="left" w:pos="5861"/>
          <w:tab w:val="left" w:pos="8556"/>
        </w:tabs>
        <w:kinsoku/>
        <w:overflowPunct/>
        <w:topLinePunct w:val="0"/>
        <w:autoSpaceDE w:val="0"/>
        <w:autoSpaceDN w:val="0"/>
        <w:bidi w:val="0"/>
        <w:spacing w:before="160" w:after="0" w:line="500" w:lineRule="exact"/>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14:paraId="0E5F1D09">
      <w:pPr>
        <w:pageBreakBefore w:val="0"/>
        <w:kinsoku/>
        <w:overflowPunct/>
        <w:topLinePunct w:val="0"/>
        <w:bidi w:val="0"/>
        <w:spacing w:line="500" w:lineRule="exact"/>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本页《最终承包报价书（第</w:t>
      </w:r>
      <w:r>
        <w:rPr>
          <w:rFonts w:hint="eastAsia" w:asciiTheme="minorEastAsia" w:hAnsiTheme="minorEastAsia" w:eastAsiaTheme="minorEastAsia" w:cstheme="minorEastAsia"/>
          <w:b/>
          <w:bCs/>
          <w:sz w:val="24"/>
          <w:szCs w:val="22"/>
          <w:u w:val="single"/>
          <w:lang w:val="zh-CN" w:eastAsia="zh-CN"/>
        </w:rPr>
        <w:t xml:space="preserve">    </w:t>
      </w:r>
      <w:r>
        <w:rPr>
          <w:rFonts w:hint="eastAsia" w:asciiTheme="minorEastAsia" w:hAnsiTheme="minorEastAsia" w:eastAsiaTheme="minorEastAsia" w:cstheme="minorEastAsia"/>
          <w:b/>
          <w:bCs/>
          <w:sz w:val="24"/>
          <w:szCs w:val="22"/>
          <w:u w:val="single"/>
          <w:lang w:val="zh-CN" w:eastAsia="zh-CN"/>
        </w:rPr>
        <w:tab/>
      </w:r>
      <w:r>
        <w:rPr>
          <w:rFonts w:hint="eastAsia" w:asciiTheme="minorEastAsia" w:hAnsiTheme="minorEastAsia" w:eastAsiaTheme="minorEastAsia" w:cstheme="minorEastAsia"/>
          <w:b/>
          <w:bCs/>
          <w:sz w:val="24"/>
          <w:szCs w:val="22"/>
          <w:lang w:val="zh-CN" w:eastAsia="zh-CN"/>
        </w:rPr>
        <w:t>次报价书）》由供应商在现场依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w:t>
      </w:r>
      <w:r>
        <w:rPr>
          <w:rFonts w:hint="eastAsia" w:ascii="宋体" w:hAnsi="宋体" w:eastAsia="宋体" w:cs="宋体"/>
          <w:b/>
          <w:color w:val="auto"/>
          <w:sz w:val="24"/>
          <w:szCs w:val="24"/>
          <w:highlight w:val="none"/>
        </w:rPr>
        <w:t>（勿需装订在谈判文件内）</w:t>
      </w:r>
      <w:r>
        <w:rPr>
          <w:rFonts w:hint="eastAsia" w:ascii="宋体" w:hAnsi="宋体" w:eastAsia="宋体" w:cs="宋体"/>
          <w:b/>
          <w:color w:val="auto"/>
          <w:sz w:val="24"/>
          <w:szCs w:val="24"/>
          <w:highlight w:val="none"/>
          <w:lang w:eastAsia="zh-CN"/>
        </w:rPr>
        <w:t>，</w:t>
      </w:r>
      <w:r>
        <w:rPr>
          <w:rFonts w:hint="eastAsia" w:asciiTheme="minorEastAsia" w:hAnsiTheme="minorEastAsia" w:eastAsiaTheme="minorEastAsia" w:cstheme="minorEastAsia"/>
          <w:b/>
          <w:bCs/>
          <w:sz w:val="24"/>
          <w:szCs w:val="22"/>
          <w:lang w:val="zh-CN" w:eastAsia="zh-CN"/>
        </w:rPr>
        <w:t>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w:t>
      </w:r>
    </w:p>
    <w:p w14:paraId="62233294">
      <w:pPr>
        <w:pageBreakBefore w:val="0"/>
        <w:numPr>
          <w:ilvl w:val="0"/>
          <w:numId w:val="0"/>
        </w:numPr>
        <w:kinsoku/>
        <w:overflowPunct/>
        <w:topLinePunct w:val="0"/>
        <w:bidi w:val="0"/>
        <w:spacing w:line="500" w:lineRule="exact"/>
        <w:rPr>
          <w:bCs/>
          <w:color w:val="auto"/>
        </w:rPr>
      </w:pPr>
      <w:r>
        <w:rPr>
          <w:rFonts w:hint="eastAsia" w:ascii="宋体" w:hAnsi="宋体" w:eastAsia="宋体" w:cs="宋体"/>
          <w:b/>
          <w:color w:val="auto"/>
          <w:kern w:val="2"/>
          <w:sz w:val="24"/>
          <w:szCs w:val="24"/>
          <w:lang w:val="en-US" w:eastAsia="zh-CN" w:bidi="ar-SA"/>
        </w:rPr>
        <w:t>2、</w:t>
      </w:r>
      <w:r>
        <w:rPr>
          <w:rFonts w:hint="eastAsia" w:ascii="宋体" w:hAnsi="宋体" w:eastAsia="宋体" w:cs="宋体"/>
          <w:b/>
          <w:color w:val="auto"/>
          <w:kern w:val="2"/>
          <w:sz w:val="24"/>
          <w:szCs w:val="24"/>
          <w:highlight w:val="none"/>
          <w:lang w:val="en-US" w:eastAsia="zh-CN" w:bidi="ar-SA"/>
        </w:rPr>
        <w:t>最终报价单位为元，最多保留两位小数。</w:t>
      </w:r>
    </w:p>
    <w:p w14:paraId="3B9B2DDD">
      <w:pPr>
        <w:rPr>
          <w:rFonts w:hAnsi="宋体" w:cs="宋体"/>
          <w:sz w:val="24"/>
          <w:szCs w:val="32"/>
        </w:rPr>
      </w:pPr>
    </w:p>
    <w:sectPr>
      <w:headerReference r:id="rId11" w:type="default"/>
      <w:footerReference r:id="rId13" w:type="default"/>
      <w:headerReference r:id="rId12" w:type="even"/>
      <w:footerReference r:id="rId14" w:type="even"/>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DotumChe">
    <w:altName w:val="Times New Roman"/>
    <w:panose1 w:val="020B0609000101010101"/>
    <w:charset w:val="81"/>
    <w:family w:val="modern"/>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D9634">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C91814">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10C91814">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8FD56">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BA4A00">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zLBcsoBAACc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fmPUr1wN/s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zLBcsoBAACcAwAADgAAAAAAAAABACAAAAAeAQAAZHJzL2Uyb0Rv&#10;Yy54bWxQSwUGAAAAAAYABgBZAQAAWgUAAAAA&#10;">
              <v:fill on="f" focussize="0,0"/>
              <v:stroke on="f"/>
              <v:imagedata o:title=""/>
              <o:lock v:ext="edit" aspectratio="f"/>
              <v:textbox inset="0mm,0mm,0mm,0mm" style="mso-fit-shape-to-text:t;">
                <w:txbxContent>
                  <w:p w14:paraId="5ABA4A00">
                    <w:pPr>
                      <w:pStyle w:val="2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2E3C3F">
                          <w:pPr>
                            <w:pStyle w:val="2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562E3C3F">
                    <w:pPr>
                      <w:pStyle w:val="2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6A0F">
    <w:pPr>
      <w:spacing w:line="176" w:lineRule="auto"/>
      <w:ind w:left="43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9F2B1A">
                          <w:pPr>
                            <w:pStyle w:val="2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D08s8BAACqAwAADgAAAGRycy9lMm9Eb2MueG1srVPNjtMwEL4j8Q6W&#10;7zRpQ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V5w5YenBL9+/XX78uvz8ypbl&#10;y2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V0PTyzwEAAKoDAAAOAAAAAAAAAAEAIAAAAB4BAABkcnMv&#10;ZTJvRG9jLnhtbFBLBQYAAAAABgAGAFkBAABfBQAAAAA=&#10;">
              <v:fill on="f" focussize="0,0"/>
              <v:stroke on="f"/>
              <v:imagedata o:title=""/>
              <o:lock v:ext="edit" aspectratio="f"/>
              <v:textbox inset="0mm,0mm,0mm,0mm" style="mso-fit-shape-to-text:t;">
                <w:txbxContent>
                  <w:p w14:paraId="5E9F2B1A">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D3FA">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78B600">
                          <w:pPr>
                            <w:pStyle w:val="20"/>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QY0Hs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QY0HsoBAACcAwAADgAAAAAAAAABACAAAAAeAQAAZHJzL2Uyb0Rv&#10;Yy54bWxQSwUGAAAAAAYABgBZAQAAWgUAAAAA&#10;">
              <v:fill on="f" focussize="0,0"/>
              <v:stroke on="f"/>
              <v:imagedata o:title=""/>
              <o:lock v:ext="edit" aspectratio="f"/>
              <v:textbox inset="0mm,0mm,0mm,0mm" style="mso-fit-shape-to-text:t;">
                <w:txbxContent>
                  <w:p w14:paraId="4078B600">
                    <w:pPr>
                      <w:pStyle w:val="2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B6C3A">
    <w:pPr>
      <w:pStyle w:val="20"/>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14:paraId="09D2216D">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9DB70">
    <w:pPr>
      <w:pStyle w:val="2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CDC7CC">
                          <w:pPr>
                            <w:pStyle w:val="20"/>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xOKMsBAACcAwAADgAAAGRycy9lMm9Eb2MueG1srVPNjtMwEL4j8Q6W&#10;79RpV1p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JYSxy0O/PL92+XHr8vPr2RZ&#10;3dxkhfoANSY+BExNwxs/4N7MfkBnJj6oaPMXKRGMo77nq75ySETkR+vVel1hSGBsviA+e3weIqS3&#10;0luSjYZGHGDRlZ/eQxpT55Rczfl7bUwZonF/ORAze1jufewxW2nYDxOhvW/PyKfH2TfU4apTYt45&#10;lDavyWzE2djPxjFEfejKHuV6EF4f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cTijLAQAAnAMAAA4AAAAAAAAAAQAgAAAAHgEAAGRycy9lMm9E&#10;b2MueG1sUEsFBgAAAAAGAAYAWQEAAFsFAAAAAA==&#10;">
              <v:fill on="f" focussize="0,0"/>
              <v:stroke on="f"/>
              <v:imagedata o:title=""/>
              <o:lock v:ext="edit" aspectratio="f"/>
              <v:textbox inset="0mm,0mm,0mm,0mm" style="mso-fit-shape-to-text:t;">
                <w:txbxContent>
                  <w:p w14:paraId="4BCDC7CC">
                    <w:pPr>
                      <w:pStyle w:val="2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46E8B">
    <w:pPr>
      <w:pStyle w:val="20"/>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14:paraId="3AA3FDD9">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7EF2A">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A55CF">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54E2C">
    <w:pPr>
      <w:pStyle w:val="21"/>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14:paraId="490E6939">
    <w:pPr>
      <w:pStyle w:val="21"/>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73AC1">
    <w:pPr>
      <w:pStyle w:val="2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F56CB">
    <w:pPr>
      <w:pStyle w:val="21"/>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14:paraId="60A7558F">
    <w:pPr>
      <w:pStyle w:val="2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606AFB53"/>
    <w:multiLevelType w:val="singleLevel"/>
    <w:tmpl w:val="606AFB5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MWI5YmJmY2Y0NTYxYzI5ODYzNmM5YTg1ZWMyYWIifQ=="/>
  </w:docVars>
  <w:rsids>
    <w:rsidRoot w:val="002D677B"/>
    <w:rsid w:val="00004421"/>
    <w:rsid w:val="000145D1"/>
    <w:rsid w:val="00015C71"/>
    <w:rsid w:val="00017F4E"/>
    <w:rsid w:val="00042454"/>
    <w:rsid w:val="00047B18"/>
    <w:rsid w:val="000512E3"/>
    <w:rsid w:val="00055355"/>
    <w:rsid w:val="00057B34"/>
    <w:rsid w:val="00066BCF"/>
    <w:rsid w:val="00083A3D"/>
    <w:rsid w:val="00085013"/>
    <w:rsid w:val="0008734A"/>
    <w:rsid w:val="00091912"/>
    <w:rsid w:val="00092365"/>
    <w:rsid w:val="00095459"/>
    <w:rsid w:val="000A3D75"/>
    <w:rsid w:val="000A6C92"/>
    <w:rsid w:val="000D5884"/>
    <w:rsid w:val="000E103D"/>
    <w:rsid w:val="0010048A"/>
    <w:rsid w:val="00111E06"/>
    <w:rsid w:val="00122307"/>
    <w:rsid w:val="001252D5"/>
    <w:rsid w:val="001260B2"/>
    <w:rsid w:val="00135355"/>
    <w:rsid w:val="00143438"/>
    <w:rsid w:val="00146D70"/>
    <w:rsid w:val="00156254"/>
    <w:rsid w:val="001723C8"/>
    <w:rsid w:val="001A3254"/>
    <w:rsid w:val="001B57E1"/>
    <w:rsid w:val="001D0C74"/>
    <w:rsid w:val="0021447E"/>
    <w:rsid w:val="002175D2"/>
    <w:rsid w:val="00222133"/>
    <w:rsid w:val="00230806"/>
    <w:rsid w:val="00232B23"/>
    <w:rsid w:val="00237471"/>
    <w:rsid w:val="002656AE"/>
    <w:rsid w:val="00272CC9"/>
    <w:rsid w:val="00275023"/>
    <w:rsid w:val="00295D2C"/>
    <w:rsid w:val="002A5B98"/>
    <w:rsid w:val="002C3E11"/>
    <w:rsid w:val="002C5B38"/>
    <w:rsid w:val="002D508E"/>
    <w:rsid w:val="002D677B"/>
    <w:rsid w:val="002F334D"/>
    <w:rsid w:val="002F39AD"/>
    <w:rsid w:val="002F5374"/>
    <w:rsid w:val="002F5CAB"/>
    <w:rsid w:val="003342EF"/>
    <w:rsid w:val="00341CB0"/>
    <w:rsid w:val="003452C5"/>
    <w:rsid w:val="003540FC"/>
    <w:rsid w:val="003808D6"/>
    <w:rsid w:val="0039588E"/>
    <w:rsid w:val="003A03AB"/>
    <w:rsid w:val="003A6740"/>
    <w:rsid w:val="003B2EDC"/>
    <w:rsid w:val="003B7B6B"/>
    <w:rsid w:val="003C2E20"/>
    <w:rsid w:val="003E0B3C"/>
    <w:rsid w:val="003E7C3B"/>
    <w:rsid w:val="00424DA5"/>
    <w:rsid w:val="0042639B"/>
    <w:rsid w:val="0044129B"/>
    <w:rsid w:val="004413B4"/>
    <w:rsid w:val="00453F7D"/>
    <w:rsid w:val="00467683"/>
    <w:rsid w:val="00480533"/>
    <w:rsid w:val="004B422C"/>
    <w:rsid w:val="004C64FF"/>
    <w:rsid w:val="004D417F"/>
    <w:rsid w:val="004D5F5D"/>
    <w:rsid w:val="00524A87"/>
    <w:rsid w:val="00533AAE"/>
    <w:rsid w:val="005376B2"/>
    <w:rsid w:val="00554448"/>
    <w:rsid w:val="00554CE3"/>
    <w:rsid w:val="0059071F"/>
    <w:rsid w:val="005E56CC"/>
    <w:rsid w:val="00631A78"/>
    <w:rsid w:val="00654D2C"/>
    <w:rsid w:val="00661562"/>
    <w:rsid w:val="00667DEC"/>
    <w:rsid w:val="006758D4"/>
    <w:rsid w:val="00692C44"/>
    <w:rsid w:val="006A47DE"/>
    <w:rsid w:val="006B21E7"/>
    <w:rsid w:val="006C6C46"/>
    <w:rsid w:val="006D3DB9"/>
    <w:rsid w:val="006D3E10"/>
    <w:rsid w:val="006F01D1"/>
    <w:rsid w:val="006F15F4"/>
    <w:rsid w:val="006F1A5A"/>
    <w:rsid w:val="006F3D3E"/>
    <w:rsid w:val="00703A7D"/>
    <w:rsid w:val="00723EFB"/>
    <w:rsid w:val="00755A28"/>
    <w:rsid w:val="0076570F"/>
    <w:rsid w:val="00766A44"/>
    <w:rsid w:val="007679E5"/>
    <w:rsid w:val="00767BB2"/>
    <w:rsid w:val="0079235B"/>
    <w:rsid w:val="007B00FB"/>
    <w:rsid w:val="007C07BE"/>
    <w:rsid w:val="007E5141"/>
    <w:rsid w:val="007F618A"/>
    <w:rsid w:val="00810784"/>
    <w:rsid w:val="00812341"/>
    <w:rsid w:val="00821E97"/>
    <w:rsid w:val="00821EE8"/>
    <w:rsid w:val="00836866"/>
    <w:rsid w:val="0086536B"/>
    <w:rsid w:val="008958C5"/>
    <w:rsid w:val="008A6D3D"/>
    <w:rsid w:val="008B0E3B"/>
    <w:rsid w:val="008C0ED2"/>
    <w:rsid w:val="008D216E"/>
    <w:rsid w:val="008F2946"/>
    <w:rsid w:val="00917C0D"/>
    <w:rsid w:val="00920D4C"/>
    <w:rsid w:val="00922A63"/>
    <w:rsid w:val="0092331E"/>
    <w:rsid w:val="00925990"/>
    <w:rsid w:val="00940C0D"/>
    <w:rsid w:val="0094320A"/>
    <w:rsid w:val="009622C1"/>
    <w:rsid w:val="00974003"/>
    <w:rsid w:val="0097577C"/>
    <w:rsid w:val="00980525"/>
    <w:rsid w:val="00987BA6"/>
    <w:rsid w:val="009B33B5"/>
    <w:rsid w:val="009B5EF1"/>
    <w:rsid w:val="009E1068"/>
    <w:rsid w:val="00A12534"/>
    <w:rsid w:val="00A17EB8"/>
    <w:rsid w:val="00A2462A"/>
    <w:rsid w:val="00A5114C"/>
    <w:rsid w:val="00A52EA8"/>
    <w:rsid w:val="00A612D2"/>
    <w:rsid w:val="00A74097"/>
    <w:rsid w:val="00A80EBE"/>
    <w:rsid w:val="00A8449C"/>
    <w:rsid w:val="00A85BA0"/>
    <w:rsid w:val="00A95755"/>
    <w:rsid w:val="00A957C6"/>
    <w:rsid w:val="00AA373B"/>
    <w:rsid w:val="00AA3AD8"/>
    <w:rsid w:val="00AA695A"/>
    <w:rsid w:val="00AB056C"/>
    <w:rsid w:val="00AB51D7"/>
    <w:rsid w:val="00AC4741"/>
    <w:rsid w:val="00AF4510"/>
    <w:rsid w:val="00B20E80"/>
    <w:rsid w:val="00B27CFD"/>
    <w:rsid w:val="00B410F6"/>
    <w:rsid w:val="00B5490B"/>
    <w:rsid w:val="00B57818"/>
    <w:rsid w:val="00B70C68"/>
    <w:rsid w:val="00B80346"/>
    <w:rsid w:val="00B83865"/>
    <w:rsid w:val="00BA10A8"/>
    <w:rsid w:val="00BA136D"/>
    <w:rsid w:val="00BA3764"/>
    <w:rsid w:val="00BB722E"/>
    <w:rsid w:val="00BB7605"/>
    <w:rsid w:val="00C2167A"/>
    <w:rsid w:val="00C27B98"/>
    <w:rsid w:val="00C35B5F"/>
    <w:rsid w:val="00C37D4A"/>
    <w:rsid w:val="00C5087F"/>
    <w:rsid w:val="00C7238B"/>
    <w:rsid w:val="00C734AB"/>
    <w:rsid w:val="00C84AAC"/>
    <w:rsid w:val="00C97CD9"/>
    <w:rsid w:val="00CA32AE"/>
    <w:rsid w:val="00CA59D0"/>
    <w:rsid w:val="00CA60CE"/>
    <w:rsid w:val="00CC020D"/>
    <w:rsid w:val="00CC2B9F"/>
    <w:rsid w:val="00CE1386"/>
    <w:rsid w:val="00CE28E9"/>
    <w:rsid w:val="00CF10C1"/>
    <w:rsid w:val="00CF3743"/>
    <w:rsid w:val="00D027C9"/>
    <w:rsid w:val="00D10B7C"/>
    <w:rsid w:val="00D13AEE"/>
    <w:rsid w:val="00D16453"/>
    <w:rsid w:val="00D175FB"/>
    <w:rsid w:val="00D17CE1"/>
    <w:rsid w:val="00D21312"/>
    <w:rsid w:val="00D30EA8"/>
    <w:rsid w:val="00D33ECF"/>
    <w:rsid w:val="00D6083A"/>
    <w:rsid w:val="00D94E40"/>
    <w:rsid w:val="00DA7984"/>
    <w:rsid w:val="00DD2C6C"/>
    <w:rsid w:val="00DE18CD"/>
    <w:rsid w:val="00E11038"/>
    <w:rsid w:val="00E12E66"/>
    <w:rsid w:val="00E20914"/>
    <w:rsid w:val="00E51EF9"/>
    <w:rsid w:val="00E566FF"/>
    <w:rsid w:val="00E83E73"/>
    <w:rsid w:val="00E912B4"/>
    <w:rsid w:val="00EA25B6"/>
    <w:rsid w:val="00EB6BB0"/>
    <w:rsid w:val="00EC0762"/>
    <w:rsid w:val="00EE1E3E"/>
    <w:rsid w:val="00EE4358"/>
    <w:rsid w:val="00EE5630"/>
    <w:rsid w:val="00EF2195"/>
    <w:rsid w:val="00EF260D"/>
    <w:rsid w:val="00EF3C5F"/>
    <w:rsid w:val="00F10319"/>
    <w:rsid w:val="00F2044E"/>
    <w:rsid w:val="00F22829"/>
    <w:rsid w:val="00F40445"/>
    <w:rsid w:val="00F464A7"/>
    <w:rsid w:val="00F47B41"/>
    <w:rsid w:val="00F564DA"/>
    <w:rsid w:val="00F64830"/>
    <w:rsid w:val="00F7459D"/>
    <w:rsid w:val="00F74BC0"/>
    <w:rsid w:val="00F819CE"/>
    <w:rsid w:val="00F91C4B"/>
    <w:rsid w:val="00F977E8"/>
    <w:rsid w:val="00FA1EEE"/>
    <w:rsid w:val="00FA35DA"/>
    <w:rsid w:val="00FB2149"/>
    <w:rsid w:val="00FC1D08"/>
    <w:rsid w:val="00FC7A00"/>
    <w:rsid w:val="00FD0939"/>
    <w:rsid w:val="00FF1C7C"/>
    <w:rsid w:val="017E1B19"/>
    <w:rsid w:val="01D029E9"/>
    <w:rsid w:val="01ED3B47"/>
    <w:rsid w:val="03062E20"/>
    <w:rsid w:val="03B22505"/>
    <w:rsid w:val="04013293"/>
    <w:rsid w:val="04067181"/>
    <w:rsid w:val="04103CCA"/>
    <w:rsid w:val="04EE7346"/>
    <w:rsid w:val="05036D27"/>
    <w:rsid w:val="05045387"/>
    <w:rsid w:val="05104E6D"/>
    <w:rsid w:val="05ED76CD"/>
    <w:rsid w:val="062214BD"/>
    <w:rsid w:val="06262FF6"/>
    <w:rsid w:val="063254ED"/>
    <w:rsid w:val="070E6A0C"/>
    <w:rsid w:val="07267565"/>
    <w:rsid w:val="078C18B4"/>
    <w:rsid w:val="07A20F5E"/>
    <w:rsid w:val="0861256E"/>
    <w:rsid w:val="095F7F4C"/>
    <w:rsid w:val="09A60123"/>
    <w:rsid w:val="09AE75F4"/>
    <w:rsid w:val="09B95F2A"/>
    <w:rsid w:val="0A0C7574"/>
    <w:rsid w:val="0A161A89"/>
    <w:rsid w:val="0A424E4D"/>
    <w:rsid w:val="0AF82AC1"/>
    <w:rsid w:val="0B216451"/>
    <w:rsid w:val="0B66533A"/>
    <w:rsid w:val="0B84414D"/>
    <w:rsid w:val="0BD46BAD"/>
    <w:rsid w:val="0BE120B2"/>
    <w:rsid w:val="0C26399B"/>
    <w:rsid w:val="0CEC43CA"/>
    <w:rsid w:val="0D50431A"/>
    <w:rsid w:val="0D712E27"/>
    <w:rsid w:val="0DF624E0"/>
    <w:rsid w:val="0E346850"/>
    <w:rsid w:val="0E404088"/>
    <w:rsid w:val="0EA113FA"/>
    <w:rsid w:val="0EB53450"/>
    <w:rsid w:val="0ECA11CC"/>
    <w:rsid w:val="0F390E8E"/>
    <w:rsid w:val="0F625791"/>
    <w:rsid w:val="0F8F57EF"/>
    <w:rsid w:val="0FF97625"/>
    <w:rsid w:val="1018304A"/>
    <w:rsid w:val="110475FD"/>
    <w:rsid w:val="11820B13"/>
    <w:rsid w:val="119066D9"/>
    <w:rsid w:val="11A335B5"/>
    <w:rsid w:val="1219428E"/>
    <w:rsid w:val="13490C7D"/>
    <w:rsid w:val="135C3D02"/>
    <w:rsid w:val="14E1184E"/>
    <w:rsid w:val="14E27C21"/>
    <w:rsid w:val="153B2049"/>
    <w:rsid w:val="15614DA8"/>
    <w:rsid w:val="15AD79BC"/>
    <w:rsid w:val="15C36A6F"/>
    <w:rsid w:val="16066864"/>
    <w:rsid w:val="16991EF7"/>
    <w:rsid w:val="173850A7"/>
    <w:rsid w:val="174C0AC9"/>
    <w:rsid w:val="177B4CDC"/>
    <w:rsid w:val="17BA7FA6"/>
    <w:rsid w:val="192B2CC7"/>
    <w:rsid w:val="198B1495"/>
    <w:rsid w:val="1997486D"/>
    <w:rsid w:val="1A00092C"/>
    <w:rsid w:val="1A6C248D"/>
    <w:rsid w:val="1AC76DF0"/>
    <w:rsid w:val="1AE159B8"/>
    <w:rsid w:val="1AF45622"/>
    <w:rsid w:val="1B5A7D5C"/>
    <w:rsid w:val="1B7B26E1"/>
    <w:rsid w:val="1BFC2F54"/>
    <w:rsid w:val="1C1A0C17"/>
    <w:rsid w:val="1C32741A"/>
    <w:rsid w:val="1C3F0B4C"/>
    <w:rsid w:val="1C405AE5"/>
    <w:rsid w:val="1CA15803"/>
    <w:rsid w:val="1D765EE5"/>
    <w:rsid w:val="1D960483"/>
    <w:rsid w:val="1DF15284"/>
    <w:rsid w:val="1E0F670C"/>
    <w:rsid w:val="1F1437EE"/>
    <w:rsid w:val="1F171CFB"/>
    <w:rsid w:val="1F3C13B6"/>
    <w:rsid w:val="1F4B49D6"/>
    <w:rsid w:val="1FF85069"/>
    <w:rsid w:val="20F41885"/>
    <w:rsid w:val="21993B18"/>
    <w:rsid w:val="22464B8D"/>
    <w:rsid w:val="229A201B"/>
    <w:rsid w:val="22BDFA33"/>
    <w:rsid w:val="236E2F6E"/>
    <w:rsid w:val="239974D6"/>
    <w:rsid w:val="23E266D0"/>
    <w:rsid w:val="23E4618A"/>
    <w:rsid w:val="244E3D8C"/>
    <w:rsid w:val="24995226"/>
    <w:rsid w:val="24B335CE"/>
    <w:rsid w:val="252C74BE"/>
    <w:rsid w:val="25CC174F"/>
    <w:rsid w:val="25EF0E4B"/>
    <w:rsid w:val="269C26E3"/>
    <w:rsid w:val="27001EC8"/>
    <w:rsid w:val="272E2D63"/>
    <w:rsid w:val="27410CB9"/>
    <w:rsid w:val="276D441A"/>
    <w:rsid w:val="279A5DB4"/>
    <w:rsid w:val="27A504B9"/>
    <w:rsid w:val="2861396F"/>
    <w:rsid w:val="28B44010"/>
    <w:rsid w:val="29384EA8"/>
    <w:rsid w:val="29E26463"/>
    <w:rsid w:val="2A023B5C"/>
    <w:rsid w:val="2A07065D"/>
    <w:rsid w:val="2A0A08C3"/>
    <w:rsid w:val="2A1801B0"/>
    <w:rsid w:val="2A534564"/>
    <w:rsid w:val="2A573A70"/>
    <w:rsid w:val="2ADB55E8"/>
    <w:rsid w:val="2CBD48CE"/>
    <w:rsid w:val="2CE211B2"/>
    <w:rsid w:val="2E015B36"/>
    <w:rsid w:val="2E275F81"/>
    <w:rsid w:val="2E453834"/>
    <w:rsid w:val="2E4E51C2"/>
    <w:rsid w:val="2E77681E"/>
    <w:rsid w:val="2F4B2B19"/>
    <w:rsid w:val="2F6246CC"/>
    <w:rsid w:val="2F6F0CA0"/>
    <w:rsid w:val="2FC53683"/>
    <w:rsid w:val="2FE97A5F"/>
    <w:rsid w:val="305A47DE"/>
    <w:rsid w:val="309E348C"/>
    <w:rsid w:val="310F3CAE"/>
    <w:rsid w:val="31394322"/>
    <w:rsid w:val="3184082E"/>
    <w:rsid w:val="32617B06"/>
    <w:rsid w:val="328304A8"/>
    <w:rsid w:val="32BC5F4D"/>
    <w:rsid w:val="336C7C50"/>
    <w:rsid w:val="33896203"/>
    <w:rsid w:val="33FE364D"/>
    <w:rsid w:val="341512ED"/>
    <w:rsid w:val="3429115A"/>
    <w:rsid w:val="34F2580B"/>
    <w:rsid w:val="35A45821"/>
    <w:rsid w:val="36024564"/>
    <w:rsid w:val="36276335"/>
    <w:rsid w:val="36981B5D"/>
    <w:rsid w:val="36A9634B"/>
    <w:rsid w:val="36D079C8"/>
    <w:rsid w:val="37D716E7"/>
    <w:rsid w:val="37FE6A0C"/>
    <w:rsid w:val="39034B3A"/>
    <w:rsid w:val="391D218E"/>
    <w:rsid w:val="39D761EF"/>
    <w:rsid w:val="39DB72F7"/>
    <w:rsid w:val="3A342638"/>
    <w:rsid w:val="3A8F3EBA"/>
    <w:rsid w:val="3AB10259"/>
    <w:rsid w:val="3ABA6222"/>
    <w:rsid w:val="3AE4207A"/>
    <w:rsid w:val="3AF64E5C"/>
    <w:rsid w:val="3B301F44"/>
    <w:rsid w:val="3BAE4829"/>
    <w:rsid w:val="3BDF73C5"/>
    <w:rsid w:val="3C7E6224"/>
    <w:rsid w:val="3D902D22"/>
    <w:rsid w:val="3DF4021A"/>
    <w:rsid w:val="3E047963"/>
    <w:rsid w:val="3E8E5BBA"/>
    <w:rsid w:val="3EB86069"/>
    <w:rsid w:val="3ECE69ED"/>
    <w:rsid w:val="3EDC10FF"/>
    <w:rsid w:val="3F0A5E23"/>
    <w:rsid w:val="3F446ADE"/>
    <w:rsid w:val="3F785608"/>
    <w:rsid w:val="3FA30576"/>
    <w:rsid w:val="3FFEC4E3"/>
    <w:rsid w:val="402734A4"/>
    <w:rsid w:val="405A4873"/>
    <w:rsid w:val="407B3EBF"/>
    <w:rsid w:val="408B7AEC"/>
    <w:rsid w:val="40DF693D"/>
    <w:rsid w:val="40F16A8E"/>
    <w:rsid w:val="412545BE"/>
    <w:rsid w:val="4184340D"/>
    <w:rsid w:val="41E21275"/>
    <w:rsid w:val="428C60A6"/>
    <w:rsid w:val="42D67AEC"/>
    <w:rsid w:val="42F6152E"/>
    <w:rsid w:val="42FF6CFF"/>
    <w:rsid w:val="430F2571"/>
    <w:rsid w:val="43771108"/>
    <w:rsid w:val="438C4E1A"/>
    <w:rsid w:val="44374467"/>
    <w:rsid w:val="4440126D"/>
    <w:rsid w:val="446523D2"/>
    <w:rsid w:val="44C956AE"/>
    <w:rsid w:val="44DA0696"/>
    <w:rsid w:val="44E45943"/>
    <w:rsid w:val="4583380E"/>
    <w:rsid w:val="45993146"/>
    <w:rsid w:val="45EB3538"/>
    <w:rsid w:val="4619382C"/>
    <w:rsid w:val="46440499"/>
    <w:rsid w:val="46771AC0"/>
    <w:rsid w:val="47867C8A"/>
    <w:rsid w:val="479B001B"/>
    <w:rsid w:val="47D21CE6"/>
    <w:rsid w:val="48876507"/>
    <w:rsid w:val="4895151C"/>
    <w:rsid w:val="48A14890"/>
    <w:rsid w:val="495628A5"/>
    <w:rsid w:val="4A4C0CEF"/>
    <w:rsid w:val="4A67403B"/>
    <w:rsid w:val="4A6A6784"/>
    <w:rsid w:val="4A734E79"/>
    <w:rsid w:val="4AD27698"/>
    <w:rsid w:val="4AFE6652"/>
    <w:rsid w:val="4B1B114F"/>
    <w:rsid w:val="4B250368"/>
    <w:rsid w:val="4B7F6C9B"/>
    <w:rsid w:val="4BB01238"/>
    <w:rsid w:val="4BF93ABC"/>
    <w:rsid w:val="4C2F1AF1"/>
    <w:rsid w:val="4C3F1A69"/>
    <w:rsid w:val="4C4C7D4D"/>
    <w:rsid w:val="4C692E82"/>
    <w:rsid w:val="4C974380"/>
    <w:rsid w:val="4CA7336B"/>
    <w:rsid w:val="4D001539"/>
    <w:rsid w:val="4D060FF1"/>
    <w:rsid w:val="4D714797"/>
    <w:rsid w:val="4D7809BA"/>
    <w:rsid w:val="4D9F0EEA"/>
    <w:rsid w:val="4F095D32"/>
    <w:rsid w:val="4F1A4882"/>
    <w:rsid w:val="4F3C4DEC"/>
    <w:rsid w:val="4FFD6F40"/>
    <w:rsid w:val="504900D3"/>
    <w:rsid w:val="516B5FEC"/>
    <w:rsid w:val="52892F5B"/>
    <w:rsid w:val="52F61709"/>
    <w:rsid w:val="530F0207"/>
    <w:rsid w:val="54073585"/>
    <w:rsid w:val="54995B0C"/>
    <w:rsid w:val="54DB7C79"/>
    <w:rsid w:val="54E74E26"/>
    <w:rsid w:val="55580A4D"/>
    <w:rsid w:val="55B45B96"/>
    <w:rsid w:val="55DC1770"/>
    <w:rsid w:val="55EB22AC"/>
    <w:rsid w:val="561133F2"/>
    <w:rsid w:val="56571FFA"/>
    <w:rsid w:val="56A35AD2"/>
    <w:rsid w:val="56A92CC7"/>
    <w:rsid w:val="577C2B01"/>
    <w:rsid w:val="58BD10F2"/>
    <w:rsid w:val="58CD33C2"/>
    <w:rsid w:val="596469D4"/>
    <w:rsid w:val="59F26FBD"/>
    <w:rsid w:val="5A435D8A"/>
    <w:rsid w:val="5B7B3FD9"/>
    <w:rsid w:val="5BBC1D09"/>
    <w:rsid w:val="5C34380B"/>
    <w:rsid w:val="5CC52620"/>
    <w:rsid w:val="5CFC6999"/>
    <w:rsid w:val="5E3FDF58"/>
    <w:rsid w:val="5E425939"/>
    <w:rsid w:val="5E841E57"/>
    <w:rsid w:val="5F8A0857"/>
    <w:rsid w:val="5F912AC4"/>
    <w:rsid w:val="5FD14724"/>
    <w:rsid w:val="5FEF8784"/>
    <w:rsid w:val="5FF870D3"/>
    <w:rsid w:val="60700F30"/>
    <w:rsid w:val="607B7DDA"/>
    <w:rsid w:val="609B19AB"/>
    <w:rsid w:val="61A76748"/>
    <w:rsid w:val="62B731FE"/>
    <w:rsid w:val="63023C80"/>
    <w:rsid w:val="636D3AA1"/>
    <w:rsid w:val="64F22548"/>
    <w:rsid w:val="656062CA"/>
    <w:rsid w:val="659106E2"/>
    <w:rsid w:val="65AB236D"/>
    <w:rsid w:val="65B8080F"/>
    <w:rsid w:val="66483EC5"/>
    <w:rsid w:val="66704DB4"/>
    <w:rsid w:val="67102453"/>
    <w:rsid w:val="67937D5D"/>
    <w:rsid w:val="68A67F29"/>
    <w:rsid w:val="68C15CCA"/>
    <w:rsid w:val="696939B3"/>
    <w:rsid w:val="697D619C"/>
    <w:rsid w:val="69EE3D79"/>
    <w:rsid w:val="6A0E091D"/>
    <w:rsid w:val="6A3C12E4"/>
    <w:rsid w:val="6ABA50AD"/>
    <w:rsid w:val="6B525C47"/>
    <w:rsid w:val="6B58725B"/>
    <w:rsid w:val="6BA94127"/>
    <w:rsid w:val="6BFE46EA"/>
    <w:rsid w:val="6C7F53F2"/>
    <w:rsid w:val="6C8B20CC"/>
    <w:rsid w:val="6CA74CA3"/>
    <w:rsid w:val="6CFD412D"/>
    <w:rsid w:val="6F480127"/>
    <w:rsid w:val="6FE653D7"/>
    <w:rsid w:val="704217E5"/>
    <w:rsid w:val="70694B7B"/>
    <w:rsid w:val="71106C43"/>
    <w:rsid w:val="71152000"/>
    <w:rsid w:val="71964031"/>
    <w:rsid w:val="721756F7"/>
    <w:rsid w:val="7231680E"/>
    <w:rsid w:val="727355E1"/>
    <w:rsid w:val="72A23850"/>
    <w:rsid w:val="73775DA3"/>
    <w:rsid w:val="73917324"/>
    <w:rsid w:val="753528B6"/>
    <w:rsid w:val="7556B6C1"/>
    <w:rsid w:val="75743AE4"/>
    <w:rsid w:val="75F95225"/>
    <w:rsid w:val="7656661E"/>
    <w:rsid w:val="76E68039"/>
    <w:rsid w:val="76ED37EF"/>
    <w:rsid w:val="770F21D1"/>
    <w:rsid w:val="774B7D02"/>
    <w:rsid w:val="77CF85C6"/>
    <w:rsid w:val="77ED98B5"/>
    <w:rsid w:val="78A7019A"/>
    <w:rsid w:val="78C06712"/>
    <w:rsid w:val="78D51252"/>
    <w:rsid w:val="79BA3B0E"/>
    <w:rsid w:val="7A7237F8"/>
    <w:rsid w:val="7ABB6962"/>
    <w:rsid w:val="7AF4539C"/>
    <w:rsid w:val="7BA6539F"/>
    <w:rsid w:val="7BED92A8"/>
    <w:rsid w:val="7C013D85"/>
    <w:rsid w:val="7C662C4B"/>
    <w:rsid w:val="7DB40A20"/>
    <w:rsid w:val="7E136A50"/>
    <w:rsid w:val="7E49765A"/>
    <w:rsid w:val="7E4C0FEB"/>
    <w:rsid w:val="7E827B25"/>
    <w:rsid w:val="7EBE0C5A"/>
    <w:rsid w:val="7EFB3C47"/>
    <w:rsid w:val="7F850ECB"/>
    <w:rsid w:val="7F8F875D"/>
    <w:rsid w:val="7F9F1736"/>
    <w:rsid w:val="7FD32E51"/>
    <w:rsid w:val="7FDEA73E"/>
    <w:rsid w:val="C3FBECA6"/>
    <w:rsid w:val="D7E7DC2D"/>
    <w:rsid w:val="DEFD9298"/>
    <w:rsid w:val="DFFF5F14"/>
    <w:rsid w:val="E3DBFE11"/>
    <w:rsid w:val="F7BAF155"/>
    <w:rsid w:val="F7FB3703"/>
    <w:rsid w:val="FEF4C354"/>
    <w:rsid w:val="FFD68D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7"/>
    <w:autoRedefine/>
    <w:qFormat/>
    <w:uiPriority w:val="0"/>
    <w:pPr>
      <w:keepNext/>
      <w:outlineLvl w:val="0"/>
    </w:pPr>
    <w:rPr>
      <w:sz w:val="28"/>
      <w:szCs w:val="24"/>
    </w:rPr>
  </w:style>
  <w:style w:type="paragraph" w:styleId="3">
    <w:name w:val="heading 2"/>
    <w:basedOn w:val="1"/>
    <w:next w:val="1"/>
    <w:link w:val="100"/>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9"/>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0"/>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2520" w:leftChars="1200"/>
    </w:pPr>
  </w:style>
  <w:style w:type="paragraph" w:styleId="7">
    <w:name w:val="Document Map"/>
    <w:basedOn w:val="1"/>
    <w:link w:val="74"/>
    <w:autoRedefine/>
    <w:qFormat/>
    <w:uiPriority w:val="0"/>
    <w:pPr>
      <w:shd w:val="clear" w:color="auto" w:fill="000080"/>
    </w:pPr>
  </w:style>
  <w:style w:type="paragraph" w:styleId="8">
    <w:name w:val="annotation text"/>
    <w:basedOn w:val="1"/>
    <w:link w:val="68"/>
    <w:autoRedefine/>
    <w:semiHidden/>
    <w:qFormat/>
    <w:uiPriority w:val="99"/>
    <w:pPr>
      <w:jc w:val="left"/>
    </w:pPr>
  </w:style>
  <w:style w:type="paragraph" w:styleId="9">
    <w:name w:val="Body Text 3"/>
    <w:basedOn w:val="1"/>
    <w:link w:val="89"/>
    <w:autoRedefine/>
    <w:unhideWhenUsed/>
    <w:qFormat/>
    <w:uiPriority w:val="99"/>
    <w:pPr>
      <w:spacing w:after="120"/>
    </w:pPr>
    <w:rPr>
      <w:rFonts w:ascii="Calibri" w:hAnsi="Calibri"/>
      <w:sz w:val="16"/>
      <w:szCs w:val="16"/>
      <w:lang w:val="zh-CN"/>
    </w:rPr>
  </w:style>
  <w:style w:type="paragraph" w:styleId="10">
    <w:name w:val="Body Text"/>
    <w:basedOn w:val="1"/>
    <w:link w:val="63"/>
    <w:autoRedefine/>
    <w:qFormat/>
    <w:uiPriority w:val="0"/>
    <w:pPr>
      <w:spacing w:after="120"/>
    </w:pPr>
    <w:rPr>
      <w:szCs w:val="24"/>
    </w:rPr>
  </w:style>
  <w:style w:type="paragraph" w:styleId="11">
    <w:name w:val="Body Text Indent"/>
    <w:basedOn w:val="1"/>
    <w:next w:val="12"/>
    <w:link w:val="52"/>
    <w:autoRedefine/>
    <w:qFormat/>
    <w:uiPriority w:val="0"/>
    <w:pPr>
      <w:ind w:firstLine="540"/>
    </w:pPr>
    <w:rPr>
      <w:rFonts w:eastAsia="仿宋_GB2312"/>
      <w:sz w:val="28"/>
    </w:rPr>
  </w:style>
  <w:style w:type="paragraph" w:styleId="12">
    <w:name w:val="envelope return"/>
    <w:basedOn w:val="1"/>
    <w:unhideWhenUsed/>
    <w:qFormat/>
    <w:uiPriority w:val="99"/>
    <w:pPr>
      <w:snapToGrid w:val="0"/>
      <w:spacing w:line="360" w:lineRule="auto"/>
    </w:pPr>
    <w:rPr>
      <w:rFonts w:ascii="Arial" w:hAnsi="Arial" w:cs="Arial"/>
    </w:rPr>
  </w:style>
  <w:style w:type="paragraph" w:styleId="13">
    <w:name w:val="toc 5"/>
    <w:basedOn w:val="1"/>
    <w:next w:val="1"/>
    <w:autoRedefine/>
    <w:qFormat/>
    <w:uiPriority w:val="0"/>
    <w:pPr>
      <w:ind w:left="1680" w:leftChars="800"/>
    </w:pPr>
  </w:style>
  <w:style w:type="paragraph" w:styleId="14">
    <w:name w:val="toc 3"/>
    <w:basedOn w:val="1"/>
    <w:next w:val="1"/>
    <w:autoRedefine/>
    <w:qFormat/>
    <w:uiPriority w:val="39"/>
    <w:pPr>
      <w:ind w:left="840" w:leftChars="400"/>
    </w:pPr>
  </w:style>
  <w:style w:type="paragraph" w:styleId="15">
    <w:name w:val="Plain Text"/>
    <w:basedOn w:val="1"/>
    <w:link w:val="71"/>
    <w:autoRedefine/>
    <w:qFormat/>
    <w:uiPriority w:val="0"/>
    <w:rPr>
      <w:rFonts w:ascii="宋体" w:hAnsi="Courier New" w:cstheme="minorBidi"/>
      <w:szCs w:val="22"/>
    </w:rPr>
  </w:style>
  <w:style w:type="paragraph" w:styleId="16">
    <w:name w:val="toc 8"/>
    <w:basedOn w:val="1"/>
    <w:next w:val="1"/>
    <w:autoRedefine/>
    <w:qFormat/>
    <w:uiPriority w:val="0"/>
    <w:pPr>
      <w:ind w:left="2940" w:leftChars="1400"/>
    </w:pPr>
  </w:style>
  <w:style w:type="paragraph" w:styleId="17">
    <w:name w:val="Date"/>
    <w:basedOn w:val="1"/>
    <w:next w:val="1"/>
    <w:link w:val="51"/>
    <w:autoRedefine/>
    <w:qFormat/>
    <w:uiPriority w:val="0"/>
    <w:rPr>
      <w:rFonts w:ascii="Arial" w:hAnsi="Arial" w:eastAsia="楷体_GB2312"/>
      <w:sz w:val="28"/>
    </w:rPr>
  </w:style>
  <w:style w:type="paragraph" w:styleId="18">
    <w:name w:val="Body Text Indent 2"/>
    <w:basedOn w:val="1"/>
    <w:link w:val="54"/>
    <w:autoRedefine/>
    <w:qFormat/>
    <w:uiPriority w:val="0"/>
    <w:pPr>
      <w:tabs>
        <w:tab w:val="left" w:pos="720"/>
      </w:tabs>
      <w:ind w:right="-506" w:rightChars="-241" w:firstLine="538" w:firstLineChars="192"/>
    </w:pPr>
    <w:rPr>
      <w:rFonts w:eastAsia="仿宋_GB2312"/>
      <w:sz w:val="28"/>
    </w:rPr>
  </w:style>
  <w:style w:type="paragraph" w:styleId="19">
    <w:name w:val="Balloon Text"/>
    <w:basedOn w:val="1"/>
    <w:link w:val="65"/>
    <w:autoRedefine/>
    <w:qFormat/>
    <w:uiPriority w:val="0"/>
    <w:rPr>
      <w:sz w:val="18"/>
      <w:szCs w:val="18"/>
    </w:rPr>
  </w:style>
  <w:style w:type="paragraph" w:styleId="20">
    <w:name w:val="footer"/>
    <w:basedOn w:val="1"/>
    <w:link w:val="46"/>
    <w:autoRedefine/>
    <w:unhideWhenUsed/>
    <w:qFormat/>
    <w:uiPriority w:val="99"/>
    <w:pPr>
      <w:tabs>
        <w:tab w:val="center" w:pos="4153"/>
        <w:tab w:val="right" w:pos="8306"/>
      </w:tabs>
      <w:snapToGrid w:val="0"/>
      <w:jc w:val="left"/>
    </w:pPr>
    <w:rPr>
      <w:sz w:val="18"/>
      <w:szCs w:val="18"/>
    </w:rPr>
  </w:style>
  <w:style w:type="paragraph" w:styleId="21">
    <w:name w:val="header"/>
    <w:basedOn w:val="1"/>
    <w:link w:val="4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style>
  <w:style w:type="paragraph" w:styleId="23">
    <w:name w:val="toc 4"/>
    <w:basedOn w:val="1"/>
    <w:next w:val="1"/>
    <w:autoRedefine/>
    <w:qFormat/>
    <w:uiPriority w:val="0"/>
    <w:pPr>
      <w:ind w:left="1260" w:leftChars="600"/>
    </w:pPr>
  </w:style>
  <w:style w:type="paragraph" w:styleId="24">
    <w:name w:val="toc 6"/>
    <w:basedOn w:val="1"/>
    <w:next w:val="1"/>
    <w:autoRedefine/>
    <w:qFormat/>
    <w:uiPriority w:val="0"/>
    <w:pPr>
      <w:ind w:left="2100" w:leftChars="1000"/>
    </w:pPr>
  </w:style>
  <w:style w:type="paragraph" w:styleId="25">
    <w:name w:val="Body Text Indent 3"/>
    <w:basedOn w:val="1"/>
    <w:link w:val="60"/>
    <w:autoRedefine/>
    <w:qFormat/>
    <w:uiPriority w:val="0"/>
    <w:pPr>
      <w:ind w:left="178" w:leftChars="85" w:firstLine="560" w:firstLineChars="200"/>
    </w:pPr>
    <w:rPr>
      <w:rFonts w:ascii="仿宋_GB2312" w:hAnsi="Arial" w:eastAsia="仿宋_GB2312"/>
      <w:sz w:val="28"/>
      <w:szCs w:val="24"/>
    </w:rPr>
  </w:style>
  <w:style w:type="paragraph" w:styleId="26">
    <w:name w:val="toc 2"/>
    <w:basedOn w:val="1"/>
    <w:next w:val="1"/>
    <w:autoRedefine/>
    <w:qFormat/>
    <w:uiPriority w:val="39"/>
    <w:pPr>
      <w:ind w:left="420" w:leftChars="200"/>
    </w:pPr>
  </w:style>
  <w:style w:type="paragraph" w:styleId="27">
    <w:name w:val="toc 9"/>
    <w:basedOn w:val="1"/>
    <w:next w:val="1"/>
    <w:autoRedefine/>
    <w:qFormat/>
    <w:uiPriority w:val="0"/>
    <w:pPr>
      <w:ind w:left="3360" w:leftChars="1600"/>
    </w:pPr>
  </w:style>
  <w:style w:type="paragraph" w:styleId="28">
    <w:name w:val="Body Text 2"/>
    <w:basedOn w:val="1"/>
    <w:qFormat/>
    <w:uiPriority w:val="0"/>
    <w:pPr>
      <w:spacing w:after="120" w:line="480" w:lineRule="auto"/>
    </w:pPr>
  </w:style>
  <w:style w:type="paragraph" w:styleId="29">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autoRedefine/>
    <w:unhideWhenUsed/>
    <w:qFormat/>
    <w:uiPriority w:val="99"/>
    <w:pPr>
      <w:jc w:val="left"/>
    </w:pPr>
    <w:rPr>
      <w:kern w:val="0"/>
      <w:sz w:val="24"/>
    </w:rPr>
  </w:style>
  <w:style w:type="paragraph" w:styleId="31">
    <w:name w:val="index 1"/>
    <w:basedOn w:val="1"/>
    <w:next w:val="1"/>
    <w:autoRedefine/>
    <w:semiHidden/>
    <w:qFormat/>
    <w:uiPriority w:val="0"/>
    <w:pPr>
      <w:jc w:val="center"/>
    </w:pPr>
    <w:rPr>
      <w:rFonts w:ascii="仿宋_GB2312" w:eastAsia="仿宋_GB2312"/>
      <w:b/>
      <w:bCs/>
      <w:sz w:val="28"/>
    </w:rPr>
  </w:style>
  <w:style w:type="paragraph" w:styleId="32">
    <w:name w:val="annotation subject"/>
    <w:basedOn w:val="8"/>
    <w:next w:val="8"/>
    <w:link w:val="69"/>
    <w:autoRedefine/>
    <w:semiHidden/>
    <w:qFormat/>
    <w:uiPriority w:val="99"/>
    <w:rPr>
      <w:b/>
      <w:bCs/>
    </w:rPr>
  </w:style>
  <w:style w:type="paragraph" w:styleId="33">
    <w:name w:val="Body Text First Indent"/>
    <w:basedOn w:val="10"/>
    <w:autoRedefine/>
    <w:unhideWhenUsed/>
    <w:qFormat/>
    <w:uiPriority w:val="99"/>
    <w:pPr>
      <w:spacing w:line="400" w:lineRule="atLeast"/>
      <w:ind w:firstLine="426"/>
    </w:pPr>
    <w:rPr>
      <w:sz w:val="24"/>
      <w:szCs w:val="20"/>
    </w:rPr>
  </w:style>
  <w:style w:type="paragraph" w:styleId="34">
    <w:name w:val="Body Text First Indent 2"/>
    <w:basedOn w:val="11"/>
    <w:next w:val="1"/>
    <w:qFormat/>
    <w:uiPriority w:val="0"/>
    <w:pPr>
      <w:spacing w:line="360" w:lineRule="auto"/>
      <w:jc w:val="left"/>
    </w:pPr>
    <w:rPr>
      <w:rFonts w:cs="宋体"/>
      <w:sz w:val="28"/>
      <w:szCs w:val="28"/>
    </w:rPr>
  </w:style>
  <w:style w:type="table" w:styleId="36">
    <w:name w:val="Table Grid"/>
    <w:basedOn w:val="3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rPr>
  </w:style>
  <w:style w:type="character" w:styleId="39">
    <w:name w:val="page number"/>
    <w:basedOn w:val="37"/>
    <w:autoRedefine/>
    <w:qFormat/>
    <w:uiPriority w:val="0"/>
  </w:style>
  <w:style w:type="character" w:styleId="40">
    <w:name w:val="FollowedHyperlink"/>
    <w:basedOn w:val="37"/>
    <w:autoRedefine/>
    <w:unhideWhenUsed/>
    <w:qFormat/>
    <w:uiPriority w:val="99"/>
    <w:rPr>
      <w:color w:val="954F72" w:themeColor="followedHyperlink"/>
      <w:u w:val="single"/>
      <w14:textFill>
        <w14:solidFill>
          <w14:schemeClr w14:val="folHlink"/>
        </w14:solidFill>
      </w14:textFill>
    </w:rPr>
  </w:style>
  <w:style w:type="character" w:styleId="41">
    <w:name w:val="Hyperlink"/>
    <w:basedOn w:val="37"/>
    <w:autoRedefine/>
    <w:qFormat/>
    <w:uiPriority w:val="99"/>
    <w:rPr>
      <w:color w:val="333333"/>
      <w:u w:val="none"/>
    </w:rPr>
  </w:style>
  <w:style w:type="character" w:styleId="42">
    <w:name w:val="annotation reference"/>
    <w:autoRedefine/>
    <w:semiHidden/>
    <w:qFormat/>
    <w:uiPriority w:val="99"/>
    <w:rPr>
      <w:sz w:val="21"/>
      <w:szCs w:val="21"/>
    </w:rPr>
  </w:style>
  <w:style w:type="paragraph" w:customStyle="1" w:styleId="43">
    <w:name w:val="目录 71"/>
    <w:basedOn w:val="1"/>
    <w:next w:val="1"/>
    <w:autoRedefine/>
    <w:qFormat/>
    <w:uiPriority w:val="0"/>
    <w:pPr>
      <w:ind w:left="2520"/>
    </w:pPr>
    <w:rPr>
      <w:rFonts w:ascii="Calibri"/>
    </w:rPr>
  </w:style>
  <w:style w:type="paragraph" w:customStyle="1" w:styleId="44">
    <w:name w:val="Default"/>
    <w:autoRedefine/>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character" w:customStyle="1" w:styleId="45">
    <w:name w:val="页眉 Char"/>
    <w:basedOn w:val="37"/>
    <w:link w:val="21"/>
    <w:autoRedefine/>
    <w:qFormat/>
    <w:uiPriority w:val="0"/>
    <w:rPr>
      <w:sz w:val="18"/>
      <w:szCs w:val="18"/>
    </w:rPr>
  </w:style>
  <w:style w:type="character" w:customStyle="1" w:styleId="46">
    <w:name w:val="页脚 Char"/>
    <w:basedOn w:val="37"/>
    <w:link w:val="20"/>
    <w:autoRedefine/>
    <w:qFormat/>
    <w:uiPriority w:val="99"/>
    <w:rPr>
      <w:sz w:val="18"/>
      <w:szCs w:val="18"/>
    </w:rPr>
  </w:style>
  <w:style w:type="character" w:customStyle="1" w:styleId="47">
    <w:name w:val="标题 1 Char"/>
    <w:basedOn w:val="37"/>
    <w:link w:val="2"/>
    <w:autoRedefine/>
    <w:qFormat/>
    <w:uiPriority w:val="0"/>
    <w:rPr>
      <w:rFonts w:ascii="Times New Roman" w:hAnsi="Times New Roman" w:eastAsia="宋体" w:cs="Times New Roman"/>
      <w:sz w:val="28"/>
      <w:szCs w:val="24"/>
    </w:rPr>
  </w:style>
  <w:style w:type="character" w:customStyle="1" w:styleId="48">
    <w:name w:val="标题 2 Char"/>
    <w:basedOn w:val="37"/>
    <w:link w:val="3"/>
    <w:autoRedefine/>
    <w:qFormat/>
    <w:uiPriority w:val="0"/>
    <w:rPr>
      <w:rFonts w:ascii="Arial" w:hAnsi="Arial" w:eastAsia="黑体" w:cs="Times New Roman"/>
      <w:b/>
      <w:kern w:val="0"/>
      <w:sz w:val="32"/>
      <w:szCs w:val="20"/>
    </w:rPr>
  </w:style>
  <w:style w:type="character" w:customStyle="1" w:styleId="49">
    <w:name w:val="标题 3 Char"/>
    <w:basedOn w:val="37"/>
    <w:link w:val="4"/>
    <w:autoRedefine/>
    <w:qFormat/>
    <w:uiPriority w:val="0"/>
    <w:rPr>
      <w:rFonts w:ascii="Times New Roman" w:hAnsi="Times New Roman" w:eastAsia="宋体" w:cs="Times New Roman"/>
      <w:b/>
      <w:bCs/>
      <w:sz w:val="32"/>
      <w:szCs w:val="32"/>
      <w:lang w:val="zh-CN" w:eastAsia="zh-CN"/>
    </w:rPr>
  </w:style>
  <w:style w:type="character" w:customStyle="1" w:styleId="50">
    <w:name w:val="标题 4 Char"/>
    <w:basedOn w:val="37"/>
    <w:link w:val="5"/>
    <w:autoRedefine/>
    <w:qFormat/>
    <w:uiPriority w:val="0"/>
    <w:rPr>
      <w:rFonts w:ascii="Arial" w:hAnsi="Arial" w:eastAsia="黑体" w:cs="Times New Roman"/>
      <w:b/>
      <w:kern w:val="0"/>
      <w:sz w:val="28"/>
      <w:szCs w:val="20"/>
    </w:rPr>
  </w:style>
  <w:style w:type="character" w:customStyle="1" w:styleId="51">
    <w:name w:val="日期 Char"/>
    <w:basedOn w:val="37"/>
    <w:link w:val="17"/>
    <w:autoRedefine/>
    <w:qFormat/>
    <w:uiPriority w:val="0"/>
    <w:rPr>
      <w:rFonts w:ascii="Arial" w:hAnsi="Arial" w:eastAsia="楷体_GB2312" w:cs="Times New Roman"/>
      <w:sz w:val="28"/>
      <w:szCs w:val="20"/>
    </w:rPr>
  </w:style>
  <w:style w:type="character" w:customStyle="1" w:styleId="52">
    <w:name w:val="正文文本缩进 Char"/>
    <w:basedOn w:val="37"/>
    <w:link w:val="11"/>
    <w:autoRedefine/>
    <w:qFormat/>
    <w:uiPriority w:val="0"/>
    <w:rPr>
      <w:rFonts w:ascii="Times New Roman" w:hAnsi="Times New Roman" w:eastAsia="仿宋_GB2312" w:cs="Times New Roman"/>
      <w:sz w:val="28"/>
      <w:szCs w:val="20"/>
    </w:rPr>
  </w:style>
  <w:style w:type="paragraph" w:customStyle="1" w:styleId="53">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4">
    <w:name w:val="正文文本缩进 2 Char"/>
    <w:basedOn w:val="37"/>
    <w:link w:val="18"/>
    <w:autoRedefine/>
    <w:qFormat/>
    <w:uiPriority w:val="0"/>
    <w:rPr>
      <w:rFonts w:ascii="Times New Roman" w:hAnsi="Times New Roman" w:eastAsia="仿宋_GB2312" w:cs="Times New Roman"/>
      <w:sz w:val="28"/>
      <w:szCs w:val="20"/>
    </w:rPr>
  </w:style>
  <w:style w:type="paragraph" w:customStyle="1" w:styleId="55">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6">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7">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8">
    <w:name w:val="Char Char Char Char Char"/>
    <w:basedOn w:val="1"/>
    <w:autoRedefine/>
    <w:qFormat/>
    <w:uiPriority w:val="0"/>
    <w:rPr>
      <w:rFonts w:ascii="Tahoma" w:hAnsi="Tahoma"/>
      <w:sz w:val="24"/>
    </w:rPr>
  </w:style>
  <w:style w:type="paragraph" w:customStyle="1" w:styleId="59">
    <w:name w:val="Char"/>
    <w:basedOn w:val="1"/>
    <w:autoRedefine/>
    <w:qFormat/>
    <w:uiPriority w:val="0"/>
    <w:rPr>
      <w:rFonts w:ascii="Tahoma" w:hAnsi="Tahoma"/>
      <w:sz w:val="24"/>
    </w:rPr>
  </w:style>
  <w:style w:type="character" w:customStyle="1" w:styleId="60">
    <w:name w:val="正文文本缩进 3 Char"/>
    <w:basedOn w:val="37"/>
    <w:link w:val="25"/>
    <w:autoRedefine/>
    <w:qFormat/>
    <w:uiPriority w:val="0"/>
    <w:rPr>
      <w:rFonts w:ascii="仿宋_GB2312" w:hAnsi="Arial" w:eastAsia="仿宋_GB2312" w:cs="Times New Roman"/>
      <w:sz w:val="28"/>
      <w:szCs w:val="24"/>
    </w:rPr>
  </w:style>
  <w:style w:type="paragraph" w:customStyle="1" w:styleId="61">
    <w:name w:val="Char1"/>
    <w:basedOn w:val="1"/>
    <w:autoRedefine/>
    <w:qFormat/>
    <w:uiPriority w:val="0"/>
    <w:rPr>
      <w:rFonts w:ascii="Tahoma" w:hAnsi="Tahoma" w:eastAsia="仿宋_GB2312"/>
      <w:sz w:val="24"/>
    </w:rPr>
  </w:style>
  <w:style w:type="paragraph" w:customStyle="1" w:styleId="62">
    <w:name w:val="Char Char Char Char Char Char Char1 Char"/>
    <w:basedOn w:val="1"/>
    <w:autoRedefine/>
    <w:qFormat/>
    <w:uiPriority w:val="0"/>
    <w:rPr>
      <w:rFonts w:ascii="Tahoma" w:hAnsi="Tahoma"/>
      <w:sz w:val="24"/>
    </w:rPr>
  </w:style>
  <w:style w:type="character" w:customStyle="1" w:styleId="63">
    <w:name w:val="正文文本 Char"/>
    <w:basedOn w:val="37"/>
    <w:link w:val="10"/>
    <w:autoRedefine/>
    <w:qFormat/>
    <w:uiPriority w:val="0"/>
    <w:rPr>
      <w:rFonts w:ascii="Times New Roman" w:hAnsi="Times New Roman" w:eastAsia="宋体" w:cs="Times New Roman"/>
      <w:szCs w:val="24"/>
    </w:rPr>
  </w:style>
  <w:style w:type="paragraph" w:customStyle="1" w:styleId="64">
    <w:name w:val="Char Char Char Char"/>
    <w:basedOn w:val="1"/>
    <w:next w:val="1"/>
    <w:autoRedefine/>
    <w:qFormat/>
    <w:uiPriority w:val="0"/>
    <w:pPr>
      <w:widowControl/>
      <w:spacing w:line="360" w:lineRule="auto"/>
      <w:jc w:val="left"/>
    </w:pPr>
  </w:style>
  <w:style w:type="character" w:customStyle="1" w:styleId="65">
    <w:name w:val="批注框文本 Char"/>
    <w:basedOn w:val="37"/>
    <w:link w:val="19"/>
    <w:autoRedefine/>
    <w:qFormat/>
    <w:uiPriority w:val="0"/>
    <w:rPr>
      <w:rFonts w:ascii="Times New Roman" w:hAnsi="Times New Roman" w:eastAsia="宋体" w:cs="Times New Roman"/>
      <w:sz w:val="18"/>
      <w:szCs w:val="18"/>
    </w:rPr>
  </w:style>
  <w:style w:type="paragraph" w:customStyle="1" w:styleId="66">
    <w:name w:val="Char Char Char"/>
    <w:basedOn w:val="1"/>
    <w:autoRedefine/>
    <w:qFormat/>
    <w:uiPriority w:val="0"/>
    <w:rPr>
      <w:rFonts w:ascii="Tahoma" w:hAnsi="Tahoma"/>
      <w:sz w:val="24"/>
    </w:rPr>
  </w:style>
  <w:style w:type="paragraph" w:customStyle="1" w:styleId="67">
    <w:name w:val="Char Char Char Char Char Char Char Char Char Char"/>
    <w:basedOn w:val="1"/>
    <w:autoRedefine/>
    <w:qFormat/>
    <w:uiPriority w:val="0"/>
    <w:rPr>
      <w:rFonts w:ascii="Tahoma" w:hAnsi="Tahoma" w:cs="仿宋_GB2312"/>
      <w:sz w:val="24"/>
    </w:rPr>
  </w:style>
  <w:style w:type="character" w:customStyle="1" w:styleId="68">
    <w:name w:val="批注文字 Char"/>
    <w:basedOn w:val="37"/>
    <w:link w:val="8"/>
    <w:autoRedefine/>
    <w:semiHidden/>
    <w:qFormat/>
    <w:uiPriority w:val="99"/>
    <w:rPr>
      <w:rFonts w:ascii="Times New Roman" w:hAnsi="Times New Roman" w:eastAsia="宋体" w:cs="Times New Roman"/>
      <w:szCs w:val="20"/>
    </w:rPr>
  </w:style>
  <w:style w:type="character" w:customStyle="1" w:styleId="69">
    <w:name w:val="批注主题 Char"/>
    <w:basedOn w:val="68"/>
    <w:link w:val="32"/>
    <w:autoRedefine/>
    <w:semiHidden/>
    <w:qFormat/>
    <w:uiPriority w:val="99"/>
    <w:rPr>
      <w:rFonts w:ascii="Times New Roman" w:hAnsi="Times New Roman" w:eastAsia="宋体" w:cs="Times New Roman"/>
      <w:b/>
      <w:bCs/>
      <w:szCs w:val="20"/>
    </w:rPr>
  </w:style>
  <w:style w:type="paragraph" w:customStyle="1" w:styleId="70">
    <w:name w:val="Char Char Char Char Char Char"/>
    <w:basedOn w:val="1"/>
    <w:autoRedefine/>
    <w:qFormat/>
    <w:uiPriority w:val="0"/>
  </w:style>
  <w:style w:type="character" w:customStyle="1" w:styleId="71">
    <w:name w:val="纯文本 Char"/>
    <w:link w:val="15"/>
    <w:autoRedefine/>
    <w:qFormat/>
    <w:uiPriority w:val="0"/>
    <w:rPr>
      <w:rFonts w:ascii="宋体" w:hAnsi="Courier New" w:eastAsia="宋体"/>
    </w:rPr>
  </w:style>
  <w:style w:type="character" w:customStyle="1" w:styleId="72">
    <w:name w:val="纯文本 Char1"/>
    <w:basedOn w:val="37"/>
    <w:autoRedefine/>
    <w:semiHidden/>
    <w:qFormat/>
    <w:uiPriority w:val="99"/>
    <w:rPr>
      <w:rFonts w:ascii="宋体" w:hAnsi="Courier New" w:eastAsia="宋体" w:cs="Courier New"/>
      <w:szCs w:val="21"/>
    </w:rPr>
  </w:style>
  <w:style w:type="paragraph" w:customStyle="1" w:styleId="73">
    <w:name w:val="Char12 Char Char Char"/>
    <w:basedOn w:val="1"/>
    <w:autoRedefine/>
    <w:qFormat/>
    <w:uiPriority w:val="0"/>
  </w:style>
  <w:style w:type="character" w:customStyle="1" w:styleId="74">
    <w:name w:val="文档结构图 Char"/>
    <w:basedOn w:val="37"/>
    <w:link w:val="7"/>
    <w:autoRedefine/>
    <w:qFormat/>
    <w:uiPriority w:val="0"/>
    <w:rPr>
      <w:rFonts w:ascii="Times New Roman" w:hAnsi="Times New Roman" w:eastAsia="宋体" w:cs="Times New Roman"/>
      <w:szCs w:val="20"/>
      <w:shd w:val="clear" w:color="auto" w:fill="000080"/>
    </w:rPr>
  </w:style>
  <w:style w:type="character" w:customStyle="1" w:styleId="75">
    <w:name w:val="style29"/>
    <w:autoRedefine/>
    <w:qFormat/>
    <w:uiPriority w:val="0"/>
  </w:style>
  <w:style w:type="character" w:customStyle="1" w:styleId="76">
    <w:name w:val="正文1"/>
    <w:autoRedefine/>
    <w:qFormat/>
    <w:uiPriority w:val="0"/>
  </w:style>
  <w:style w:type="character" w:customStyle="1" w:styleId="77">
    <w:name w:val="font11"/>
    <w:autoRedefine/>
    <w:qFormat/>
    <w:uiPriority w:val="0"/>
    <w:rPr>
      <w:rFonts w:hint="default" w:ascii="Times New Roman" w:hAnsi="Times New Roman" w:cs="Times New Roman"/>
      <w:color w:val="3366FF"/>
      <w:sz w:val="24"/>
      <w:szCs w:val="24"/>
      <w:u w:val="none"/>
    </w:rPr>
  </w:style>
  <w:style w:type="character" w:customStyle="1" w:styleId="78">
    <w:name w:val="font21"/>
    <w:autoRedefine/>
    <w:qFormat/>
    <w:uiPriority w:val="0"/>
    <w:rPr>
      <w:rFonts w:hint="eastAsia" w:ascii="宋体" w:hAnsi="宋体" w:eastAsia="宋体"/>
      <w:color w:val="3366FF"/>
      <w:sz w:val="24"/>
      <w:szCs w:val="24"/>
      <w:u w:val="none"/>
    </w:rPr>
  </w:style>
  <w:style w:type="paragraph" w:customStyle="1" w:styleId="79">
    <w:name w:val="Char Char15"/>
    <w:basedOn w:val="1"/>
    <w:autoRedefine/>
    <w:qFormat/>
    <w:uiPriority w:val="0"/>
    <w:rPr>
      <w:rFonts w:ascii="Tahoma" w:hAnsi="Tahoma" w:eastAsia="仿宋_GB2312"/>
      <w:sz w:val="24"/>
    </w:rPr>
  </w:style>
  <w:style w:type="paragraph" w:customStyle="1" w:styleId="80">
    <w:name w:val="列出段落1"/>
    <w:basedOn w:val="1"/>
    <w:autoRedefine/>
    <w:qFormat/>
    <w:uiPriority w:val="0"/>
    <w:pPr>
      <w:ind w:firstLine="420" w:firstLineChars="200"/>
    </w:pPr>
    <w:rPr>
      <w:rFonts w:ascii="Calibri" w:hAnsi="Calibri"/>
      <w:szCs w:val="22"/>
    </w:rPr>
  </w:style>
  <w:style w:type="paragraph" w:customStyle="1" w:styleId="81">
    <w:name w:val="Char2"/>
    <w:basedOn w:val="1"/>
    <w:autoRedefine/>
    <w:qFormat/>
    <w:uiPriority w:val="0"/>
    <w:pPr>
      <w:tabs>
        <w:tab w:val="left" w:pos="360"/>
      </w:tabs>
    </w:pPr>
    <w:rPr>
      <w:sz w:val="24"/>
      <w:szCs w:val="24"/>
    </w:rPr>
  </w:style>
  <w:style w:type="paragraph" w:customStyle="1" w:styleId="82">
    <w:name w:val="Char16"/>
    <w:basedOn w:val="1"/>
    <w:autoRedefine/>
    <w:qFormat/>
    <w:uiPriority w:val="0"/>
    <w:rPr>
      <w:rFonts w:ascii="Tahoma" w:hAnsi="Tahoma" w:eastAsia="仿宋_GB2312"/>
      <w:sz w:val="24"/>
    </w:rPr>
  </w:style>
  <w:style w:type="paragraph" w:customStyle="1" w:styleId="83">
    <w:name w:val="Char Char1"/>
    <w:basedOn w:val="1"/>
    <w:autoRedefine/>
    <w:qFormat/>
    <w:uiPriority w:val="0"/>
    <w:rPr>
      <w:rFonts w:ascii="Tahoma" w:hAnsi="Tahoma"/>
      <w:sz w:val="24"/>
    </w:rPr>
  </w:style>
  <w:style w:type="paragraph" w:customStyle="1" w:styleId="84">
    <w:name w:val="Char Char Char Char Char Char Char"/>
    <w:basedOn w:val="1"/>
    <w:autoRedefine/>
    <w:qFormat/>
    <w:uiPriority w:val="0"/>
    <w:rPr>
      <w:szCs w:val="24"/>
    </w:rPr>
  </w:style>
  <w:style w:type="paragraph" w:customStyle="1" w:styleId="85">
    <w:name w:val="Char Char"/>
    <w:basedOn w:val="1"/>
    <w:autoRedefine/>
    <w:qFormat/>
    <w:uiPriority w:val="0"/>
    <w:rPr>
      <w:rFonts w:ascii="Tahoma" w:hAnsi="Tahoma" w:cs="仿宋_GB2312"/>
      <w:sz w:val="24"/>
    </w:rPr>
  </w:style>
  <w:style w:type="paragraph" w:customStyle="1" w:styleId="86">
    <w:name w:val="Char Char2"/>
    <w:basedOn w:val="1"/>
    <w:autoRedefine/>
    <w:qFormat/>
    <w:uiPriority w:val="0"/>
    <w:rPr>
      <w:rFonts w:ascii="Tahoma" w:hAnsi="Tahoma" w:cs="仿宋_GB2312"/>
      <w:sz w:val="24"/>
    </w:rPr>
  </w:style>
  <w:style w:type="paragraph" w:customStyle="1" w:styleId="87">
    <w:name w:val="Char Char Char1"/>
    <w:basedOn w:val="1"/>
    <w:autoRedefine/>
    <w:qFormat/>
    <w:uiPriority w:val="0"/>
    <w:rPr>
      <w:rFonts w:ascii="Tahoma" w:hAnsi="Tahoma"/>
      <w:sz w:val="24"/>
    </w:rPr>
  </w:style>
  <w:style w:type="paragraph" w:customStyle="1" w:styleId="88">
    <w:name w:val="D&amp;L"/>
    <w:basedOn w:val="21"/>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9">
    <w:name w:val="正文文本 3 Char"/>
    <w:basedOn w:val="37"/>
    <w:link w:val="9"/>
    <w:autoRedefine/>
    <w:qFormat/>
    <w:uiPriority w:val="99"/>
    <w:rPr>
      <w:rFonts w:ascii="Calibri" w:hAnsi="Calibri" w:eastAsia="宋体" w:cs="Times New Roman"/>
      <w:sz w:val="16"/>
      <w:szCs w:val="16"/>
      <w:lang w:val="zh-CN" w:eastAsia="zh-CN"/>
    </w:rPr>
  </w:style>
  <w:style w:type="paragraph" w:customStyle="1" w:styleId="90">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1">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2">
    <w:name w:val="style23"/>
    <w:autoRedefine/>
    <w:qFormat/>
    <w:uiPriority w:val="0"/>
    <w:rPr>
      <w:rFonts w:ascii="Times New Roman" w:hAnsi="Times New Roman" w:eastAsia="宋体"/>
    </w:rPr>
  </w:style>
  <w:style w:type="paragraph" w:customStyle="1" w:styleId="93">
    <w:name w:val="p0"/>
    <w:basedOn w:val="1"/>
    <w:autoRedefine/>
    <w:qFormat/>
    <w:uiPriority w:val="0"/>
    <w:pPr>
      <w:widowControl/>
      <w:jc w:val="left"/>
    </w:pPr>
    <w:rPr>
      <w:rFonts w:ascii="等线" w:hAnsi="等线" w:eastAsia="等线" w:cs="等线"/>
      <w:kern w:val="0"/>
      <w:sz w:val="20"/>
      <w:szCs w:val="22"/>
    </w:rPr>
  </w:style>
  <w:style w:type="paragraph" w:customStyle="1" w:styleId="94">
    <w:name w:val="列表段落1"/>
    <w:basedOn w:val="1"/>
    <w:autoRedefine/>
    <w:qFormat/>
    <w:uiPriority w:val="34"/>
    <w:pPr>
      <w:ind w:firstLine="420" w:firstLineChars="200"/>
    </w:pPr>
    <w:rPr>
      <w:szCs w:val="24"/>
    </w:rPr>
  </w:style>
  <w:style w:type="paragraph" w:customStyle="1" w:styleId="95">
    <w:name w:val="y-正文"/>
    <w:basedOn w:val="1"/>
    <w:autoRedefine/>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96">
    <w:name w:val="List Paragraph"/>
    <w:basedOn w:val="1"/>
    <w:autoRedefine/>
    <w:qFormat/>
    <w:uiPriority w:val="99"/>
    <w:pPr>
      <w:ind w:firstLine="420" w:firstLineChars="200"/>
    </w:pPr>
  </w:style>
  <w:style w:type="table" w:customStyle="1" w:styleId="97">
    <w:name w:val="Table Normal"/>
    <w:autoRedefine/>
    <w:semiHidden/>
    <w:unhideWhenUsed/>
    <w:qFormat/>
    <w:uiPriority w:val="0"/>
    <w:rPr>
      <w:rFonts w:ascii="Arial" w:hAnsi="Arial" w:cs="Arial"/>
    </w:rPr>
    <w:tblPr>
      <w:tblCellMar>
        <w:top w:w="0" w:type="dxa"/>
        <w:left w:w="0" w:type="dxa"/>
        <w:bottom w:w="0" w:type="dxa"/>
        <w:right w:w="0" w:type="dxa"/>
      </w:tblCellMar>
    </w:tblPr>
  </w:style>
  <w:style w:type="paragraph" w:customStyle="1" w:styleId="98">
    <w:name w:val="Table Text"/>
    <w:basedOn w:val="1"/>
    <w:autoRedefine/>
    <w:semiHidden/>
    <w:qFormat/>
    <w:uiPriority w:val="0"/>
    <w:rPr>
      <w:rFonts w:ascii="仿宋" w:hAnsi="仿宋" w:eastAsia="仿宋" w:cs="仿宋"/>
      <w:sz w:val="22"/>
      <w:szCs w:val="22"/>
      <w:lang w:val="en-US" w:eastAsia="en-US" w:bidi="ar-SA"/>
    </w:rPr>
  </w:style>
  <w:style w:type="paragraph" w:customStyle="1" w:styleId="99">
    <w:name w:val="Table Paragraph"/>
    <w:basedOn w:val="1"/>
    <w:qFormat/>
    <w:uiPriority w:val="99"/>
    <w:pPr>
      <w:jc w:val="left"/>
    </w:pPr>
    <w:rPr>
      <w:rFonts w:ascii="宋体" w:hAnsi="宋体" w:cs="宋体"/>
      <w:kern w:val="0"/>
      <w:sz w:val="22"/>
      <w:szCs w:val="22"/>
      <w:lang w:eastAsia="en-US"/>
    </w:rPr>
  </w:style>
  <w:style w:type="character" w:customStyle="1" w:styleId="100">
    <w:name w:val="标题 2 字符"/>
    <w:link w:val="3"/>
    <w:autoRedefine/>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AFC04-9342-49B6-86EB-078B375491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10979</Words>
  <Characters>11751</Characters>
  <Lines>173</Lines>
  <Paragraphs>48</Paragraphs>
  <TotalTime>2</TotalTime>
  <ScaleCrop>false</ScaleCrop>
  <LinksUpToDate>false</LinksUpToDate>
  <CharactersWithSpaces>12721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2017-04-19T15:21:00Z</dcterms:created>
  <dc:creator>朱少尉</dc:creator>
  <cp:lastModifiedBy>Administrator</cp:lastModifiedBy>
  <cp:lastPrinted>2023-10-28T03:27:00Z</cp:lastPrinted>
  <dcterms:modified xsi:type="dcterms:W3CDTF">2024-10-23T08:15:36Z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AB11F8B1E2A24B0E8EB77EA4DEFE031D_13</vt:lpwstr>
  </property>
</Properties>
</file>