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before="360" w:beforeLines="150" w:line="1700" w:lineRule="exact"/>
        <w:jc w:val="center"/>
        <w:rPr>
          <w:rFonts w:hint="eastAsia" w:ascii="宋体" w:hAnsi="宋体"/>
          <w:b/>
          <w:bCs/>
          <w:sz w:val="52"/>
          <w:szCs w:val="52"/>
        </w:rPr>
      </w:pPr>
    </w:p>
    <w:p>
      <w:pPr>
        <w:tabs>
          <w:tab w:val="left" w:pos="420"/>
        </w:tabs>
        <w:spacing w:before="360" w:beforeLines="150" w:line="1700" w:lineRule="exact"/>
        <w:jc w:val="center"/>
        <w:rPr>
          <w:rFonts w:ascii="宋体" w:hAnsi="宋体"/>
          <w:b/>
          <w:bCs/>
          <w:sz w:val="52"/>
          <w:szCs w:val="52"/>
        </w:rPr>
      </w:pPr>
      <w:r>
        <w:rPr>
          <w:rFonts w:hint="eastAsia" w:ascii="宋体" w:hAnsi="宋体"/>
          <w:b/>
          <w:bCs/>
          <w:sz w:val="52"/>
          <w:szCs w:val="52"/>
        </w:rPr>
        <w:t>竞争性磋商文件</w:t>
      </w:r>
    </w:p>
    <w:p>
      <w:pPr>
        <w:tabs>
          <w:tab w:val="left" w:pos="315"/>
          <w:tab w:val="left" w:pos="8820"/>
        </w:tabs>
        <w:jc w:val="center"/>
        <w:rPr>
          <w:rFonts w:ascii="仿宋_GB2312" w:eastAsia="仿宋_GB2312"/>
          <w:sz w:val="28"/>
          <w:szCs w:val="28"/>
        </w:rPr>
      </w:pPr>
      <w:r>
        <w:rPr>
          <w:rFonts w:hint="eastAsia" w:ascii="仿宋_GB2312" w:eastAsia="仿宋_GB2312"/>
          <w:sz w:val="28"/>
          <w:szCs w:val="28"/>
        </w:rPr>
        <w:t>（服务类）</w:t>
      </w:r>
    </w:p>
    <w:p>
      <w:pPr>
        <w:tabs>
          <w:tab w:val="left" w:pos="315"/>
          <w:tab w:val="left" w:pos="8820"/>
        </w:tabs>
        <w:spacing w:before="240" w:beforeLines="100" w:after="120" w:afterLines="50" w:line="500" w:lineRule="exact"/>
        <w:ind w:right="267" w:rightChars="127"/>
        <w:jc w:val="center"/>
        <w:rPr>
          <w:rFonts w:ascii="仿宋_GB2312" w:eastAsia="仿宋_GB2312"/>
          <w:sz w:val="44"/>
        </w:rPr>
      </w:pPr>
    </w:p>
    <w:p>
      <w:pPr>
        <w:tabs>
          <w:tab w:val="left" w:pos="2410"/>
        </w:tabs>
        <w:autoSpaceDE w:val="0"/>
        <w:autoSpaceDN w:val="0"/>
        <w:adjustRightInd w:val="0"/>
        <w:snapToGrid w:val="0"/>
        <w:spacing w:line="360" w:lineRule="auto"/>
        <w:jc w:val="left"/>
        <w:rPr>
          <w:rFonts w:ascii="宋体" w:hAnsi="DotumChe" w:cs="宋体"/>
          <w:b/>
          <w:spacing w:val="20"/>
          <w:kern w:val="0"/>
          <w:sz w:val="32"/>
          <w:szCs w:val="32"/>
        </w:rPr>
      </w:pPr>
    </w:p>
    <w:p>
      <w:pPr>
        <w:tabs>
          <w:tab w:val="left" w:pos="2410"/>
        </w:tabs>
        <w:autoSpaceDE w:val="0"/>
        <w:autoSpaceDN w:val="0"/>
        <w:adjustRightInd w:val="0"/>
        <w:snapToGrid w:val="0"/>
        <w:spacing w:line="600" w:lineRule="exact"/>
        <w:ind w:left="2610" w:leftChars="480" w:hanging="1602" w:hangingChars="445"/>
        <w:jc w:val="left"/>
        <w:rPr>
          <w:rFonts w:ascii="宋体" w:hAnsi="DotumChe" w:cs="宋体"/>
          <w:b w:val="0"/>
          <w:bCs/>
          <w:spacing w:val="20"/>
          <w:kern w:val="0"/>
          <w:sz w:val="32"/>
          <w:szCs w:val="32"/>
        </w:rPr>
      </w:pPr>
    </w:p>
    <w:p>
      <w:pPr>
        <w:tabs>
          <w:tab w:val="left" w:pos="2410"/>
        </w:tabs>
        <w:autoSpaceDE w:val="0"/>
        <w:autoSpaceDN w:val="0"/>
        <w:adjustRightInd w:val="0"/>
        <w:snapToGrid w:val="0"/>
        <w:spacing w:line="600" w:lineRule="exact"/>
        <w:ind w:left="1050" w:leftChars="500"/>
        <w:jc w:val="left"/>
        <w:rPr>
          <w:rFonts w:hint="default" w:ascii="宋体" w:hAnsi="DotumChe" w:eastAsia="宋体" w:cs="宋体"/>
          <w:b/>
          <w:bCs w:val="0"/>
          <w:spacing w:val="11"/>
          <w:kern w:val="0"/>
          <w:sz w:val="28"/>
          <w:szCs w:val="28"/>
          <w:lang w:val="en-US" w:eastAsia="zh-CN"/>
        </w:rPr>
      </w:pPr>
      <w:r>
        <w:rPr>
          <w:rFonts w:hint="eastAsia" w:ascii="宋体" w:hAnsi="DotumChe" w:cs="宋体"/>
          <w:b/>
          <w:bCs w:val="0"/>
          <w:spacing w:val="11"/>
          <w:kern w:val="0"/>
          <w:sz w:val="28"/>
          <w:szCs w:val="28"/>
        </w:rPr>
        <w:t>项目名</w:t>
      </w:r>
      <w:r>
        <w:rPr>
          <w:rFonts w:hint="eastAsia" w:ascii="宋体" w:hAnsi="DotumChe" w:cs="宋体"/>
          <w:b/>
          <w:bCs w:val="0"/>
          <w:color w:val="auto"/>
          <w:spacing w:val="11"/>
          <w:kern w:val="0"/>
          <w:sz w:val="28"/>
          <w:szCs w:val="28"/>
        </w:rPr>
        <w:t>称：</w:t>
      </w:r>
      <w:r>
        <w:rPr>
          <w:rFonts w:hint="eastAsia" w:ascii="宋体" w:hAnsi="DotumChe" w:cs="宋体"/>
          <w:b/>
          <w:bCs w:val="0"/>
          <w:color w:val="auto"/>
          <w:spacing w:val="11"/>
          <w:kern w:val="0"/>
          <w:sz w:val="28"/>
          <w:szCs w:val="28"/>
          <w:lang w:val="en-US" w:eastAsia="zh-CN"/>
        </w:rPr>
        <w:t>华强壹号院一、二期前期物业服务项目</w:t>
      </w:r>
    </w:p>
    <w:p>
      <w:pPr>
        <w:tabs>
          <w:tab w:val="left" w:pos="2410"/>
        </w:tabs>
        <w:autoSpaceDE w:val="0"/>
        <w:autoSpaceDN w:val="0"/>
        <w:adjustRightInd w:val="0"/>
        <w:snapToGrid w:val="0"/>
        <w:spacing w:line="600" w:lineRule="exact"/>
        <w:ind w:left="1050" w:leftChars="500"/>
        <w:jc w:val="left"/>
        <w:rPr>
          <w:rFonts w:ascii="宋体" w:hAnsi="DotumChe" w:cs="宋体"/>
          <w:b/>
          <w:bCs w:val="0"/>
          <w:spacing w:val="11"/>
          <w:kern w:val="0"/>
          <w:sz w:val="28"/>
          <w:szCs w:val="28"/>
        </w:rPr>
      </w:pPr>
      <w:r>
        <w:rPr>
          <w:rFonts w:hint="eastAsia" w:ascii="宋体" w:hAnsi="DotumChe" w:cs="宋体"/>
          <w:b/>
          <w:bCs w:val="0"/>
          <w:spacing w:val="11"/>
          <w:kern w:val="0"/>
          <w:sz w:val="28"/>
          <w:szCs w:val="28"/>
        </w:rPr>
        <w:t>项目编号：</w:t>
      </w:r>
      <w:r>
        <w:rPr>
          <w:rFonts w:hint="eastAsia" w:ascii="宋体" w:hAnsi="宋体" w:cs="宋体"/>
          <w:b/>
          <w:bCs w:val="0"/>
          <w:color w:val="000000"/>
          <w:spacing w:val="23"/>
          <w:sz w:val="28"/>
          <w:szCs w:val="28"/>
        </w:rPr>
        <w:t>HYCG-202</w:t>
      </w:r>
      <w:r>
        <w:rPr>
          <w:rFonts w:hint="eastAsia" w:ascii="宋体" w:hAnsi="宋体" w:cs="宋体"/>
          <w:b/>
          <w:bCs w:val="0"/>
          <w:color w:val="000000"/>
          <w:spacing w:val="23"/>
          <w:sz w:val="28"/>
          <w:szCs w:val="28"/>
          <w:lang w:val="en-US" w:eastAsia="zh-CN"/>
        </w:rPr>
        <w:t>3</w:t>
      </w:r>
      <w:r>
        <w:rPr>
          <w:rFonts w:hint="eastAsia" w:ascii="宋体" w:hAnsi="宋体" w:cs="宋体"/>
          <w:b/>
          <w:bCs w:val="0"/>
          <w:color w:val="000000"/>
          <w:spacing w:val="23"/>
          <w:sz w:val="28"/>
          <w:szCs w:val="28"/>
        </w:rPr>
        <w:t>-00</w:t>
      </w:r>
      <w:r>
        <w:rPr>
          <w:rFonts w:hint="eastAsia" w:ascii="宋体" w:hAnsi="宋体" w:cs="宋体"/>
          <w:b/>
          <w:bCs w:val="0"/>
          <w:color w:val="000000"/>
          <w:spacing w:val="23"/>
          <w:sz w:val="28"/>
          <w:szCs w:val="28"/>
          <w:lang w:val="en-US" w:eastAsia="zh-CN"/>
        </w:rPr>
        <w:t>6</w:t>
      </w:r>
      <w:r>
        <w:rPr>
          <w:rFonts w:hint="eastAsia" w:ascii="宋体" w:hAnsi="宋体" w:cs="宋体"/>
          <w:b/>
          <w:bCs w:val="0"/>
          <w:color w:val="000000"/>
          <w:spacing w:val="23"/>
          <w:sz w:val="28"/>
          <w:szCs w:val="28"/>
        </w:rPr>
        <w:t xml:space="preserve"> </w:t>
      </w:r>
    </w:p>
    <w:p>
      <w:pPr>
        <w:tabs>
          <w:tab w:val="left" w:pos="2410"/>
        </w:tabs>
        <w:autoSpaceDE w:val="0"/>
        <w:autoSpaceDN w:val="0"/>
        <w:adjustRightInd w:val="0"/>
        <w:snapToGrid w:val="0"/>
        <w:spacing w:line="600" w:lineRule="exact"/>
        <w:ind w:left="1050" w:leftChars="500"/>
        <w:jc w:val="left"/>
        <w:rPr>
          <w:rFonts w:ascii="宋体" w:hAnsi="DotumChe" w:cs="宋体"/>
          <w:b/>
          <w:bCs w:val="0"/>
          <w:spacing w:val="11"/>
          <w:kern w:val="0"/>
          <w:sz w:val="28"/>
          <w:szCs w:val="28"/>
        </w:rPr>
      </w:pPr>
      <w:r>
        <w:rPr>
          <w:rFonts w:hint="eastAsia" w:ascii="宋体" w:hAnsi="DotumChe" w:cs="宋体"/>
          <w:b/>
          <w:bCs w:val="0"/>
          <w:spacing w:val="11"/>
          <w:kern w:val="0"/>
          <w:sz w:val="28"/>
          <w:szCs w:val="28"/>
        </w:rPr>
        <w:t>采 购 人：</w:t>
      </w:r>
      <w:r>
        <w:rPr>
          <w:rFonts w:hint="eastAsia" w:ascii="宋体" w:hAnsi="DotumChe" w:cs="宋体"/>
          <w:b/>
          <w:bCs w:val="0"/>
          <w:spacing w:val="11"/>
          <w:kern w:val="0"/>
          <w:sz w:val="28"/>
          <w:szCs w:val="28"/>
          <w:lang w:val="en-US" w:eastAsia="zh-CN"/>
        </w:rPr>
        <w:t>霍山华强大别山房地产开发有限公司</w:t>
      </w:r>
    </w:p>
    <w:p>
      <w:pPr>
        <w:tabs>
          <w:tab w:val="left" w:pos="2410"/>
        </w:tabs>
        <w:autoSpaceDE w:val="0"/>
        <w:autoSpaceDN w:val="0"/>
        <w:adjustRightInd w:val="0"/>
        <w:snapToGrid w:val="0"/>
        <w:spacing w:line="600" w:lineRule="exact"/>
        <w:ind w:left="1050" w:leftChars="500"/>
        <w:jc w:val="left"/>
        <w:rPr>
          <w:rFonts w:ascii="宋体" w:hAnsi="DotumChe" w:cs="宋体"/>
          <w:b/>
          <w:bCs w:val="0"/>
          <w:spacing w:val="11"/>
          <w:kern w:val="0"/>
          <w:sz w:val="28"/>
          <w:szCs w:val="28"/>
        </w:rPr>
      </w:pPr>
      <w:r>
        <w:rPr>
          <w:rFonts w:hint="eastAsia" w:ascii="宋体" w:hAnsi="DotumChe" w:cs="宋体"/>
          <w:b/>
          <w:bCs w:val="0"/>
          <w:spacing w:val="11"/>
          <w:kern w:val="0"/>
          <w:sz w:val="28"/>
          <w:szCs w:val="28"/>
        </w:rPr>
        <w:t>采购代理机构：</w:t>
      </w:r>
      <w:r>
        <w:rPr>
          <w:rFonts w:hint="eastAsia" w:ascii="宋体" w:hAnsi="宋体" w:cs="宋体"/>
          <w:b/>
          <w:bCs w:val="0"/>
          <w:color w:val="000000"/>
          <w:sz w:val="28"/>
          <w:szCs w:val="28"/>
        </w:rPr>
        <w:t>安徽衡宇工程咨询有限公司</w:t>
      </w:r>
      <w:r>
        <w:rPr>
          <w:rFonts w:hint="eastAsia" w:ascii="宋体" w:hAnsi="宋体" w:cs="宋体"/>
          <w:b/>
          <w:bCs w:val="0"/>
          <w:color w:val="000000"/>
          <w:spacing w:val="-10"/>
          <w:sz w:val="28"/>
          <w:szCs w:val="28"/>
        </w:rPr>
        <w:t xml:space="preserve"> </w:t>
      </w:r>
    </w:p>
    <w:p>
      <w:pPr>
        <w:tabs>
          <w:tab w:val="left" w:pos="2410"/>
        </w:tabs>
        <w:autoSpaceDE w:val="0"/>
        <w:autoSpaceDN w:val="0"/>
        <w:adjustRightInd w:val="0"/>
        <w:snapToGrid w:val="0"/>
        <w:spacing w:line="600" w:lineRule="exact"/>
        <w:ind w:left="1050" w:leftChars="500"/>
        <w:jc w:val="left"/>
        <w:rPr>
          <w:rFonts w:ascii="宋体" w:hAnsi="DotumChe" w:cs="宋体"/>
          <w:b/>
          <w:bCs w:val="0"/>
          <w:spacing w:val="11"/>
          <w:kern w:val="0"/>
          <w:sz w:val="28"/>
          <w:szCs w:val="28"/>
        </w:rPr>
      </w:pPr>
      <w:r>
        <w:rPr>
          <w:rFonts w:hint="eastAsia" w:ascii="宋体" w:hAnsi="DotumChe" w:cs="宋体"/>
          <w:b/>
          <w:bCs w:val="0"/>
          <w:spacing w:val="11"/>
          <w:kern w:val="0"/>
          <w:sz w:val="28"/>
          <w:szCs w:val="28"/>
        </w:rPr>
        <w:t>采购时间：</w:t>
      </w:r>
      <w:r>
        <w:rPr>
          <w:rFonts w:hint="eastAsia" w:ascii="宋体" w:hAnsi="宋体" w:cs="宋体"/>
          <w:b/>
          <w:bCs w:val="0"/>
          <w:color w:val="000000"/>
          <w:sz w:val="28"/>
          <w:szCs w:val="28"/>
        </w:rPr>
        <w:t>202</w:t>
      </w:r>
      <w:r>
        <w:rPr>
          <w:rFonts w:hint="eastAsia" w:ascii="宋体" w:hAnsi="宋体" w:cs="宋体"/>
          <w:b/>
          <w:bCs w:val="0"/>
          <w:color w:val="000000"/>
          <w:sz w:val="28"/>
          <w:szCs w:val="28"/>
          <w:lang w:val="en-US" w:eastAsia="zh-CN"/>
        </w:rPr>
        <w:t xml:space="preserve">3 </w:t>
      </w:r>
      <w:r>
        <w:rPr>
          <w:rFonts w:hint="eastAsia" w:ascii="宋体" w:hAnsi="宋体" w:cs="宋体"/>
          <w:b/>
          <w:bCs w:val="0"/>
          <w:color w:val="000000"/>
          <w:sz w:val="28"/>
          <w:szCs w:val="28"/>
        </w:rPr>
        <w:t>年</w:t>
      </w:r>
      <w:r>
        <w:rPr>
          <w:rFonts w:hint="eastAsia" w:ascii="宋体" w:hAnsi="宋体" w:cs="宋体"/>
          <w:b/>
          <w:bCs w:val="0"/>
          <w:color w:val="000000"/>
          <w:sz w:val="28"/>
          <w:szCs w:val="28"/>
          <w:lang w:val="en-US" w:eastAsia="zh-CN"/>
        </w:rPr>
        <w:t xml:space="preserve"> 9</w:t>
      </w:r>
      <w:r>
        <w:rPr>
          <w:rFonts w:hint="eastAsia" w:ascii="宋体" w:hAnsi="宋体" w:cs="宋体"/>
          <w:b/>
          <w:bCs w:val="0"/>
          <w:color w:val="000000"/>
          <w:sz w:val="28"/>
          <w:szCs w:val="28"/>
        </w:rPr>
        <w:t xml:space="preserve"> 月</w:t>
      </w:r>
    </w:p>
    <w:p>
      <w:pPr>
        <w:spacing w:line="360" w:lineRule="auto"/>
        <w:rPr>
          <w:sz w:val="32"/>
          <w:szCs w:val="32"/>
        </w:rPr>
      </w:pPr>
    </w:p>
    <w:p>
      <w:pPr>
        <w:jc w:val="both"/>
        <w:rPr>
          <w:sz w:val="28"/>
          <w:szCs w:val="28"/>
        </w:rPr>
      </w:pPr>
      <w:bookmarkStart w:id="0" w:name="_Toc216158623"/>
      <w:bookmarkStart w:id="1" w:name="_Toc363199264"/>
      <w:r>
        <w:rPr>
          <w:rFonts w:hint="eastAsia"/>
          <w:sz w:val="28"/>
          <w:szCs w:val="28"/>
        </w:rPr>
        <w:br w:type="page"/>
      </w:r>
    </w:p>
    <w:p>
      <w:pPr>
        <w:pStyle w:val="3"/>
        <w:spacing w:before="120" w:beforeLines="50" w:after="120" w:afterLines="50" w:line="520" w:lineRule="exact"/>
        <w:jc w:val="center"/>
        <w:rPr>
          <w:rFonts w:ascii="华文中宋" w:hAnsi="华文中宋" w:eastAsia="华文中宋" w:cs="华文中宋"/>
          <w:b w:val="0"/>
          <w:bCs/>
          <w:sz w:val="44"/>
          <w:szCs w:val="44"/>
        </w:rPr>
      </w:pPr>
      <w:bookmarkStart w:id="2" w:name="_Toc30186"/>
      <w:bookmarkStart w:id="3" w:name="_Toc1863"/>
      <w:r>
        <w:rPr>
          <w:rFonts w:hint="eastAsia" w:ascii="华文中宋" w:hAnsi="华文中宋" w:eastAsia="华文中宋" w:cs="华文中宋"/>
          <w:b w:val="0"/>
          <w:bCs/>
          <w:sz w:val="44"/>
          <w:szCs w:val="44"/>
        </w:rPr>
        <w:t>竞争性磋商采购公告</w:t>
      </w:r>
      <w:bookmarkEnd w:id="2"/>
      <w:bookmarkEnd w:id="3"/>
    </w:p>
    <w:p>
      <w:pPr>
        <w:pageBreakBefore w:val="0"/>
        <w:pBdr>
          <w:top w:val="single" w:color="auto" w:sz="4" w:space="1"/>
          <w:left w:val="single" w:color="auto" w:sz="4" w:space="4"/>
          <w:bottom w:val="single" w:color="auto" w:sz="4" w:space="1"/>
          <w:right w:val="single" w:color="auto" w:sz="4" w:space="4"/>
        </w:pBdr>
        <w:kinsoku/>
        <w:wordWrap/>
        <w:overflowPunct/>
        <w:topLinePunct w:val="0"/>
        <w:autoSpaceDN/>
        <w:bidi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项目概况：</w:t>
      </w:r>
      <w:r>
        <w:rPr>
          <w:rFonts w:hint="eastAsia" w:ascii="仿宋" w:hAnsi="仿宋" w:eastAsia="仿宋" w:cs="仿宋"/>
          <w:sz w:val="28"/>
          <w:szCs w:val="28"/>
          <w:u w:val="single"/>
          <w:lang w:val="en-US" w:eastAsia="zh-CN"/>
        </w:rPr>
        <w:t xml:space="preserve">华强壹号院一、二期前期物业服务项目（HYCG-2023-006 </w:t>
      </w:r>
      <w:r>
        <w:rPr>
          <w:rFonts w:hint="eastAsia" w:ascii="仿宋" w:hAnsi="仿宋" w:eastAsia="仿宋" w:cs="仿宋"/>
          <w:sz w:val="28"/>
          <w:szCs w:val="28"/>
          <w:u w:val="single"/>
        </w:rPr>
        <w:t>）</w:t>
      </w:r>
      <w:r>
        <w:rPr>
          <w:rFonts w:hint="eastAsia" w:ascii="仿宋" w:hAnsi="仿宋" w:eastAsia="仿宋" w:cs="仿宋"/>
          <w:color w:val="auto"/>
          <w:sz w:val="28"/>
          <w:szCs w:val="28"/>
        </w:rPr>
        <w:t>的潜在供应商应</w:t>
      </w:r>
      <w:r>
        <w:rPr>
          <w:rStyle w:val="42"/>
          <w:rFonts w:hint="eastAsia" w:ascii="仿宋" w:hAnsi="仿宋" w:eastAsia="仿宋" w:cs="仿宋"/>
          <w:color w:val="auto"/>
          <w:sz w:val="28"/>
          <w:szCs w:val="28"/>
        </w:rPr>
        <w:t>在</w:t>
      </w:r>
      <w:r>
        <w:rPr>
          <w:rStyle w:val="42"/>
          <w:rFonts w:hint="eastAsia" w:ascii="仿宋" w:hAnsi="仿宋" w:eastAsia="仿宋" w:cs="仿宋"/>
          <w:color w:val="auto"/>
          <w:sz w:val="28"/>
          <w:szCs w:val="28"/>
          <w:lang w:val="en-US" w:eastAsia="zh-CN"/>
        </w:rPr>
        <w:t>安徽衡宇工程咨询有限公司网（http://www.ahhygczx.com）</w:t>
      </w:r>
      <w:r>
        <w:rPr>
          <w:rFonts w:hint="eastAsia"/>
          <w:color w:val="auto"/>
        </w:rPr>
        <w:fldChar w:fldCharType="begin"/>
      </w:r>
      <w:r>
        <w:rPr>
          <w:rFonts w:hint="eastAsia" w:ascii="仿宋" w:hAnsi="仿宋" w:eastAsia="仿宋" w:cs="仿宋"/>
          <w:color w:val="auto"/>
          <w:sz w:val="28"/>
          <w:szCs w:val="28"/>
        </w:rPr>
        <w:instrText xml:space="preserve"> HYPERLINK "http://ggzy.luan.gov.cn）获取采购文件，并于" </w:instrText>
      </w:r>
      <w:r>
        <w:rPr>
          <w:rFonts w:hint="eastAsia"/>
          <w:color w:val="auto"/>
        </w:rPr>
        <w:fldChar w:fldCharType="separate"/>
      </w:r>
      <w:r>
        <w:rPr>
          <w:rStyle w:val="42"/>
          <w:rFonts w:hint="eastAsia" w:ascii="仿宋" w:hAnsi="仿宋" w:eastAsia="仿宋" w:cs="仿宋"/>
          <w:color w:val="auto"/>
          <w:sz w:val="28"/>
          <w:szCs w:val="28"/>
        </w:rPr>
        <w:t>获取采购文件，并于</w:t>
      </w:r>
      <w:r>
        <w:rPr>
          <w:rStyle w:val="42"/>
          <w:rFonts w:hint="eastAsia" w:ascii="仿宋" w:hAnsi="仿宋" w:eastAsia="仿宋" w:cs="仿宋"/>
          <w:color w:val="auto"/>
          <w:sz w:val="28"/>
          <w:szCs w:val="28"/>
        </w:rPr>
        <w:fldChar w:fldCharType="end"/>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2</w:t>
      </w:r>
      <w:r>
        <w:rPr>
          <w:rFonts w:hint="eastAsia" w:ascii="仿宋" w:hAnsi="仿宋" w:eastAsia="仿宋" w:cs="仿宋"/>
          <w:sz w:val="28"/>
          <w:szCs w:val="28"/>
          <w:lang w:val="en-US" w:eastAsia="zh-CN"/>
        </w:rPr>
        <w:t>023</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9</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27</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9 </w:t>
      </w:r>
      <w:r>
        <w:rPr>
          <w:rFonts w:hint="eastAsia" w:ascii="仿宋" w:hAnsi="仿宋" w:eastAsia="仿宋" w:cs="仿宋"/>
          <w:sz w:val="28"/>
          <w:szCs w:val="28"/>
          <w:u w:val="none"/>
          <w:lang w:eastAsia="zh-CN"/>
        </w:rPr>
        <w:t>时</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00</w:t>
      </w:r>
      <w:r>
        <w:rPr>
          <w:rFonts w:hint="eastAsia" w:ascii="仿宋" w:hAnsi="仿宋" w:eastAsia="仿宋" w:cs="仿宋"/>
          <w:sz w:val="28"/>
          <w:szCs w:val="28"/>
          <w:u w:val="single"/>
        </w:rPr>
        <w:t xml:space="preserve"> </w:t>
      </w:r>
      <w:r>
        <w:rPr>
          <w:rFonts w:hint="eastAsia" w:ascii="仿宋" w:hAnsi="仿宋" w:eastAsia="仿宋" w:cs="仿宋"/>
          <w:sz w:val="28"/>
          <w:szCs w:val="28"/>
        </w:rPr>
        <w:t>分（北京时间）前提交响应文件。</w:t>
      </w:r>
    </w:p>
    <w:p>
      <w:pPr>
        <w:pStyle w:val="3"/>
        <w:pageBreakBefore w:val="0"/>
        <w:kinsoku/>
        <w:wordWrap/>
        <w:overflowPunct/>
        <w:topLinePunct w:val="0"/>
        <w:autoSpaceDN/>
        <w:bidi w:val="0"/>
        <w:adjustRightInd/>
        <w:spacing w:before="0" w:after="0" w:line="460" w:lineRule="exact"/>
        <w:jc w:val="both"/>
        <w:textAlignment w:val="auto"/>
        <w:rPr>
          <w:rFonts w:ascii="黑体" w:hAnsi="黑体" w:cs="黑体"/>
          <w:b w:val="0"/>
          <w:bCs/>
          <w:sz w:val="28"/>
          <w:szCs w:val="28"/>
        </w:rPr>
      </w:pPr>
      <w:bookmarkStart w:id="4" w:name="_Toc35393629"/>
      <w:bookmarkStart w:id="5" w:name="_Toc28359012"/>
      <w:bookmarkStart w:id="6" w:name="_Toc28359089"/>
      <w:bookmarkStart w:id="7" w:name="_Toc9864"/>
      <w:bookmarkStart w:id="8" w:name="_Toc35393798"/>
      <w:r>
        <w:rPr>
          <w:rFonts w:hint="eastAsia" w:ascii="黑体" w:hAnsi="黑体" w:cs="黑体"/>
          <w:b w:val="0"/>
          <w:bCs/>
          <w:sz w:val="28"/>
          <w:szCs w:val="28"/>
        </w:rPr>
        <w:t>一、项目基本情况</w:t>
      </w:r>
      <w:bookmarkEnd w:id="4"/>
      <w:bookmarkEnd w:id="5"/>
      <w:bookmarkEnd w:id="6"/>
      <w:bookmarkEnd w:id="7"/>
      <w:bookmarkEnd w:id="8"/>
    </w:p>
    <w:p>
      <w:pPr>
        <w:pageBreakBefore w:val="0"/>
        <w:kinsoku/>
        <w:wordWrap/>
        <w:overflowPunct/>
        <w:topLinePunct w:val="0"/>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1、项目编号：HYCG-202</w:t>
      </w:r>
      <w:r>
        <w:rPr>
          <w:rFonts w:hint="eastAsia" w:ascii="仿宋" w:hAnsi="仿宋" w:eastAsia="仿宋" w:cs="仿宋"/>
          <w:sz w:val="28"/>
          <w:szCs w:val="28"/>
          <w:lang w:val="en-US" w:eastAsia="zh-CN"/>
        </w:rPr>
        <w:t>3</w:t>
      </w:r>
      <w:r>
        <w:rPr>
          <w:rFonts w:hint="eastAsia" w:ascii="仿宋" w:hAnsi="仿宋" w:eastAsia="仿宋" w:cs="仿宋"/>
          <w:sz w:val="28"/>
          <w:szCs w:val="28"/>
        </w:rPr>
        <w:t>-00</w:t>
      </w:r>
      <w:r>
        <w:rPr>
          <w:rFonts w:hint="eastAsia" w:ascii="仿宋" w:hAnsi="仿宋" w:eastAsia="仿宋" w:cs="仿宋"/>
          <w:sz w:val="28"/>
          <w:szCs w:val="28"/>
          <w:lang w:val="en-US" w:eastAsia="zh-CN"/>
        </w:rPr>
        <w:t>6</w:t>
      </w:r>
    </w:p>
    <w:p>
      <w:pPr>
        <w:pageBreakBefore w:val="0"/>
        <w:kinsoku/>
        <w:wordWrap/>
        <w:overflowPunct/>
        <w:topLinePunct w:val="0"/>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2、项目名称：</w:t>
      </w:r>
      <w:r>
        <w:rPr>
          <w:rFonts w:hint="eastAsia" w:ascii="仿宋" w:hAnsi="仿宋" w:eastAsia="仿宋" w:cs="仿宋"/>
          <w:sz w:val="28"/>
          <w:szCs w:val="28"/>
          <w:lang w:val="en-US" w:eastAsia="zh-CN"/>
        </w:rPr>
        <w:t>华强壹号院一、二期前期物业服务项目</w:t>
      </w:r>
    </w:p>
    <w:p>
      <w:pPr>
        <w:pageBreakBefore w:val="0"/>
        <w:kinsoku/>
        <w:wordWrap/>
        <w:overflowPunct/>
        <w:topLinePunct w:val="0"/>
        <w:autoSpaceDN/>
        <w:bidi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3、项目类型：服务类</w:t>
      </w:r>
    </w:p>
    <w:p>
      <w:pPr>
        <w:pageBreakBefore w:val="0"/>
        <w:kinsoku/>
        <w:wordWrap/>
        <w:overflowPunct/>
        <w:topLinePunct w:val="0"/>
        <w:autoSpaceDN/>
        <w:bidi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 xml:space="preserve">4、采购方式：竞争性磋商 </w:t>
      </w:r>
    </w:p>
    <w:p>
      <w:pPr>
        <w:pageBreakBefore w:val="0"/>
        <w:widowControl/>
        <w:kinsoku/>
        <w:wordWrap/>
        <w:overflowPunct/>
        <w:topLinePunct w:val="0"/>
        <w:autoSpaceDN/>
        <w:bidi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rPr>
        <w:t>5、</w:t>
      </w: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1782575.35 </w:t>
      </w:r>
      <w:r>
        <w:rPr>
          <w:rFonts w:hint="eastAsia" w:ascii="仿宋" w:hAnsi="仿宋" w:eastAsia="仿宋" w:cs="仿宋"/>
          <w:sz w:val="28"/>
          <w:szCs w:val="28"/>
          <w:highlight w:val="none"/>
        </w:rPr>
        <w:t>元</w:t>
      </w:r>
    </w:p>
    <w:p>
      <w:pPr>
        <w:pageBreakBefore w:val="0"/>
        <w:widowControl/>
        <w:kinsoku/>
        <w:wordWrap/>
        <w:overflowPunct/>
        <w:topLinePunct w:val="0"/>
        <w:autoSpaceDN/>
        <w:bidi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6、最高限价：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1782575.35 </w:t>
      </w:r>
      <w:r>
        <w:rPr>
          <w:rFonts w:hint="eastAsia" w:ascii="仿宋" w:hAnsi="仿宋" w:eastAsia="仿宋" w:cs="仿宋"/>
          <w:sz w:val="28"/>
          <w:szCs w:val="28"/>
          <w:highlight w:val="none"/>
        </w:rPr>
        <w:t>元</w:t>
      </w:r>
    </w:p>
    <w:p>
      <w:pPr>
        <w:pageBreakBefore w:val="0"/>
        <w:widowControl/>
        <w:kinsoku/>
        <w:wordWrap/>
        <w:overflowPunct/>
        <w:topLinePunct w:val="0"/>
        <w:autoSpaceDN/>
        <w:bidi w:val="0"/>
        <w:spacing w:line="4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7、采购需求：</w:t>
      </w:r>
      <w:r>
        <w:rPr>
          <w:rFonts w:hint="eastAsia" w:ascii="仿宋" w:hAnsi="仿宋" w:eastAsia="仿宋" w:cs="仿宋"/>
          <w:sz w:val="28"/>
          <w:szCs w:val="28"/>
          <w:lang w:val="en-US" w:eastAsia="zh-CN"/>
        </w:rPr>
        <w:t>华强壹号院小区一、二期</w:t>
      </w:r>
      <w:r>
        <w:rPr>
          <w:rFonts w:hint="eastAsia" w:ascii="仿宋" w:hAnsi="仿宋" w:eastAsia="仿宋" w:cs="仿宋"/>
          <w:sz w:val="28"/>
          <w:szCs w:val="28"/>
          <w:lang w:val="zh-CN" w:eastAsia="zh-CN"/>
        </w:rPr>
        <w:t>位于六安市霍山县</w:t>
      </w:r>
      <w:r>
        <w:rPr>
          <w:rFonts w:hint="eastAsia" w:ascii="仿宋" w:hAnsi="仿宋" w:eastAsia="仿宋" w:cs="仿宋"/>
          <w:sz w:val="28"/>
          <w:szCs w:val="28"/>
          <w:lang w:val="en-US" w:eastAsia="zh-CN"/>
        </w:rPr>
        <w:t>霍山安园大道与红源大道交叉口</w:t>
      </w:r>
      <w:r>
        <w:rPr>
          <w:rFonts w:hint="eastAsia" w:ascii="仿宋" w:hAnsi="仿宋" w:eastAsia="仿宋" w:cs="仿宋"/>
          <w:sz w:val="28"/>
          <w:szCs w:val="28"/>
          <w:lang w:val="zh-CN" w:eastAsia="zh-CN"/>
        </w:rPr>
        <w:t>。本小区系霍山县华强壹号院投资建设的商品房小区，</w:t>
      </w:r>
      <w:r>
        <w:rPr>
          <w:rFonts w:hint="eastAsia" w:ascii="仿宋" w:hAnsi="仿宋" w:eastAsia="仿宋" w:cs="仿宋"/>
          <w:sz w:val="28"/>
          <w:szCs w:val="28"/>
          <w:lang w:val="en-US" w:eastAsia="zh-CN"/>
        </w:rPr>
        <w:t>一期、二期总建筑面积约167099.35平方米。其中住宅楼47幢，建筑面积135821.66平方米，商业15幢4152.51平方米，机动车地下停车位639辆，地下车库19775.1平方米，物业用房332.6平方米，社区管理用房1702.1平方米，其他共建配套用房5315.38平方米。本次采购内容为前期物业服务，物业费约178万</w:t>
      </w:r>
      <w:r>
        <w:rPr>
          <w:rFonts w:hint="default" w:ascii="仿宋" w:hAnsi="仿宋" w:eastAsia="仿宋" w:cs="仿宋"/>
          <w:sz w:val="28"/>
          <w:szCs w:val="28"/>
          <w:lang w:val="en-US" w:eastAsia="zh-CN"/>
        </w:rPr>
        <w:t>元</w:t>
      </w:r>
      <w:r>
        <w:rPr>
          <w:rFonts w:hint="eastAsia" w:ascii="仿宋" w:hAnsi="仿宋" w:eastAsia="仿宋" w:cs="仿宋"/>
          <w:sz w:val="28"/>
          <w:szCs w:val="28"/>
          <w:lang w:val="en-US" w:eastAsia="zh-CN"/>
        </w:rPr>
        <w:t>。</w:t>
      </w:r>
    </w:p>
    <w:p>
      <w:pPr>
        <w:pageBreakBefore w:val="0"/>
        <w:widowControl/>
        <w:kinsoku/>
        <w:wordWrap/>
        <w:overflowPunct/>
        <w:topLinePunct w:val="0"/>
        <w:autoSpaceDN/>
        <w:bidi w:val="0"/>
        <w:spacing w:line="460" w:lineRule="exact"/>
        <w:ind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8、合同履行期限：</w:t>
      </w:r>
      <w:r>
        <w:rPr>
          <w:rFonts w:hint="eastAsia" w:ascii="仿宋" w:hAnsi="仿宋" w:eastAsia="仿宋" w:cs="仿宋"/>
          <w:sz w:val="28"/>
          <w:szCs w:val="28"/>
          <w:lang w:val="en-US" w:eastAsia="zh-CN"/>
        </w:rPr>
        <w:t>暂定一年，自合同签订之日起直至业主委员会与新物业公司签订合同生效止。</w:t>
      </w:r>
    </w:p>
    <w:p>
      <w:pPr>
        <w:pageBreakBefore w:val="0"/>
        <w:kinsoku/>
        <w:wordWrap/>
        <w:overflowPunct/>
        <w:topLinePunct w:val="0"/>
        <w:autoSpaceDN/>
        <w:bidi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9、是否接受联合体：本项目不接受联合体。</w:t>
      </w:r>
    </w:p>
    <w:p>
      <w:pPr>
        <w:pStyle w:val="3"/>
        <w:pageBreakBefore w:val="0"/>
        <w:kinsoku/>
        <w:wordWrap/>
        <w:overflowPunct/>
        <w:topLinePunct w:val="0"/>
        <w:autoSpaceDN/>
        <w:bidi w:val="0"/>
        <w:adjustRightInd/>
        <w:spacing w:before="0" w:after="0" w:line="460" w:lineRule="exact"/>
        <w:jc w:val="both"/>
        <w:textAlignment w:val="auto"/>
        <w:rPr>
          <w:rFonts w:ascii="黑体" w:hAnsi="黑体" w:cs="黑体"/>
          <w:b w:val="0"/>
          <w:bCs/>
          <w:sz w:val="28"/>
          <w:szCs w:val="28"/>
        </w:rPr>
      </w:pPr>
      <w:bookmarkStart w:id="9" w:name="_Toc8072"/>
      <w:bookmarkStart w:id="10" w:name="_Toc28359090"/>
      <w:bookmarkStart w:id="11" w:name="_Toc35393799"/>
      <w:bookmarkStart w:id="12" w:name="_Toc35393630"/>
      <w:bookmarkStart w:id="13" w:name="_Toc28359013"/>
      <w:bookmarkStart w:id="14" w:name="_Toc28359091"/>
      <w:bookmarkStart w:id="15" w:name="_Toc28359014"/>
      <w:r>
        <w:rPr>
          <w:rFonts w:hint="eastAsia" w:ascii="黑体" w:hAnsi="黑体" w:cs="黑体"/>
          <w:b w:val="0"/>
          <w:bCs/>
          <w:sz w:val="28"/>
          <w:szCs w:val="28"/>
        </w:rPr>
        <w:t>二、申请人的资格要求</w:t>
      </w:r>
      <w:bookmarkEnd w:id="9"/>
      <w:bookmarkEnd w:id="10"/>
      <w:bookmarkEnd w:id="11"/>
      <w:bookmarkEnd w:id="12"/>
      <w:bookmarkEnd w:id="13"/>
    </w:p>
    <w:p>
      <w:pPr>
        <w:pageBreakBefore w:val="0"/>
        <w:kinsoku/>
        <w:wordWrap/>
        <w:overflowPunct/>
        <w:topLinePunct w:val="0"/>
        <w:autoSpaceDN/>
        <w:bidi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pageBreakBefore w:val="0"/>
        <w:kinsoku/>
        <w:wordWrap/>
        <w:overflowPunct/>
        <w:topLinePunct w:val="0"/>
        <w:autoSpaceDN/>
        <w:bidi w:val="0"/>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2、落实政府采购政策需满足的资格要求</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w:t>
      </w:r>
    </w:p>
    <w:p>
      <w:pPr>
        <w:pageBreakBefore w:val="0"/>
        <w:kinsoku/>
        <w:wordWrap/>
        <w:overflowPunct/>
        <w:topLinePunct w:val="0"/>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3、本项目的特定资格要求：</w:t>
      </w:r>
    </w:p>
    <w:p>
      <w:pPr>
        <w:pStyle w:val="31"/>
        <w:keepNext w:val="0"/>
        <w:keepLines w:val="0"/>
        <w:pageBreakBefore w:val="0"/>
        <w:kinsoku/>
        <w:wordWrap/>
        <w:overflowPunct/>
        <w:topLinePunct w:val="0"/>
        <w:autoSpaceDN/>
        <w:bidi w:val="0"/>
        <w:adjustRightInd w:val="0"/>
        <w:snapToGrid w:val="0"/>
        <w:spacing w:before="0" w:beforeAutospacing="0" w:after="0" w:afterAutospacing="0" w:line="4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（1）供应商应具有独立法人资格，营业范围包括物业管理(服务)相关经营范围。</w:t>
      </w:r>
    </w:p>
    <w:p>
      <w:pPr>
        <w:keepNext w:val="0"/>
        <w:keepLines w:val="0"/>
        <w:pageBreakBefore w:val="0"/>
        <w:widowControl/>
        <w:suppressLineNumbers w:val="0"/>
        <w:kinsoku/>
        <w:wordWrap/>
        <w:overflowPunct/>
        <w:topLinePunct w:val="0"/>
        <w:autoSpaceDN/>
        <w:bidi w:val="0"/>
        <w:spacing w:line="460" w:lineRule="exact"/>
        <w:ind w:firstLine="560" w:firstLineChars="200"/>
        <w:jc w:val="left"/>
        <w:textAlignment w:val="auto"/>
        <w:rPr>
          <w:rFonts w:hint="eastAsia" w:ascii="仿宋" w:hAnsi="仿宋" w:eastAsia="仿宋" w:cs="仿宋"/>
          <w:color w:val="FF0000"/>
          <w:kern w:val="2"/>
          <w:sz w:val="28"/>
          <w:szCs w:val="28"/>
          <w:lang w:val="en-US" w:eastAsia="zh-CN" w:bidi="ar-SA"/>
        </w:rPr>
      </w:pPr>
      <w:r>
        <w:rPr>
          <w:rFonts w:hint="eastAsia" w:ascii="仿宋" w:hAnsi="仿宋" w:eastAsia="仿宋" w:cs="仿宋"/>
          <w:kern w:val="2"/>
          <w:sz w:val="28"/>
          <w:szCs w:val="28"/>
          <w:lang w:val="en-US" w:eastAsia="zh-CN" w:bidi="ar-SA"/>
        </w:rPr>
        <w:t>（2）拟任项目负责人应具有物业经理服务</w:t>
      </w:r>
      <w:r>
        <w:rPr>
          <w:rFonts w:hint="eastAsia" w:ascii="仿宋" w:hAnsi="仿宋" w:eastAsia="仿宋" w:cs="仿宋"/>
          <w:color w:val="auto"/>
          <w:kern w:val="2"/>
          <w:sz w:val="28"/>
          <w:szCs w:val="28"/>
          <w:lang w:val="en-US" w:eastAsia="zh-CN" w:bidi="ar-SA"/>
        </w:rPr>
        <w:t>岗位证书且具有大学专科及以上学历。</w:t>
      </w:r>
    </w:p>
    <w:p>
      <w:pPr>
        <w:pStyle w:val="3"/>
        <w:pageBreakBefore w:val="0"/>
        <w:kinsoku/>
        <w:wordWrap/>
        <w:overflowPunct/>
        <w:topLinePunct w:val="0"/>
        <w:autoSpaceDN/>
        <w:bidi w:val="0"/>
        <w:adjustRightInd/>
        <w:spacing w:before="0" w:after="0" w:line="460" w:lineRule="exact"/>
        <w:jc w:val="both"/>
        <w:textAlignment w:val="auto"/>
        <w:rPr>
          <w:rFonts w:ascii="黑体" w:hAnsi="黑体" w:cs="黑体"/>
          <w:b w:val="0"/>
          <w:bCs/>
          <w:sz w:val="28"/>
          <w:szCs w:val="28"/>
        </w:rPr>
      </w:pPr>
      <w:bookmarkStart w:id="16" w:name="_Toc32583"/>
      <w:bookmarkStart w:id="17" w:name="_Toc35393631"/>
      <w:bookmarkStart w:id="18" w:name="_Toc35393800"/>
      <w:r>
        <w:rPr>
          <w:rFonts w:hint="eastAsia" w:ascii="黑体" w:hAnsi="黑体" w:cs="黑体"/>
          <w:b w:val="0"/>
          <w:bCs/>
          <w:sz w:val="28"/>
          <w:szCs w:val="28"/>
        </w:rPr>
        <w:t>三、获取采购文件</w:t>
      </w:r>
      <w:bookmarkEnd w:id="14"/>
      <w:bookmarkEnd w:id="15"/>
      <w:bookmarkEnd w:id="16"/>
      <w:bookmarkEnd w:id="17"/>
      <w:bookmarkEnd w:id="18"/>
    </w:p>
    <w:p>
      <w:pPr>
        <w:pageBreakBefore w:val="0"/>
        <w:kinsoku/>
        <w:wordWrap/>
        <w:overflowPunct/>
        <w:topLinePunct w:val="0"/>
        <w:autoSpaceDN/>
        <w:bidi w:val="0"/>
        <w:spacing w:line="460" w:lineRule="exact"/>
        <w:ind w:firstLine="560" w:firstLineChars="200"/>
        <w:textAlignment w:val="auto"/>
        <w:rPr>
          <w:rFonts w:hint="eastAsia" w:ascii="仿宋" w:hAnsi="仿宋" w:eastAsia="仿宋" w:cs="仿宋"/>
          <w:bCs/>
          <w:sz w:val="28"/>
          <w:szCs w:val="28"/>
          <w:u w:val="none"/>
        </w:rPr>
      </w:pPr>
      <w:r>
        <w:rPr>
          <w:rFonts w:hint="eastAsia" w:ascii="仿宋" w:hAnsi="仿宋" w:eastAsia="仿宋" w:cs="仿宋"/>
          <w:sz w:val="28"/>
          <w:szCs w:val="28"/>
        </w:rPr>
        <w:t>1、时间：</w:t>
      </w:r>
      <w:r>
        <w:rPr>
          <w:rFonts w:hint="eastAsia" w:ascii="仿宋" w:hAnsi="仿宋" w:eastAsia="仿宋" w:cs="仿宋"/>
          <w:bCs/>
          <w:sz w:val="28"/>
          <w:szCs w:val="28"/>
          <w:u w:val="none"/>
        </w:rPr>
        <w:t>自公告发布之日起至磋商时间前</w:t>
      </w:r>
    </w:p>
    <w:p>
      <w:pPr>
        <w:keepNext w:val="0"/>
        <w:keepLines w:val="0"/>
        <w:pageBreakBefore w:val="0"/>
        <w:kinsoku/>
        <w:wordWrap/>
        <w:overflowPunct/>
        <w:topLinePunct w:val="0"/>
        <w:autoSpaceDE w:val="0"/>
        <w:autoSpaceDN/>
        <w:bidi w:val="0"/>
        <w:spacing w:line="460" w:lineRule="exact"/>
        <w:ind w:firstLine="560" w:firstLineChars="200"/>
        <w:textAlignment w:val="auto"/>
        <w:rPr>
          <w:rFonts w:hint="eastAsia" w:ascii="宋体" w:hAnsi="宋体" w:cs="宋体"/>
          <w:color w:val="FF0000"/>
          <w:sz w:val="24"/>
          <w:szCs w:val="24"/>
        </w:rPr>
      </w:pPr>
      <w:r>
        <w:rPr>
          <w:rFonts w:hint="eastAsia" w:ascii="仿宋" w:hAnsi="仿宋" w:eastAsia="仿宋" w:cs="仿宋"/>
          <w:sz w:val="28"/>
          <w:szCs w:val="28"/>
        </w:rPr>
        <w:t>2、地点</w:t>
      </w:r>
      <w:r>
        <w:rPr>
          <w:rFonts w:hint="eastAsia" w:ascii="仿宋" w:hAnsi="仿宋" w:eastAsia="仿宋" w:cs="仿宋"/>
          <w:bCs/>
          <w:sz w:val="28"/>
          <w:szCs w:val="28"/>
          <w:u w:val="none"/>
        </w:rPr>
        <w:t>：安徽衡宇工程咨询有限公司网（http://www.ahhygczx.com）</w:t>
      </w:r>
    </w:p>
    <w:p>
      <w:pPr>
        <w:pageBreakBefore w:val="0"/>
        <w:kinsoku/>
        <w:wordWrap/>
        <w:overflowPunct/>
        <w:topLinePunct w:val="0"/>
        <w:autoSpaceDN/>
        <w:bidi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3、获取方</w:t>
      </w:r>
      <w:r>
        <w:rPr>
          <w:rFonts w:hint="eastAsia" w:ascii="仿宋" w:hAnsi="仿宋" w:eastAsia="仿宋" w:cs="仿宋"/>
          <w:color w:val="auto"/>
          <w:sz w:val="28"/>
          <w:szCs w:val="28"/>
        </w:rPr>
        <w:t>式：</w:t>
      </w:r>
      <w:r>
        <w:rPr>
          <w:rFonts w:hint="eastAsia" w:ascii="仿宋" w:hAnsi="仿宋" w:eastAsia="仿宋" w:cs="仿宋"/>
          <w:bCs/>
          <w:sz w:val="28"/>
          <w:szCs w:val="28"/>
          <w:u w:val="none"/>
        </w:rPr>
        <w:t>本项目磋商文件（答疑澄清等相关文件资料）均由供应商从公告发布网站下载。</w:t>
      </w:r>
    </w:p>
    <w:p>
      <w:pPr>
        <w:pageBreakBefore w:val="0"/>
        <w:kinsoku/>
        <w:wordWrap/>
        <w:overflowPunct/>
        <w:topLinePunct w:val="0"/>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4、售价：零元</w:t>
      </w:r>
    </w:p>
    <w:p>
      <w:pPr>
        <w:pStyle w:val="3"/>
        <w:pageBreakBefore w:val="0"/>
        <w:kinsoku/>
        <w:wordWrap/>
        <w:overflowPunct/>
        <w:topLinePunct w:val="0"/>
        <w:autoSpaceDN/>
        <w:bidi w:val="0"/>
        <w:adjustRightInd/>
        <w:spacing w:before="0" w:after="0" w:line="460" w:lineRule="exact"/>
        <w:jc w:val="both"/>
        <w:textAlignment w:val="auto"/>
        <w:rPr>
          <w:rFonts w:ascii="黑体" w:hAnsi="黑体" w:cs="黑体"/>
          <w:b w:val="0"/>
          <w:bCs/>
          <w:sz w:val="28"/>
          <w:szCs w:val="28"/>
        </w:rPr>
      </w:pPr>
      <w:bookmarkStart w:id="19" w:name="_Toc35393632"/>
      <w:bookmarkStart w:id="20" w:name="_Toc28359092"/>
      <w:bookmarkStart w:id="21" w:name="_Toc35393801"/>
      <w:bookmarkStart w:id="22" w:name="_Toc28359015"/>
      <w:bookmarkStart w:id="23" w:name="_Toc26077"/>
      <w:r>
        <w:rPr>
          <w:rFonts w:hint="eastAsia" w:ascii="黑体" w:hAnsi="黑体" w:cs="黑体"/>
          <w:b w:val="0"/>
          <w:bCs/>
          <w:sz w:val="28"/>
          <w:szCs w:val="28"/>
        </w:rPr>
        <w:t>四、响应文件</w:t>
      </w:r>
      <w:bookmarkEnd w:id="19"/>
      <w:bookmarkEnd w:id="20"/>
      <w:bookmarkEnd w:id="21"/>
      <w:bookmarkEnd w:id="22"/>
      <w:r>
        <w:rPr>
          <w:rFonts w:hint="eastAsia" w:ascii="黑体" w:hAnsi="黑体" w:cs="黑体"/>
          <w:b w:val="0"/>
          <w:bCs/>
          <w:sz w:val="28"/>
          <w:szCs w:val="28"/>
        </w:rPr>
        <w:t>提交</w:t>
      </w:r>
      <w:bookmarkEnd w:id="23"/>
    </w:p>
    <w:p>
      <w:pPr>
        <w:pageBreakBefore w:val="0"/>
        <w:kinsoku/>
        <w:wordWrap/>
        <w:overflowPunct/>
        <w:topLinePunct w:val="0"/>
        <w:autoSpaceDN/>
        <w:bidi w:val="0"/>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sz w:val="28"/>
          <w:szCs w:val="28"/>
        </w:rPr>
        <w:t>1、截止时</w:t>
      </w:r>
      <w:r>
        <w:rPr>
          <w:rFonts w:hint="eastAsia" w:ascii="仿宋" w:hAnsi="仿宋" w:eastAsia="仿宋" w:cs="仿宋"/>
          <w:color w:val="auto"/>
          <w:sz w:val="28"/>
          <w:szCs w:val="28"/>
        </w:rPr>
        <w:t>间：</w:t>
      </w:r>
      <w:r>
        <w:rPr>
          <w:rFonts w:hint="eastAsia" w:ascii="仿宋" w:hAnsi="仿宋" w:eastAsia="仿宋" w:cs="仿宋"/>
          <w:bCs/>
          <w:color w:val="auto"/>
          <w:sz w:val="28"/>
          <w:szCs w:val="28"/>
          <w:u w:val="none"/>
          <w:lang w:val="en-US" w:eastAsia="zh-CN"/>
        </w:rPr>
        <w:t>2023</w:t>
      </w:r>
      <w:r>
        <w:rPr>
          <w:rFonts w:hint="eastAsia" w:ascii="仿宋" w:hAnsi="仿宋" w:eastAsia="仿宋" w:cs="仿宋"/>
          <w:bCs/>
          <w:color w:val="auto"/>
          <w:sz w:val="28"/>
          <w:szCs w:val="28"/>
        </w:rPr>
        <w:t>年</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9</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月</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27</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日</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9</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lang w:eastAsia="zh-CN"/>
        </w:rPr>
        <w:t>时</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00</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分（北京时间）</w:t>
      </w:r>
    </w:p>
    <w:p>
      <w:pPr>
        <w:pageBreakBefore w:val="0"/>
        <w:widowControl/>
        <w:kinsoku/>
        <w:wordWrap/>
        <w:overflowPunct/>
        <w:topLinePunct w:val="0"/>
        <w:autoSpaceDN/>
        <w:bidi w:val="0"/>
        <w:spacing w:line="460" w:lineRule="exact"/>
        <w:ind w:firstLine="560" w:firstLineChars="200"/>
        <w:jc w:val="left"/>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2、提交</w:t>
      </w:r>
      <w:r>
        <w:rPr>
          <w:rFonts w:hint="eastAsia" w:ascii="仿宋" w:hAnsi="仿宋" w:eastAsia="仿宋" w:cs="仿宋"/>
          <w:color w:val="auto"/>
          <w:kern w:val="0"/>
          <w:sz w:val="28"/>
          <w:szCs w:val="28"/>
        </w:rPr>
        <w:t>方式：</w:t>
      </w:r>
      <w:r>
        <w:rPr>
          <w:rFonts w:hint="eastAsia" w:ascii="仿宋" w:hAnsi="仿宋" w:eastAsia="仿宋" w:cs="仿宋"/>
          <w:color w:val="auto"/>
          <w:kern w:val="0"/>
          <w:sz w:val="28"/>
          <w:szCs w:val="28"/>
          <w:lang w:eastAsia="zh-CN"/>
        </w:rPr>
        <w:t>现场提交</w:t>
      </w:r>
    </w:p>
    <w:p>
      <w:pPr>
        <w:pStyle w:val="3"/>
        <w:pageBreakBefore w:val="0"/>
        <w:kinsoku/>
        <w:wordWrap/>
        <w:overflowPunct/>
        <w:topLinePunct w:val="0"/>
        <w:autoSpaceDN/>
        <w:bidi w:val="0"/>
        <w:adjustRightInd/>
        <w:spacing w:before="0" w:after="0" w:line="460" w:lineRule="exact"/>
        <w:jc w:val="both"/>
        <w:textAlignment w:val="auto"/>
        <w:rPr>
          <w:rFonts w:ascii="黑体" w:hAnsi="黑体" w:cs="黑体"/>
          <w:b w:val="0"/>
          <w:bCs/>
          <w:color w:val="auto"/>
          <w:sz w:val="28"/>
          <w:szCs w:val="28"/>
        </w:rPr>
      </w:pPr>
      <w:bookmarkStart w:id="24" w:name="_Toc28359093"/>
      <w:bookmarkStart w:id="25" w:name="_Toc35393633"/>
      <w:bookmarkStart w:id="26" w:name="_Toc35393802"/>
      <w:bookmarkStart w:id="27" w:name="_Toc28359016"/>
      <w:bookmarkStart w:id="28" w:name="_Toc11900"/>
      <w:r>
        <w:rPr>
          <w:rFonts w:hint="eastAsia" w:ascii="黑体" w:hAnsi="黑体" w:cs="黑体"/>
          <w:b w:val="0"/>
          <w:bCs/>
          <w:color w:val="auto"/>
          <w:sz w:val="28"/>
          <w:szCs w:val="28"/>
        </w:rPr>
        <w:t>五、</w:t>
      </w:r>
      <w:bookmarkEnd w:id="24"/>
      <w:bookmarkEnd w:id="25"/>
      <w:bookmarkEnd w:id="26"/>
      <w:bookmarkEnd w:id="27"/>
      <w:r>
        <w:rPr>
          <w:rFonts w:hint="eastAsia" w:ascii="黑体" w:hAnsi="黑体" w:cs="黑体"/>
          <w:b w:val="0"/>
          <w:bCs/>
          <w:color w:val="auto"/>
          <w:sz w:val="28"/>
          <w:szCs w:val="28"/>
        </w:rPr>
        <w:t>响应文件开启</w:t>
      </w:r>
      <w:bookmarkEnd w:id="28"/>
    </w:p>
    <w:p>
      <w:pPr>
        <w:pageBreakBefore w:val="0"/>
        <w:kinsoku/>
        <w:wordWrap/>
        <w:overflowPunct/>
        <w:topLinePunct w:val="0"/>
        <w:autoSpaceDN/>
        <w:bidi w:val="0"/>
        <w:spacing w:line="460" w:lineRule="exact"/>
        <w:ind w:firstLine="560" w:firstLineChars="200"/>
        <w:textAlignment w:val="auto"/>
        <w:rPr>
          <w:rFonts w:ascii="仿宋" w:hAnsi="仿宋" w:eastAsia="仿宋" w:cs="仿宋"/>
          <w:color w:val="auto"/>
          <w:sz w:val="28"/>
          <w:szCs w:val="28"/>
          <w:u w:val="single"/>
        </w:rPr>
      </w:pPr>
      <w:r>
        <w:rPr>
          <w:rFonts w:hint="eastAsia" w:ascii="仿宋" w:hAnsi="仿宋" w:eastAsia="仿宋" w:cs="仿宋"/>
          <w:color w:val="auto"/>
          <w:sz w:val="28"/>
          <w:szCs w:val="28"/>
        </w:rPr>
        <w:t>1、时间：</w:t>
      </w:r>
      <w:bookmarkStart w:id="189" w:name="_GoBack"/>
      <w:bookmarkEnd w:id="189"/>
      <w:r>
        <w:rPr>
          <w:rFonts w:hint="eastAsia" w:ascii="仿宋" w:hAnsi="仿宋" w:eastAsia="仿宋" w:cs="仿宋"/>
          <w:bCs/>
          <w:color w:val="auto"/>
          <w:sz w:val="28"/>
          <w:szCs w:val="28"/>
          <w:u w:val="none"/>
          <w:lang w:val="en-US" w:eastAsia="zh-CN"/>
        </w:rPr>
        <w:t>2023</w:t>
      </w:r>
      <w:r>
        <w:rPr>
          <w:rFonts w:hint="eastAsia" w:ascii="仿宋" w:hAnsi="仿宋" w:eastAsia="仿宋" w:cs="仿宋"/>
          <w:bCs/>
          <w:color w:val="auto"/>
          <w:sz w:val="28"/>
          <w:szCs w:val="28"/>
        </w:rPr>
        <w:t>年</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9</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月</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27</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日</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9</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lang w:eastAsia="zh-CN"/>
        </w:rPr>
        <w:t>时</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00</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分（北京时间）</w:t>
      </w:r>
    </w:p>
    <w:p>
      <w:pPr>
        <w:pStyle w:val="34"/>
        <w:pageBreakBefore w:val="0"/>
        <w:kinsoku/>
        <w:wordWrap/>
        <w:overflowPunct/>
        <w:topLinePunct w:val="0"/>
        <w:autoSpaceDN/>
        <w:bidi w:val="0"/>
        <w:spacing w:after="0"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color w:val="auto"/>
          <w:sz w:val="28"/>
          <w:szCs w:val="28"/>
        </w:rPr>
        <w:t>、地点：</w:t>
      </w:r>
      <w:r>
        <w:rPr>
          <w:rFonts w:hint="eastAsia" w:ascii="仿宋" w:hAnsi="仿宋" w:eastAsia="仿宋" w:cs="仿宋"/>
          <w:color w:val="auto"/>
          <w:kern w:val="0"/>
          <w:sz w:val="28"/>
          <w:szCs w:val="28"/>
          <w:lang w:val="en-US" w:eastAsia="zh-CN"/>
        </w:rPr>
        <w:t>安徽衡宇工程咨询有限公司二楼开标厅</w:t>
      </w:r>
      <w:r>
        <w:rPr>
          <w:rFonts w:hint="eastAsia" w:ascii="仿宋" w:hAnsi="仿宋" w:eastAsia="仿宋" w:cs="仿宋"/>
          <w:bCs/>
          <w:color w:val="auto"/>
          <w:sz w:val="28"/>
          <w:szCs w:val="28"/>
          <w:lang w:val="en-US" w:eastAsia="zh-CN"/>
        </w:rPr>
        <w:t>（</w:t>
      </w:r>
      <w:r>
        <w:rPr>
          <w:rFonts w:hint="eastAsia" w:ascii="仿宋" w:hAnsi="仿宋" w:eastAsia="仿宋" w:cs="仿宋"/>
          <w:bCs/>
          <w:color w:val="auto"/>
          <w:sz w:val="28"/>
          <w:szCs w:val="28"/>
          <w:lang w:eastAsia="zh-CN"/>
        </w:rPr>
        <w:t>霍山县中兴南路</w:t>
      </w:r>
      <w:r>
        <w:rPr>
          <w:rFonts w:hint="eastAsia" w:ascii="仿宋" w:hAnsi="仿宋" w:eastAsia="仿宋" w:cs="仿宋"/>
          <w:bCs/>
          <w:color w:val="auto"/>
          <w:sz w:val="28"/>
          <w:szCs w:val="28"/>
          <w:lang w:val="en-US" w:eastAsia="zh-CN"/>
        </w:rPr>
        <w:t>16</w:t>
      </w:r>
      <w:r>
        <w:rPr>
          <w:rFonts w:hint="eastAsia" w:ascii="仿宋" w:hAnsi="仿宋" w:eastAsia="仿宋" w:cs="仿宋"/>
          <w:bCs/>
          <w:sz w:val="28"/>
          <w:szCs w:val="28"/>
          <w:lang w:val="en-US" w:eastAsia="zh-CN"/>
        </w:rPr>
        <w:t>号，老建设局大院三楼）</w:t>
      </w:r>
    </w:p>
    <w:p>
      <w:pPr>
        <w:pStyle w:val="3"/>
        <w:pageBreakBefore w:val="0"/>
        <w:kinsoku/>
        <w:wordWrap/>
        <w:overflowPunct/>
        <w:topLinePunct w:val="0"/>
        <w:autoSpaceDN/>
        <w:bidi w:val="0"/>
        <w:adjustRightInd/>
        <w:spacing w:before="0" w:after="0" w:line="460" w:lineRule="exact"/>
        <w:jc w:val="both"/>
        <w:textAlignment w:val="auto"/>
        <w:rPr>
          <w:rFonts w:ascii="黑体" w:hAnsi="黑体" w:cs="黑体"/>
          <w:b w:val="0"/>
          <w:bCs/>
          <w:sz w:val="28"/>
          <w:szCs w:val="28"/>
        </w:rPr>
      </w:pPr>
      <w:bookmarkStart w:id="29" w:name="_Toc28359017"/>
      <w:bookmarkStart w:id="30" w:name="_Toc28359094"/>
      <w:bookmarkStart w:id="31" w:name="_Toc35393803"/>
      <w:bookmarkStart w:id="32" w:name="_Toc6439"/>
      <w:bookmarkStart w:id="33" w:name="_Toc35393634"/>
      <w:r>
        <w:rPr>
          <w:rFonts w:hint="eastAsia" w:ascii="黑体" w:hAnsi="黑体" w:cs="黑体"/>
          <w:b w:val="0"/>
          <w:bCs/>
          <w:sz w:val="28"/>
          <w:szCs w:val="28"/>
        </w:rPr>
        <w:t>六、公告期限</w:t>
      </w:r>
      <w:bookmarkEnd w:id="29"/>
      <w:bookmarkEnd w:id="30"/>
      <w:bookmarkEnd w:id="31"/>
      <w:bookmarkEnd w:id="32"/>
      <w:bookmarkEnd w:id="33"/>
    </w:p>
    <w:p>
      <w:pPr>
        <w:pageBreakBefore w:val="0"/>
        <w:kinsoku/>
        <w:wordWrap/>
        <w:overflowPunct/>
        <w:topLinePunct w:val="0"/>
        <w:autoSpaceDN/>
        <w:bidi w:val="0"/>
        <w:spacing w:line="460" w:lineRule="exact"/>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自本公告发布之日起</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个工作日。</w:t>
      </w:r>
    </w:p>
    <w:p>
      <w:pPr>
        <w:pageBreakBefore w:val="0"/>
        <w:kinsoku/>
        <w:wordWrap/>
        <w:overflowPunct/>
        <w:topLinePunct w:val="0"/>
        <w:autoSpaceDN/>
        <w:bidi w:val="0"/>
        <w:spacing w:line="460" w:lineRule="exact"/>
        <w:textAlignment w:val="auto"/>
        <w:rPr>
          <w:rFonts w:ascii="黑体" w:hAnsi="黑体" w:eastAsia="黑体" w:cs="黑体"/>
          <w:sz w:val="28"/>
          <w:szCs w:val="28"/>
        </w:rPr>
      </w:pPr>
      <w:r>
        <w:rPr>
          <w:rFonts w:hint="eastAsia" w:ascii="黑体" w:hAnsi="黑体" w:eastAsia="黑体" w:cs="黑体"/>
          <w:sz w:val="28"/>
          <w:szCs w:val="28"/>
        </w:rPr>
        <w:t>七、</w:t>
      </w:r>
      <w:bookmarkStart w:id="34" w:name="_Toc35393804"/>
      <w:bookmarkStart w:id="35" w:name="_Toc35393635"/>
      <w:r>
        <w:rPr>
          <w:rFonts w:hint="eastAsia" w:ascii="黑体" w:hAnsi="黑体" w:eastAsia="黑体" w:cs="黑体"/>
          <w:sz w:val="28"/>
          <w:szCs w:val="28"/>
        </w:rPr>
        <w:t>其他事宜</w:t>
      </w:r>
      <w:bookmarkEnd w:id="34"/>
      <w:bookmarkEnd w:id="35"/>
      <w:bookmarkStart w:id="36" w:name="_Toc35393636"/>
      <w:bookmarkStart w:id="37" w:name="_Toc28359018"/>
      <w:bookmarkStart w:id="38" w:name="_Toc28359095"/>
      <w:bookmarkStart w:id="39" w:name="_Toc35393805"/>
    </w:p>
    <w:p>
      <w:pPr>
        <w:pageBreakBefore w:val="0"/>
        <w:widowControl/>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仿宋"/>
          <w:kern w:val="2"/>
          <w:sz w:val="28"/>
          <w:szCs w:val="28"/>
          <w:lang w:val="en-US" w:eastAsia="zh-CN" w:bidi="ar-SA"/>
        </w:rPr>
      </w:pPr>
      <w:bookmarkStart w:id="40" w:name="_Toc7807"/>
      <w:bookmarkStart w:id="41" w:name="_Toc21256"/>
      <w:r>
        <w:rPr>
          <w:rFonts w:hint="eastAsia" w:ascii="仿宋" w:hAnsi="仿宋" w:eastAsia="仿宋" w:cs="仿宋"/>
          <w:kern w:val="2"/>
          <w:sz w:val="28"/>
          <w:szCs w:val="28"/>
          <w:lang w:val="en-US" w:eastAsia="zh-CN" w:bidi="ar-SA"/>
        </w:rPr>
        <w:t>1、供应商应当按照本项目采购文件规定的时间和地点参与磋商，供应商仅确定一名人员参加：法定代表人持本人二代居民身份证原件或授权委托代理人持本人二代居民身份证原件和法人授权委托书原件，凡不能出示上述有效证件或未出席磋商会议者，响应文件不予接受，磋商资格无效。法定代表人参与磋商的只需查验身份证；代理人参与磋商的，如开标现场其未单独提交授权委托书，且响应文件也未有授权委托书原件，其响应文件不予接受，磋商资格无效。</w:t>
      </w:r>
    </w:p>
    <w:p>
      <w:pPr>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2、答疑：供应商如果对本项目内容有相关疑问，可以以邮件形式提出，对采购文件进行的澄清、更正或更改，将</w:t>
      </w:r>
      <w:r>
        <w:rPr>
          <w:rFonts w:hint="eastAsia" w:ascii="仿宋" w:hAnsi="仿宋" w:eastAsia="仿宋" w:cs="仿宋"/>
          <w:color w:val="auto"/>
          <w:kern w:val="2"/>
          <w:sz w:val="28"/>
          <w:szCs w:val="28"/>
          <w:lang w:val="en-US" w:eastAsia="zh-CN" w:bidi="ar-SA"/>
        </w:rPr>
        <w:t>在安徽衡宇工程咨询有限公司网（http://www.ahhygczx.com）网站上及时发布</w:t>
      </w:r>
      <w:r>
        <w:rPr>
          <w:rFonts w:hint="eastAsia" w:ascii="仿宋" w:hAnsi="仿宋" w:eastAsia="仿宋" w:cs="仿宋"/>
          <w:kern w:val="2"/>
          <w:sz w:val="28"/>
          <w:szCs w:val="28"/>
          <w:lang w:val="en-US" w:eastAsia="zh-CN" w:bidi="ar-SA"/>
        </w:rPr>
        <w:t>，该公告内容为采购文件的组成部分，对供应商具有同样约束力效力。供应商应主动上网查询，供应商须自行承担因未及时关注相关信息而引发的相关责任。</w:t>
      </w:r>
    </w:p>
    <w:p>
      <w:pPr>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3、本项目相关公告在</w:t>
      </w:r>
      <w:r>
        <w:rPr>
          <w:rFonts w:hint="eastAsia" w:ascii="仿宋" w:hAnsi="仿宋" w:eastAsia="仿宋" w:cs="仿宋"/>
          <w:color w:val="auto"/>
          <w:kern w:val="2"/>
          <w:sz w:val="28"/>
          <w:szCs w:val="28"/>
          <w:lang w:val="en-US" w:eastAsia="zh-CN" w:bidi="ar-SA"/>
        </w:rPr>
        <w:t>安徽衡宇工程咨询有限公司网（http://www.ahhygczx.com）网站发布</w:t>
      </w:r>
      <w:r>
        <w:rPr>
          <w:rFonts w:hint="eastAsia" w:ascii="仿宋" w:hAnsi="仿宋" w:eastAsia="仿宋" w:cs="仿宋"/>
          <w:kern w:val="2"/>
          <w:sz w:val="28"/>
          <w:szCs w:val="28"/>
          <w:lang w:val="en-US" w:eastAsia="zh-CN" w:bidi="ar-SA"/>
        </w:rPr>
        <w:t>，请各位供应商注意查看有关竞争性磋商公告、答疑澄清等相关文件资料，如不及时查看造成后果由供应商自负。</w:t>
      </w:r>
    </w:p>
    <w:p>
      <w:pPr>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4、严禁恶意低价或恶意高价竞标，对恶意低价或恶意高价竞标的，采购人有权进行调查处理，经查证属实的，其响应资格无效，同时给予限制投标资格等处理。</w:t>
      </w:r>
    </w:p>
    <w:p>
      <w:pPr>
        <w:pStyle w:val="3"/>
        <w:pageBreakBefore w:val="0"/>
        <w:kinsoku/>
        <w:wordWrap/>
        <w:overflowPunct/>
        <w:topLinePunct w:val="0"/>
        <w:autoSpaceDN/>
        <w:bidi w:val="0"/>
        <w:adjustRightInd/>
        <w:spacing w:before="0" w:after="0" w:line="460" w:lineRule="exact"/>
        <w:jc w:val="both"/>
        <w:textAlignment w:val="auto"/>
        <w:rPr>
          <w:rFonts w:ascii="黑体" w:hAnsi="黑体" w:cs="黑体"/>
          <w:b w:val="0"/>
          <w:bCs/>
          <w:sz w:val="28"/>
          <w:szCs w:val="28"/>
        </w:rPr>
      </w:pPr>
      <w:r>
        <w:rPr>
          <w:rFonts w:hint="eastAsia" w:ascii="黑体" w:hAnsi="黑体" w:cs="黑体"/>
          <w:b w:val="0"/>
          <w:bCs/>
          <w:sz w:val="28"/>
          <w:szCs w:val="28"/>
        </w:rPr>
        <w:t>八、凡对本次采购提出询问，请按以下方式联系。</w:t>
      </w:r>
      <w:bookmarkEnd w:id="36"/>
      <w:bookmarkEnd w:id="37"/>
      <w:bookmarkEnd w:id="38"/>
      <w:bookmarkEnd w:id="39"/>
      <w:bookmarkEnd w:id="40"/>
      <w:bookmarkEnd w:id="41"/>
    </w:p>
    <w:p>
      <w:pPr>
        <w:pStyle w:val="3"/>
        <w:pageBreakBefore w:val="0"/>
        <w:kinsoku/>
        <w:wordWrap/>
        <w:overflowPunct/>
        <w:topLinePunct w:val="0"/>
        <w:autoSpaceDN/>
        <w:bidi w:val="0"/>
        <w:adjustRightInd/>
        <w:spacing w:before="0" w:after="0" w:line="460" w:lineRule="exact"/>
        <w:ind w:firstLine="560" w:firstLineChars="200"/>
        <w:jc w:val="both"/>
        <w:textAlignment w:val="auto"/>
        <w:rPr>
          <w:rFonts w:ascii="仿宋" w:hAnsi="仿宋" w:eastAsia="仿宋" w:cs="仿宋"/>
          <w:b w:val="0"/>
          <w:bCs/>
          <w:sz w:val="28"/>
          <w:szCs w:val="28"/>
        </w:rPr>
      </w:pPr>
      <w:bookmarkStart w:id="42" w:name="_Toc12167"/>
      <w:bookmarkStart w:id="43" w:name="_Toc35393806"/>
      <w:bookmarkStart w:id="44" w:name="_Toc17822"/>
      <w:bookmarkStart w:id="45" w:name="_Toc35393637"/>
      <w:bookmarkStart w:id="46" w:name="_Toc28359019"/>
      <w:bookmarkStart w:id="47" w:name="_Toc28359096"/>
      <w:r>
        <w:rPr>
          <w:rFonts w:hint="eastAsia" w:ascii="仿宋" w:hAnsi="仿宋" w:eastAsia="仿宋" w:cs="仿宋"/>
          <w:b w:val="0"/>
          <w:bCs/>
          <w:sz w:val="28"/>
          <w:szCs w:val="28"/>
        </w:rPr>
        <w:t>1、采购人信息</w:t>
      </w:r>
      <w:bookmarkEnd w:id="42"/>
      <w:bookmarkEnd w:id="43"/>
      <w:bookmarkEnd w:id="44"/>
      <w:bookmarkEnd w:id="45"/>
      <w:bookmarkEnd w:id="46"/>
      <w:bookmarkEnd w:id="47"/>
    </w:p>
    <w:p>
      <w:pPr>
        <w:pageBreakBefore w:val="0"/>
        <w:kinsoku/>
        <w:wordWrap/>
        <w:overflowPunct/>
        <w:topLinePunct w:val="0"/>
        <w:autoSpaceDN/>
        <w:bidi w:val="0"/>
        <w:spacing w:line="46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名    称：</w:t>
      </w:r>
      <w:r>
        <w:rPr>
          <w:rFonts w:hint="eastAsia" w:ascii="仿宋" w:hAnsi="仿宋" w:eastAsia="仿宋" w:cs="仿宋"/>
          <w:bCs/>
          <w:kern w:val="0"/>
          <w:sz w:val="28"/>
          <w:szCs w:val="28"/>
          <w:lang w:eastAsia="zh-CN"/>
        </w:rPr>
        <w:t>霍山华强大别山房地产开发有限公司</w:t>
      </w:r>
    </w:p>
    <w:p>
      <w:pPr>
        <w:pageBreakBefore w:val="0"/>
        <w:kinsoku/>
        <w:wordWrap/>
        <w:overflowPunct/>
        <w:topLinePunct w:val="0"/>
        <w:autoSpaceDN/>
        <w:bidi w:val="0"/>
        <w:spacing w:line="46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地    址：</w:t>
      </w:r>
      <w:r>
        <w:rPr>
          <w:rFonts w:hint="eastAsia" w:ascii="仿宋" w:hAnsi="仿宋" w:eastAsia="仿宋" w:cs="仿宋"/>
          <w:bCs/>
          <w:kern w:val="0"/>
          <w:sz w:val="28"/>
          <w:szCs w:val="28"/>
          <w:lang w:eastAsia="zh-CN"/>
        </w:rPr>
        <w:t>霍山县衡山镇纬七路华强文化旅游城</w:t>
      </w:r>
    </w:p>
    <w:p>
      <w:pPr>
        <w:pageBreakBefore w:val="0"/>
        <w:kinsoku/>
        <w:wordWrap/>
        <w:overflowPunct/>
        <w:topLinePunct w:val="0"/>
        <w:autoSpaceDN/>
        <w:bidi w:val="0"/>
        <w:spacing w:line="46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联系方式：</w:t>
      </w:r>
      <w:bookmarkStart w:id="48" w:name="_Toc35393638"/>
      <w:bookmarkStart w:id="49" w:name="_Toc35393807"/>
      <w:bookmarkStart w:id="50" w:name="_Toc28359097"/>
      <w:bookmarkStart w:id="51" w:name="_Toc28359020"/>
      <w:r>
        <w:rPr>
          <w:rFonts w:hint="eastAsia" w:ascii="仿宋" w:hAnsi="仿宋" w:eastAsia="仿宋" w:cs="仿宋"/>
          <w:bCs/>
          <w:kern w:val="0"/>
          <w:sz w:val="28"/>
          <w:szCs w:val="28"/>
          <w:lang w:eastAsia="zh-CN"/>
        </w:rPr>
        <w:t>叶女士</w:t>
      </w:r>
      <w:r>
        <w:rPr>
          <w:rFonts w:hint="eastAsia" w:ascii="仿宋" w:hAnsi="仿宋" w:eastAsia="仿宋" w:cs="仿宋"/>
          <w:bCs/>
          <w:kern w:val="0"/>
          <w:sz w:val="28"/>
          <w:szCs w:val="28"/>
          <w:lang w:val="en-US" w:eastAsia="zh-CN"/>
        </w:rPr>
        <w:t xml:space="preserve">  18156808665</w:t>
      </w:r>
      <w:r>
        <w:rPr>
          <w:rFonts w:hint="eastAsia" w:ascii="仿宋" w:hAnsi="仿宋" w:eastAsia="仿宋" w:cs="仿宋"/>
          <w:bCs/>
          <w:kern w:val="0"/>
          <w:sz w:val="28"/>
          <w:szCs w:val="28"/>
          <w:lang w:eastAsia="zh-CN"/>
        </w:rPr>
        <w:t> </w:t>
      </w:r>
    </w:p>
    <w:p>
      <w:pPr>
        <w:pageBreakBefore w:val="0"/>
        <w:numPr>
          <w:ilvl w:val="0"/>
          <w:numId w:val="2"/>
        </w:numPr>
        <w:kinsoku/>
        <w:wordWrap/>
        <w:overflowPunct/>
        <w:topLinePunct w:val="0"/>
        <w:autoSpaceDN/>
        <w:bidi w:val="0"/>
        <w:spacing w:line="46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采购代理机构信息</w:t>
      </w:r>
      <w:bookmarkEnd w:id="48"/>
      <w:bookmarkEnd w:id="49"/>
      <w:bookmarkEnd w:id="50"/>
      <w:bookmarkEnd w:id="51"/>
      <w:bookmarkStart w:id="52" w:name="_Toc35393808"/>
      <w:bookmarkStart w:id="53" w:name="_Toc35393639"/>
      <w:bookmarkStart w:id="54" w:name="_Toc28359021"/>
      <w:bookmarkStart w:id="55" w:name="_Toc28359098"/>
    </w:p>
    <w:p>
      <w:pPr>
        <w:pageBreakBefore w:val="0"/>
        <w:kinsoku/>
        <w:wordWrap/>
        <w:overflowPunct/>
        <w:topLinePunct w:val="0"/>
        <w:autoSpaceDN/>
        <w:bidi w:val="0"/>
        <w:spacing w:line="46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 xml:space="preserve">名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称：</w:t>
      </w:r>
      <w:r>
        <w:rPr>
          <w:rFonts w:hint="eastAsia" w:ascii="仿宋" w:hAnsi="仿宋" w:eastAsia="仿宋" w:cs="仿宋"/>
          <w:bCs/>
          <w:kern w:val="0"/>
          <w:sz w:val="28"/>
          <w:szCs w:val="28"/>
          <w:lang w:eastAsia="zh-CN"/>
        </w:rPr>
        <w:t>安徽衡宇工程咨询有限公司</w:t>
      </w:r>
    </w:p>
    <w:p>
      <w:pPr>
        <w:pageBreakBefore w:val="0"/>
        <w:kinsoku/>
        <w:wordWrap/>
        <w:overflowPunct/>
        <w:topLinePunct w:val="0"/>
        <w:autoSpaceDN/>
        <w:bidi w:val="0"/>
        <w:spacing w:line="46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地</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址：</w:t>
      </w:r>
      <w:r>
        <w:rPr>
          <w:rFonts w:hint="eastAsia" w:ascii="仿宋" w:hAnsi="仿宋" w:eastAsia="仿宋" w:cs="仿宋"/>
          <w:bCs/>
          <w:sz w:val="28"/>
          <w:szCs w:val="28"/>
          <w:lang w:eastAsia="zh-CN"/>
        </w:rPr>
        <w:t>霍山县中兴南路</w:t>
      </w:r>
      <w:r>
        <w:rPr>
          <w:rFonts w:hint="eastAsia" w:ascii="仿宋" w:hAnsi="仿宋" w:eastAsia="仿宋" w:cs="仿宋"/>
          <w:bCs/>
          <w:sz w:val="28"/>
          <w:szCs w:val="28"/>
          <w:lang w:val="en-US" w:eastAsia="zh-CN"/>
        </w:rPr>
        <w:t>16号（老建设局大院三楼）</w:t>
      </w:r>
    </w:p>
    <w:p>
      <w:pPr>
        <w:pageBreakBefore w:val="0"/>
        <w:kinsoku/>
        <w:wordWrap/>
        <w:overflowPunct/>
        <w:topLinePunct w:val="0"/>
        <w:autoSpaceDN/>
        <w:bidi w:val="0"/>
        <w:spacing w:line="46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联系方式：</w:t>
      </w:r>
      <w:r>
        <w:rPr>
          <w:rFonts w:hint="eastAsia" w:ascii="仿宋" w:hAnsi="仿宋" w:eastAsia="仿宋" w:cs="仿宋"/>
          <w:bCs/>
          <w:kern w:val="0"/>
          <w:sz w:val="28"/>
          <w:szCs w:val="28"/>
          <w:lang w:eastAsia="zh-CN"/>
        </w:rPr>
        <w:t>邵女士</w:t>
      </w:r>
      <w:r>
        <w:rPr>
          <w:rFonts w:hint="eastAsia" w:ascii="仿宋" w:hAnsi="仿宋" w:eastAsia="仿宋" w:cs="仿宋"/>
          <w:bCs/>
          <w:kern w:val="0"/>
          <w:sz w:val="28"/>
          <w:szCs w:val="28"/>
          <w:lang w:val="en-US" w:eastAsia="zh-CN"/>
        </w:rPr>
        <w:t xml:space="preserve">  </w:t>
      </w:r>
      <w:r>
        <w:rPr>
          <w:rFonts w:hint="eastAsia" w:ascii="仿宋" w:hAnsi="仿宋" w:eastAsia="仿宋" w:cs="仿宋"/>
          <w:bCs/>
          <w:kern w:val="0"/>
          <w:sz w:val="28"/>
          <w:szCs w:val="28"/>
          <w:lang w:eastAsia="zh-CN"/>
        </w:rPr>
        <w:t> 0564-5029965</w:t>
      </w:r>
    </w:p>
    <w:bookmarkEnd w:id="52"/>
    <w:bookmarkEnd w:id="53"/>
    <w:bookmarkEnd w:id="54"/>
    <w:bookmarkEnd w:id="55"/>
    <w:p>
      <w:pPr>
        <w:pStyle w:val="31"/>
        <w:keepNext w:val="0"/>
        <w:keepLines w:val="0"/>
        <w:pageBreakBefore w:val="0"/>
        <w:kinsoku/>
        <w:wordWrap/>
        <w:overflowPunct/>
        <w:topLinePunct w:val="0"/>
        <w:autoSpaceDN/>
        <w:bidi w:val="0"/>
        <w:adjustRightInd w:val="0"/>
        <w:snapToGrid w:val="0"/>
        <w:spacing w:before="0" w:beforeAutospacing="0" w:after="0" w:afterAutospacing="0" w:line="460" w:lineRule="exact"/>
        <w:textAlignment w:val="auto"/>
        <w:rPr>
          <w:rFonts w:hint="eastAsia" w:ascii="黑体" w:hAnsi="黑体" w:eastAsia="黑体" w:cs="黑体"/>
          <w:b w:val="0"/>
          <w:bCs/>
          <w:kern w:val="0"/>
          <w:sz w:val="28"/>
          <w:szCs w:val="28"/>
          <w:lang w:val="en-US" w:eastAsia="zh-CN" w:bidi="ar-SA"/>
        </w:rPr>
      </w:pPr>
      <w:r>
        <w:rPr>
          <w:rFonts w:hint="eastAsia" w:ascii="黑体" w:hAnsi="黑体" w:eastAsia="黑体" w:cs="黑体"/>
          <w:b w:val="0"/>
          <w:bCs/>
          <w:kern w:val="0"/>
          <w:sz w:val="28"/>
          <w:szCs w:val="28"/>
          <w:lang w:val="en-US" w:eastAsia="zh-CN" w:bidi="ar-SA"/>
        </w:rPr>
        <w:t>九、投标保证金账号：</w:t>
      </w:r>
    </w:p>
    <w:p>
      <w:pPr>
        <w:pStyle w:val="31"/>
        <w:keepNext w:val="0"/>
        <w:keepLines w:val="0"/>
        <w:pageBreakBefore w:val="0"/>
        <w:kinsoku/>
        <w:wordWrap/>
        <w:overflowPunct/>
        <w:topLinePunct w:val="0"/>
        <w:autoSpaceDN/>
        <w:bidi w:val="0"/>
        <w:adjustRightInd w:val="0"/>
        <w:snapToGrid w:val="0"/>
        <w:spacing w:before="0" w:beforeAutospacing="0" w:after="0" w:afterAutospacing="0" w:line="4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保证金的金额：贰万元整（¥20000元） </w:t>
      </w:r>
    </w:p>
    <w:p>
      <w:pPr>
        <w:pStyle w:val="31"/>
        <w:keepNext w:val="0"/>
        <w:keepLines w:val="0"/>
        <w:pageBreakBefore w:val="0"/>
        <w:kinsoku/>
        <w:wordWrap/>
        <w:overflowPunct/>
        <w:topLinePunct w:val="0"/>
        <w:autoSpaceDN/>
        <w:bidi w:val="0"/>
        <w:adjustRightInd w:val="0"/>
        <w:snapToGrid w:val="0"/>
        <w:spacing w:before="0" w:beforeAutospacing="0" w:after="0" w:afterAutospacing="0" w:line="4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户  名：霍山华强大别山房地产开发有限公司</w:t>
      </w:r>
    </w:p>
    <w:p>
      <w:pPr>
        <w:pStyle w:val="31"/>
        <w:keepNext w:val="0"/>
        <w:keepLines w:val="0"/>
        <w:pageBreakBefore w:val="0"/>
        <w:kinsoku/>
        <w:wordWrap/>
        <w:overflowPunct/>
        <w:topLinePunct w:val="0"/>
        <w:autoSpaceDN/>
        <w:bidi w:val="0"/>
        <w:adjustRightInd w:val="0"/>
        <w:snapToGrid w:val="0"/>
        <w:spacing w:before="0" w:beforeAutospacing="0" w:after="0" w:afterAutospacing="0" w:line="4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汇入银行：中国建设银行股份有限公司霍山支行</w:t>
      </w:r>
    </w:p>
    <w:p>
      <w:pPr>
        <w:pStyle w:val="31"/>
        <w:keepNext w:val="0"/>
        <w:keepLines w:val="0"/>
        <w:pageBreakBefore w:val="0"/>
        <w:kinsoku/>
        <w:wordWrap/>
        <w:overflowPunct/>
        <w:topLinePunct w:val="0"/>
        <w:autoSpaceDN/>
        <w:bidi w:val="0"/>
        <w:adjustRightInd w:val="0"/>
        <w:snapToGrid w:val="0"/>
        <w:spacing w:before="0" w:beforeAutospacing="0" w:after="0" w:afterAutospacing="0" w:line="4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汇入银行帐号：34050174730800000951</w:t>
      </w:r>
    </w:p>
    <w:p>
      <w:pPr>
        <w:pStyle w:val="31"/>
        <w:keepNext w:val="0"/>
        <w:keepLines w:val="0"/>
        <w:pageBreakBefore w:val="0"/>
        <w:kinsoku/>
        <w:wordWrap/>
        <w:overflowPunct/>
        <w:topLinePunct w:val="0"/>
        <w:autoSpaceDN/>
        <w:bidi w:val="0"/>
        <w:adjustRightInd w:val="0"/>
        <w:snapToGrid w:val="0"/>
        <w:spacing w:before="0" w:beforeAutospacing="0" w:after="0" w:afterAutospacing="0" w:line="4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汇出账户要求：应为供应商基本账户</w:t>
      </w:r>
    </w:p>
    <w:p>
      <w:pPr>
        <w:pStyle w:val="31"/>
        <w:keepNext w:val="0"/>
        <w:keepLines w:val="0"/>
        <w:pageBreakBefore w:val="0"/>
        <w:kinsoku/>
        <w:wordWrap/>
        <w:overflowPunct/>
        <w:topLinePunct w:val="0"/>
        <w:autoSpaceDN/>
        <w:bidi w:val="0"/>
        <w:adjustRightInd w:val="0"/>
        <w:snapToGrid w:val="0"/>
        <w:spacing w:before="0" w:beforeAutospacing="0" w:after="0" w:afterAutospacing="0" w:line="4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备注:供应商可以通过转账、网银支付、汇票、支票、保证保险、银行履约保函（含电子保函）等方式提交。</w:t>
      </w:r>
    </w:p>
    <w:p>
      <w:pPr>
        <w:pageBreakBefore w:val="0"/>
        <w:kinsoku/>
        <w:wordWrap/>
        <w:overflowPunct/>
        <w:topLinePunct w:val="0"/>
        <w:autoSpaceDN/>
        <w:bidi w:val="0"/>
        <w:spacing w:line="460" w:lineRule="exact"/>
        <w:jc w:val="left"/>
        <w:textAlignment w:val="auto"/>
        <w:rPr>
          <w:rFonts w:hint="eastAsia" w:ascii="仿宋" w:hAnsi="仿宋" w:eastAsia="仿宋" w:cs="仿宋"/>
          <w:bCs/>
          <w:sz w:val="28"/>
          <w:szCs w:val="28"/>
          <w:lang w:eastAsia="zh-CN"/>
        </w:rPr>
      </w:pPr>
    </w:p>
    <w:p>
      <w:pPr>
        <w:pageBreakBefore w:val="0"/>
        <w:kinsoku/>
        <w:wordWrap/>
        <w:overflowPunct/>
        <w:topLinePunct w:val="0"/>
        <w:autoSpaceDN/>
        <w:bidi w:val="0"/>
        <w:spacing w:line="460" w:lineRule="exact"/>
        <w:jc w:val="righ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2023</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9</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18</w:t>
      </w:r>
      <w:r>
        <w:rPr>
          <w:rFonts w:hint="eastAsia" w:ascii="仿宋" w:hAnsi="仿宋" w:eastAsia="仿宋" w:cs="仿宋"/>
          <w:bCs/>
          <w:sz w:val="28"/>
          <w:szCs w:val="28"/>
        </w:rPr>
        <w:t>日</w:t>
      </w:r>
    </w:p>
    <w:p>
      <w:pPr>
        <w:rPr>
          <w:rFonts w:ascii="宋体" w:hAnsi="宋体" w:cs="宋体"/>
          <w:sz w:val="28"/>
          <w:szCs w:val="28"/>
        </w:rPr>
      </w:pPr>
    </w:p>
    <w:p>
      <w:pPr>
        <w:pStyle w:val="3"/>
        <w:spacing w:before="120" w:beforeLines="50" w:after="120" w:afterLines="50" w:line="560" w:lineRule="exact"/>
        <w:jc w:val="center"/>
        <w:rPr>
          <w:rFonts w:ascii="宋体" w:hAnsi="宋体" w:eastAsia="宋体" w:cs="宋体"/>
          <w:sz w:val="28"/>
          <w:szCs w:val="28"/>
        </w:rPr>
      </w:pPr>
      <w:bookmarkStart w:id="56" w:name="_Toc21819"/>
      <w:r>
        <w:rPr>
          <w:rFonts w:hint="eastAsia" w:ascii="宋体" w:hAnsi="宋体" w:eastAsia="宋体" w:cs="宋体"/>
          <w:sz w:val="28"/>
          <w:szCs w:val="28"/>
        </w:rPr>
        <w:t>一、供应商须知</w:t>
      </w:r>
      <w:bookmarkEnd w:id="0"/>
      <w:bookmarkEnd w:id="1"/>
      <w:bookmarkEnd w:id="56"/>
    </w:p>
    <w:p>
      <w:pPr>
        <w:pStyle w:val="3"/>
        <w:spacing w:before="0" w:after="0" w:line="560" w:lineRule="exact"/>
        <w:jc w:val="center"/>
        <w:rPr>
          <w:rFonts w:ascii="宋体" w:hAnsi="宋体" w:eastAsia="宋体" w:cs="宋体"/>
          <w:sz w:val="24"/>
          <w:szCs w:val="24"/>
        </w:rPr>
      </w:pPr>
      <w:bookmarkStart w:id="57" w:name="_Toc22568"/>
      <w:r>
        <w:rPr>
          <w:rFonts w:hint="eastAsia" w:ascii="宋体" w:hAnsi="宋体" w:eastAsia="宋体" w:cs="宋体"/>
          <w:sz w:val="24"/>
          <w:szCs w:val="24"/>
        </w:rPr>
        <w:t>（一）须知前附表</w:t>
      </w:r>
      <w:bookmarkEnd w:id="57"/>
    </w:p>
    <w:tbl>
      <w:tblPr>
        <w:tblStyle w:val="36"/>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spacing w:line="440" w:lineRule="exact"/>
              <w:jc w:val="center"/>
              <w:rPr>
                <w:rFonts w:ascii="宋体" w:hAnsi="宋体"/>
                <w:b/>
                <w:sz w:val="24"/>
                <w:szCs w:val="24"/>
              </w:rPr>
            </w:pPr>
            <w:bookmarkStart w:id="58" w:name="_Toc438107743"/>
            <w:bookmarkStart w:id="59" w:name="_Toc216158627"/>
            <w:bookmarkStart w:id="60" w:name="_Toc363199267"/>
            <w:r>
              <w:rPr>
                <w:rFonts w:hint="eastAsia" w:ascii="宋体" w:hAnsi="宋体"/>
                <w:b/>
                <w:sz w:val="24"/>
                <w:szCs w:val="24"/>
              </w:rPr>
              <w:t>序号</w:t>
            </w:r>
          </w:p>
        </w:tc>
        <w:tc>
          <w:tcPr>
            <w:tcW w:w="1502" w:type="dxa"/>
            <w:vAlign w:val="center"/>
          </w:tcPr>
          <w:p>
            <w:pPr>
              <w:spacing w:line="440" w:lineRule="exact"/>
              <w:jc w:val="center"/>
              <w:rPr>
                <w:rFonts w:ascii="宋体" w:hAnsi="宋体"/>
                <w:b/>
                <w:sz w:val="24"/>
                <w:szCs w:val="24"/>
              </w:rPr>
            </w:pPr>
            <w:r>
              <w:rPr>
                <w:rFonts w:hint="eastAsia" w:ascii="宋体" w:hAnsi="宋体"/>
                <w:b/>
                <w:sz w:val="24"/>
                <w:szCs w:val="24"/>
              </w:rPr>
              <w:t>内容</w:t>
            </w:r>
          </w:p>
        </w:tc>
        <w:tc>
          <w:tcPr>
            <w:tcW w:w="7308" w:type="dxa"/>
            <w:vAlign w:val="center"/>
          </w:tcPr>
          <w:p>
            <w:pPr>
              <w:pStyle w:val="90"/>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502" w:type="dxa"/>
            <w:vAlign w:val="center"/>
          </w:tcPr>
          <w:p>
            <w:pPr>
              <w:spacing w:line="440" w:lineRule="exact"/>
              <w:jc w:val="center"/>
              <w:rPr>
                <w:rFonts w:ascii="宋体" w:hAnsi="宋体"/>
                <w:sz w:val="24"/>
                <w:szCs w:val="24"/>
              </w:rPr>
            </w:pPr>
            <w:r>
              <w:rPr>
                <w:rFonts w:hint="eastAsia" w:ascii="宋体" w:hAnsi="宋体"/>
                <w:bCs/>
                <w:sz w:val="24"/>
                <w:szCs w:val="24"/>
              </w:rPr>
              <w:t>采购人</w:t>
            </w:r>
          </w:p>
        </w:tc>
        <w:tc>
          <w:tcPr>
            <w:tcW w:w="7308" w:type="dxa"/>
            <w:vAlign w:val="center"/>
          </w:tcPr>
          <w:p>
            <w:pPr>
              <w:spacing w:line="440" w:lineRule="exact"/>
              <w:rPr>
                <w:sz w:val="24"/>
                <w:szCs w:val="24"/>
              </w:rPr>
            </w:pPr>
            <w:r>
              <w:rPr>
                <w:rFonts w:hint="eastAsia" w:ascii="宋体" w:hAnsi="宋体"/>
                <w:bCs/>
                <w:sz w:val="24"/>
                <w:szCs w:val="24"/>
                <w:lang w:eastAsia="zh-CN"/>
              </w:rPr>
              <w:t>霍山华强大别山房地产开发有限公司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502" w:type="dxa"/>
            <w:vAlign w:val="center"/>
          </w:tcPr>
          <w:p>
            <w:pPr>
              <w:spacing w:line="440" w:lineRule="exact"/>
              <w:jc w:val="center"/>
              <w:rPr>
                <w:rFonts w:ascii="宋体" w:hAnsi="宋体"/>
                <w:bCs/>
                <w:sz w:val="24"/>
                <w:szCs w:val="24"/>
              </w:rPr>
            </w:pPr>
            <w:r>
              <w:rPr>
                <w:rFonts w:hint="eastAsia" w:ascii="宋体" w:hAnsi="宋体"/>
                <w:sz w:val="24"/>
                <w:szCs w:val="24"/>
              </w:rPr>
              <w:t>采购代理机构</w:t>
            </w:r>
          </w:p>
        </w:tc>
        <w:tc>
          <w:tcPr>
            <w:tcW w:w="7308" w:type="dxa"/>
            <w:vAlign w:val="center"/>
          </w:tcPr>
          <w:p>
            <w:pPr>
              <w:spacing w:line="440" w:lineRule="exact"/>
              <w:jc w:val="left"/>
              <w:rPr>
                <w:rFonts w:ascii="宋体" w:hAnsi="宋体"/>
                <w:sz w:val="24"/>
                <w:szCs w:val="24"/>
              </w:rPr>
            </w:pPr>
            <w:r>
              <w:rPr>
                <w:rFonts w:hint="eastAsia" w:ascii="宋体" w:hAnsi="宋体"/>
                <w:sz w:val="24"/>
                <w:szCs w:val="24"/>
              </w:rPr>
              <w:t>名称：</w:t>
            </w:r>
            <w:r>
              <w:rPr>
                <w:rFonts w:hint="eastAsia" w:ascii="宋体" w:hAnsi="宋体"/>
                <w:bCs/>
                <w:sz w:val="24"/>
                <w:szCs w:val="24"/>
                <w:lang w:eastAsia="zh-CN"/>
              </w:rPr>
              <w:t>安徽衡宇工程咨询有限公司</w:t>
            </w:r>
          </w:p>
          <w:p>
            <w:pPr>
              <w:spacing w:line="440" w:lineRule="exact"/>
              <w:jc w:val="left"/>
              <w:rPr>
                <w:b/>
                <w:bCs/>
                <w:sz w:val="24"/>
                <w:szCs w:val="24"/>
              </w:rPr>
            </w:pPr>
            <w:r>
              <w:rPr>
                <w:rFonts w:hint="eastAsia"/>
                <w:sz w:val="24"/>
                <w:szCs w:val="24"/>
              </w:rPr>
              <w:t>地址：</w:t>
            </w:r>
            <w:r>
              <w:rPr>
                <w:rFonts w:hint="eastAsia" w:ascii="宋体" w:hAnsi="宋体"/>
                <w:bCs/>
                <w:sz w:val="24"/>
                <w:szCs w:val="24"/>
                <w:lang w:eastAsia="zh-CN"/>
              </w:rPr>
              <w:t>霍山县中兴南路</w:t>
            </w:r>
            <w:r>
              <w:rPr>
                <w:rFonts w:hint="eastAsia" w:ascii="宋体" w:hAnsi="宋体"/>
                <w:bCs/>
                <w:sz w:val="24"/>
                <w:szCs w:val="24"/>
                <w:lang w:val="en-US" w:eastAsia="zh-CN"/>
              </w:rPr>
              <w:t>16号（老建设局大院三楼）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502" w:type="dxa"/>
            <w:vAlign w:val="center"/>
          </w:tcPr>
          <w:p>
            <w:pPr>
              <w:spacing w:line="440" w:lineRule="exact"/>
              <w:jc w:val="center"/>
              <w:rPr>
                <w:rFonts w:ascii="宋体" w:hAnsi="宋体"/>
                <w:sz w:val="24"/>
                <w:szCs w:val="24"/>
              </w:rPr>
            </w:pPr>
            <w:r>
              <w:rPr>
                <w:rFonts w:hint="eastAsia" w:ascii="宋体" w:hAnsi="宋体"/>
                <w:sz w:val="24"/>
                <w:szCs w:val="24"/>
              </w:rPr>
              <w:t>磋商有效期</w:t>
            </w:r>
          </w:p>
        </w:tc>
        <w:tc>
          <w:tcPr>
            <w:tcW w:w="7308" w:type="dxa"/>
            <w:vAlign w:val="center"/>
          </w:tcPr>
          <w:p>
            <w:pPr>
              <w:pStyle w:val="90"/>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w:t>
            </w:r>
            <w:r>
              <w:rPr>
                <w:rFonts w:hint="eastAsia"/>
                <w:b w:val="0"/>
                <w:bCs w:val="0"/>
                <w:sz w:val="24"/>
                <w:szCs w:val="24"/>
                <w:lang w:val="en-US" w:eastAsia="zh-CN"/>
              </w:rPr>
              <w:t>30</w:t>
            </w:r>
            <w:r>
              <w:rPr>
                <w:rFonts w:hint="eastAsia"/>
                <w:b w:val="0"/>
                <w:bCs w:val="0"/>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502" w:type="dxa"/>
            <w:vAlign w:val="center"/>
          </w:tcPr>
          <w:p>
            <w:pPr>
              <w:spacing w:line="440" w:lineRule="exact"/>
              <w:jc w:val="center"/>
              <w:rPr>
                <w:rFonts w:ascii="宋体" w:hAnsi="宋体"/>
                <w:b/>
                <w:sz w:val="24"/>
                <w:szCs w:val="24"/>
              </w:rPr>
            </w:pPr>
            <w:r>
              <w:rPr>
                <w:rFonts w:hint="eastAsia" w:ascii="宋体" w:hAnsi="宋体"/>
                <w:b w:val="0"/>
                <w:bCs/>
                <w:sz w:val="24"/>
                <w:szCs w:val="24"/>
              </w:rPr>
              <w:t>项目类型</w:t>
            </w:r>
          </w:p>
        </w:tc>
        <w:tc>
          <w:tcPr>
            <w:tcW w:w="7308" w:type="dxa"/>
            <w:vAlign w:val="center"/>
          </w:tcPr>
          <w:p>
            <w:pPr>
              <w:pStyle w:val="90"/>
              <w:widowControl w:val="0"/>
              <w:spacing w:before="0" w:beforeAutospacing="0" w:after="0" w:afterAutospacing="0" w:line="440" w:lineRule="exact"/>
              <w:jc w:val="both"/>
              <w:rPr>
                <w:b w:val="0"/>
                <w:bCs w:val="0"/>
                <w:sz w:val="24"/>
                <w:szCs w:val="24"/>
              </w:rPr>
            </w:pPr>
            <w:r>
              <w:rPr>
                <w:rFonts w:hint="eastAsia"/>
                <w:b w:val="0"/>
                <w:bCs w:val="0"/>
                <w:sz w:val="24"/>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502" w:type="dxa"/>
            <w:vAlign w:val="center"/>
          </w:tcPr>
          <w:p>
            <w:pPr>
              <w:spacing w:line="440" w:lineRule="exact"/>
              <w:jc w:val="center"/>
              <w:rPr>
                <w:rFonts w:ascii="宋体" w:hAnsi="宋体"/>
                <w:sz w:val="24"/>
                <w:szCs w:val="24"/>
              </w:rPr>
            </w:pPr>
            <w:r>
              <w:rPr>
                <w:rFonts w:hint="eastAsia" w:ascii="宋体" w:hAnsi="宋体"/>
                <w:sz w:val="24"/>
                <w:szCs w:val="24"/>
              </w:rPr>
              <w:t>项目名称</w:t>
            </w:r>
          </w:p>
        </w:tc>
        <w:tc>
          <w:tcPr>
            <w:tcW w:w="7308" w:type="dxa"/>
            <w:vAlign w:val="center"/>
          </w:tcPr>
          <w:p>
            <w:pPr>
              <w:pStyle w:val="90"/>
              <w:widowControl w:val="0"/>
              <w:spacing w:before="0" w:beforeAutospacing="0" w:after="0" w:afterAutospacing="0" w:line="440" w:lineRule="exact"/>
              <w:jc w:val="both"/>
              <w:rPr>
                <w:sz w:val="24"/>
                <w:szCs w:val="24"/>
              </w:rPr>
            </w:pPr>
            <w:r>
              <w:rPr>
                <w:rFonts w:hint="eastAsia"/>
                <w:b w:val="0"/>
                <w:bCs w:val="0"/>
                <w:sz w:val="24"/>
                <w:szCs w:val="24"/>
                <w:lang w:val="en-US" w:eastAsia="zh-CN"/>
              </w:rPr>
              <w:t>华强壹号院一、二期前期物业服务项目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502" w:type="dxa"/>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7308" w:type="dxa"/>
            <w:vAlign w:val="center"/>
          </w:tcPr>
          <w:p>
            <w:pPr>
              <w:pStyle w:val="90"/>
              <w:widowControl w:val="0"/>
              <w:spacing w:before="0" w:beforeAutospacing="0" w:after="0" w:afterAutospacing="0" w:line="440" w:lineRule="exact"/>
              <w:jc w:val="both"/>
              <w:rPr>
                <w:rFonts w:hint="default" w:eastAsia="宋体"/>
                <w:b w:val="0"/>
                <w:sz w:val="24"/>
                <w:szCs w:val="24"/>
                <w:lang w:val="en-US" w:eastAsia="zh-CN"/>
              </w:rPr>
            </w:pPr>
            <w:r>
              <w:rPr>
                <w:rFonts w:hint="eastAsia"/>
                <w:b w:val="0"/>
                <w:sz w:val="24"/>
                <w:szCs w:val="24"/>
                <w:lang w:val="en-US" w:eastAsia="zh-CN"/>
              </w:rPr>
              <w:t>HYCG-2023-006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3"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502"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付款方式</w:t>
            </w:r>
          </w:p>
        </w:tc>
        <w:tc>
          <w:tcPr>
            <w:tcW w:w="7308" w:type="dxa"/>
            <w:vAlign w:val="center"/>
          </w:tcPr>
          <w:p>
            <w:pPr>
              <w:spacing w:line="500" w:lineRule="exact"/>
              <w:jc w:val="left"/>
              <w:rPr>
                <w:rFonts w:ascii="黑体" w:hAnsi="黑体" w:eastAsia="黑体" w:cs="黑体"/>
                <w:color w:val="auto"/>
                <w:sz w:val="24"/>
                <w:szCs w:val="24"/>
              </w:rPr>
            </w:pPr>
            <w:r>
              <w:rPr>
                <w:rFonts w:hint="eastAsia" w:ascii="宋体" w:hAnsi="宋体" w:cs="宋体"/>
                <w:color w:val="auto"/>
                <w:kern w:val="0"/>
                <w:sz w:val="24"/>
                <w:szCs w:val="24"/>
                <w:highlight w:val="none"/>
              </w:rPr>
              <w:t>成交物业服务公司自行收取费用。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502" w:type="dxa"/>
            <w:vAlign w:val="center"/>
          </w:tcPr>
          <w:p>
            <w:pPr>
              <w:spacing w:line="440" w:lineRule="exact"/>
              <w:jc w:val="center"/>
              <w:rPr>
                <w:rFonts w:ascii="宋体" w:hAnsi="宋体"/>
                <w:sz w:val="24"/>
                <w:szCs w:val="24"/>
              </w:rPr>
            </w:pPr>
            <w:r>
              <w:rPr>
                <w:rFonts w:hint="eastAsia" w:ascii="宋体" w:hAnsi="宋体"/>
                <w:sz w:val="24"/>
                <w:szCs w:val="24"/>
              </w:rPr>
              <w:t>服务期</w:t>
            </w:r>
          </w:p>
        </w:tc>
        <w:tc>
          <w:tcPr>
            <w:tcW w:w="7308" w:type="dxa"/>
            <w:vAlign w:val="center"/>
          </w:tcPr>
          <w:p>
            <w:pPr>
              <w:pStyle w:val="90"/>
              <w:widowControl w:val="0"/>
              <w:spacing w:before="0" w:beforeAutospacing="0" w:after="0" w:afterAutospacing="0" w:line="440" w:lineRule="exact"/>
              <w:jc w:val="both"/>
              <w:rPr>
                <w:b w:val="0"/>
                <w:bCs w:val="0"/>
                <w:sz w:val="24"/>
                <w:szCs w:val="24"/>
              </w:rPr>
            </w:pPr>
            <w:r>
              <w:rPr>
                <w:rFonts w:hint="eastAsia" w:hAnsi="宋体" w:cs="宋体"/>
                <w:b w:val="0"/>
                <w:bCs w:val="0"/>
                <w:color w:val="auto"/>
                <w:sz w:val="24"/>
                <w:szCs w:val="24"/>
                <w:lang w:eastAsia="zh-CN"/>
              </w:rPr>
              <w:t>暂定一年，</w:t>
            </w:r>
            <w:r>
              <w:rPr>
                <w:rFonts w:hint="eastAsia" w:hAnsi="宋体" w:cs="宋体"/>
                <w:b w:val="0"/>
                <w:bCs w:val="0"/>
                <w:color w:val="auto"/>
                <w:sz w:val="24"/>
                <w:szCs w:val="24"/>
                <w:lang w:val="en-US" w:eastAsia="zh-CN"/>
              </w:rPr>
              <w:t>自</w:t>
            </w:r>
            <w:r>
              <w:rPr>
                <w:rFonts w:hint="eastAsia" w:hAnsi="宋体" w:cs="宋体"/>
                <w:b w:val="0"/>
                <w:bCs w:val="0"/>
                <w:color w:val="auto"/>
                <w:sz w:val="24"/>
                <w:szCs w:val="24"/>
                <w:lang w:eastAsia="zh-CN"/>
              </w:rPr>
              <w:t>合同签订之日起直至业主委员会</w:t>
            </w:r>
            <w:r>
              <w:rPr>
                <w:rFonts w:hint="eastAsia" w:hAnsi="宋体" w:cs="宋体"/>
                <w:b w:val="0"/>
                <w:bCs w:val="0"/>
                <w:color w:val="auto"/>
                <w:sz w:val="24"/>
                <w:szCs w:val="24"/>
                <w:lang w:val="en-US" w:eastAsia="zh-CN"/>
              </w:rPr>
              <w:t>与新物业公司签订合同生效止。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9</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szCs w:val="24"/>
              </w:rPr>
            </w:pPr>
            <w:r>
              <w:rPr>
                <w:rFonts w:hint="eastAsia" w:ascii="宋体" w:hAnsi="宋体"/>
                <w:bCs/>
                <w:kern w:val="2"/>
                <w:szCs w:val="24"/>
              </w:rPr>
              <w:t>中标服务费</w:t>
            </w:r>
          </w:p>
        </w:tc>
        <w:tc>
          <w:tcPr>
            <w:tcW w:w="7308" w:type="dxa"/>
            <w:vAlign w:val="center"/>
          </w:tcPr>
          <w:p>
            <w:pPr>
              <w:pStyle w:val="88"/>
              <w:pBdr>
                <w:bottom w:val="none" w:color="auto" w:sz="0" w:space="0"/>
              </w:pBdr>
              <w:tabs>
                <w:tab w:val="clear" w:pos="4153"/>
                <w:tab w:val="clear" w:pos="8306"/>
              </w:tabs>
              <w:adjustRightInd/>
              <w:spacing w:line="440" w:lineRule="exact"/>
              <w:jc w:val="left"/>
              <w:textAlignment w:val="auto"/>
              <w:rPr>
                <w:bCs/>
                <w:szCs w:val="24"/>
                <w:lang w:val="en-US"/>
              </w:rPr>
            </w:pPr>
            <w:r>
              <w:rPr>
                <w:rFonts w:hint="eastAsia" w:ascii="宋体" w:hAnsi="宋体" w:cs="宋体"/>
                <w:bCs/>
                <w:color w:val="000000"/>
                <w:sz w:val="24"/>
                <w:szCs w:val="24"/>
                <w:lang w:eastAsia="zh-CN"/>
              </w:rPr>
              <w:t>成交供应商领取成交通知书时须向代理机构一次性支付代理服务费及专家评审费（评审费据实收取），供应商在报价中应充分考虑该项费用，无需单列。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38"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10</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履约保证金</w:t>
            </w:r>
          </w:p>
        </w:tc>
        <w:tc>
          <w:tcPr>
            <w:tcW w:w="7308" w:type="dxa"/>
            <w:vAlign w:val="center"/>
          </w:tcPr>
          <w:p>
            <w:pPr>
              <w:spacing w:line="400" w:lineRule="exact"/>
              <w:rPr>
                <w:rFonts w:ascii="宋体" w:hAnsi="宋体" w:cs="宋体"/>
                <w:bCs/>
                <w:sz w:val="24"/>
                <w:szCs w:val="32"/>
              </w:rPr>
            </w:pPr>
            <w:r>
              <w:rPr>
                <w:rFonts w:hint="eastAsia" w:ascii="宋体" w:hAnsi="宋体" w:cs="宋体"/>
                <w:bCs/>
                <w:sz w:val="24"/>
                <w:szCs w:val="32"/>
              </w:rPr>
              <w:t>1、成交供应商在签订合同时应向采购人提交合同总</w:t>
            </w:r>
            <w:r>
              <w:rPr>
                <w:rFonts w:hint="eastAsia" w:ascii="宋体" w:hAnsi="宋体" w:cs="宋体"/>
                <w:bCs/>
                <w:color w:val="auto"/>
                <w:sz w:val="24"/>
                <w:szCs w:val="32"/>
              </w:rPr>
              <w:t>价</w:t>
            </w:r>
            <w:r>
              <w:rPr>
                <w:rFonts w:hint="eastAsia" w:ascii="宋体" w:hAnsi="宋体" w:cs="宋体"/>
                <w:bCs/>
                <w:color w:val="auto"/>
                <w:sz w:val="24"/>
                <w:szCs w:val="32"/>
                <w:u w:val="single"/>
              </w:rPr>
              <w:t xml:space="preserve"> </w:t>
            </w:r>
            <w:r>
              <w:rPr>
                <w:rFonts w:hint="eastAsia" w:ascii="宋体" w:hAnsi="宋体" w:cs="宋体"/>
                <w:bCs/>
                <w:color w:val="FF0000"/>
                <w:sz w:val="24"/>
                <w:szCs w:val="32"/>
                <w:u w:val="single"/>
              </w:rPr>
              <w:t xml:space="preserve"> </w:t>
            </w:r>
            <w:r>
              <w:rPr>
                <w:rFonts w:hint="eastAsia" w:ascii="宋体" w:hAnsi="宋体" w:cs="宋体"/>
                <w:bCs/>
                <w:color w:val="FF0000"/>
                <w:sz w:val="24"/>
                <w:szCs w:val="32"/>
                <w:u w:val="single"/>
                <w:lang w:val="en-US" w:eastAsia="zh-CN"/>
              </w:rPr>
              <w:t>2</w:t>
            </w:r>
            <w:r>
              <w:rPr>
                <w:rFonts w:hint="eastAsia" w:ascii="宋体" w:hAnsi="宋体" w:cs="宋体"/>
                <w:bCs/>
                <w:color w:val="FF0000"/>
                <w:sz w:val="24"/>
                <w:szCs w:val="32"/>
                <w:u w:val="single"/>
              </w:rPr>
              <w:t xml:space="preserve"> </w:t>
            </w:r>
            <w:r>
              <w:rPr>
                <w:rFonts w:hint="eastAsia" w:ascii="宋体" w:hAnsi="宋体" w:cs="宋体"/>
                <w:bCs/>
                <w:color w:val="auto"/>
                <w:sz w:val="24"/>
                <w:szCs w:val="32"/>
                <w:u w:val="single"/>
              </w:rPr>
              <w:t xml:space="preserve"> </w:t>
            </w:r>
            <w:r>
              <w:rPr>
                <w:rFonts w:hint="eastAsia" w:ascii="宋体" w:hAnsi="宋体" w:cs="宋体"/>
                <w:bCs/>
                <w:color w:val="auto"/>
                <w:sz w:val="24"/>
                <w:szCs w:val="32"/>
              </w:rPr>
              <w:t>%的履</w:t>
            </w:r>
            <w:r>
              <w:rPr>
                <w:rFonts w:hint="eastAsia" w:ascii="宋体" w:hAnsi="宋体" w:cs="宋体"/>
                <w:bCs/>
                <w:sz w:val="24"/>
                <w:szCs w:val="32"/>
              </w:rPr>
              <w:t>约保证金</w:t>
            </w:r>
          </w:p>
          <w:p>
            <w:pPr>
              <w:spacing w:line="400" w:lineRule="exact"/>
              <w:rPr>
                <w:rFonts w:ascii="宋体" w:hAnsi="宋体" w:cs="宋体"/>
                <w:bCs/>
                <w:sz w:val="24"/>
                <w:szCs w:val="32"/>
              </w:rPr>
            </w:pPr>
            <w:r>
              <w:rPr>
                <w:rFonts w:hint="eastAsia" w:ascii="宋体" w:hAnsi="宋体" w:cs="宋体"/>
                <w:bCs/>
                <w:sz w:val="24"/>
                <w:szCs w:val="32"/>
              </w:rPr>
              <w:t>2、成交供应商可以通过转账、网银支付、汇票、支票、保证保险、担保保函、银行履约保函等方式提交履约保证金。</w:t>
            </w:r>
          </w:p>
          <w:p>
            <w:pPr>
              <w:pStyle w:val="34"/>
              <w:ind w:firstLine="0"/>
            </w:pPr>
            <w:r>
              <w:rPr>
                <w:rFonts w:hint="eastAsia"/>
              </w:rPr>
              <w:t>3、项目验收结束后应及时退还履约保证金。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11</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308" w:type="dxa"/>
            <w:vAlign w:val="center"/>
          </w:tcPr>
          <w:p>
            <w:pPr>
              <w:pStyle w:val="88"/>
              <w:pBdr>
                <w:bottom w:val="none" w:color="auto" w:sz="0" w:space="0"/>
              </w:pBdr>
              <w:tabs>
                <w:tab w:val="clear" w:pos="4153"/>
                <w:tab w:val="clear" w:pos="8306"/>
              </w:tabs>
              <w:adjustRightInd/>
              <w:spacing w:line="400" w:lineRule="exact"/>
              <w:jc w:val="both"/>
              <w:textAlignment w:val="auto"/>
              <w:rPr>
                <w:rFonts w:ascii="宋体" w:hAnsi="宋体"/>
                <w:bCs/>
                <w:kern w:val="2"/>
                <w:szCs w:val="24"/>
              </w:rPr>
            </w:pPr>
            <w:r>
              <w:rPr>
                <w:rFonts w:hint="eastAsia" w:ascii="宋体" w:hAnsi="宋体" w:cs="宋体"/>
                <w:bCs/>
                <w:kern w:val="2"/>
                <w:szCs w:val="24"/>
              </w:rPr>
              <w:t>请各供应商联系采购单位自行勘踏，采购人免费提供项目实施过程中各项对接协调服务。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12</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308" w:type="dxa"/>
            <w:vAlign w:val="center"/>
          </w:tcPr>
          <w:p>
            <w:pPr>
              <w:pStyle w:val="88"/>
              <w:pBdr>
                <w:bottom w:val="none" w:color="auto" w:sz="0" w:space="0"/>
              </w:pBdr>
              <w:tabs>
                <w:tab w:val="clear" w:pos="4153"/>
                <w:tab w:val="clear" w:pos="8306"/>
              </w:tabs>
              <w:adjustRightInd/>
              <w:spacing w:line="400" w:lineRule="exact"/>
              <w:jc w:val="both"/>
              <w:textAlignment w:val="auto"/>
              <w:rPr>
                <w:rFonts w:hint="eastAsia" w:ascii="宋体" w:hAnsi="宋体" w:eastAsia="宋体" w:cs="宋体"/>
                <w:bCs/>
                <w:kern w:val="2"/>
                <w:sz w:val="24"/>
                <w:szCs w:val="24"/>
                <w:lang w:val="zh-CN" w:eastAsia="zh-CN" w:bidi="ar-SA"/>
              </w:rPr>
            </w:pPr>
            <w:r>
              <w:rPr>
                <w:rFonts w:hint="eastAsia" w:ascii="宋体" w:hAnsi="宋体" w:eastAsia="宋体" w:cs="宋体"/>
                <w:bCs/>
                <w:kern w:val="2"/>
                <w:sz w:val="24"/>
                <w:szCs w:val="24"/>
                <w:lang w:val="zh-CN" w:eastAsia="zh-CN" w:bidi="ar-SA"/>
              </w:rPr>
              <w:t>以书面形式递交，递交至邮箱</w:t>
            </w:r>
            <w:r>
              <w:rPr>
                <w:rFonts w:hint="eastAsia" w:ascii="宋体" w:hAnsi="宋体" w:eastAsia="宋体" w:cs="宋体"/>
                <w:bCs/>
                <w:kern w:val="2"/>
                <w:sz w:val="24"/>
                <w:szCs w:val="24"/>
                <w:lang w:val="en-US" w:eastAsia="zh-CN" w:bidi="ar-SA"/>
              </w:rPr>
              <w:t>68535176</w:t>
            </w:r>
            <w:r>
              <w:rPr>
                <w:rFonts w:hint="eastAsia" w:ascii="宋体" w:hAnsi="宋体" w:eastAsia="宋体" w:cs="宋体"/>
                <w:bCs/>
                <w:kern w:val="2"/>
                <w:sz w:val="24"/>
                <w:szCs w:val="24"/>
                <w:lang w:val="zh-CN" w:eastAsia="zh-CN" w:bidi="ar-SA"/>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13</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color w:val="auto"/>
                <w:kern w:val="2"/>
                <w:szCs w:val="24"/>
              </w:rPr>
              <w:t>质疑与答疑</w:t>
            </w:r>
          </w:p>
        </w:tc>
        <w:tc>
          <w:tcPr>
            <w:tcW w:w="7308" w:type="dxa"/>
            <w:vAlign w:val="center"/>
          </w:tcPr>
          <w:p>
            <w:pPr>
              <w:keepNext w:val="0"/>
              <w:keepLines w:val="0"/>
              <w:pageBreakBefore w:val="0"/>
              <w:kinsoku/>
              <w:wordWrap/>
              <w:overflowPunct/>
              <w:topLinePunct w:val="0"/>
              <w:autoSpaceDE w:val="0"/>
              <w:autoSpaceDN/>
              <w:bidi w:val="0"/>
              <w:spacing w:line="460" w:lineRule="exact"/>
              <w:textAlignment w:val="auto"/>
              <w:rPr>
                <w:rFonts w:hint="eastAsia" w:ascii="宋体" w:hAnsi="宋体" w:eastAsia="宋体" w:cs="宋体"/>
                <w:bCs/>
                <w:kern w:val="2"/>
                <w:sz w:val="24"/>
                <w:szCs w:val="24"/>
                <w:lang w:val="zh-CN" w:eastAsia="zh-CN" w:bidi="ar-SA"/>
              </w:rPr>
            </w:pPr>
            <w:r>
              <w:rPr>
                <w:rFonts w:hint="eastAsia" w:ascii="宋体" w:hAnsi="宋体" w:eastAsia="宋体" w:cs="宋体"/>
                <w:bCs/>
                <w:kern w:val="2"/>
                <w:sz w:val="24"/>
                <w:szCs w:val="24"/>
                <w:lang w:val="zh-CN" w:eastAsia="zh-CN" w:bidi="ar-SA"/>
              </w:rPr>
              <w:t>以书面形式递交，递交至邮箱</w:t>
            </w:r>
            <w:r>
              <w:rPr>
                <w:rFonts w:hint="eastAsia" w:ascii="宋体" w:hAnsi="宋体" w:eastAsia="宋体" w:cs="宋体"/>
                <w:bCs/>
                <w:kern w:val="2"/>
                <w:sz w:val="24"/>
                <w:szCs w:val="24"/>
                <w:lang w:val="en-US" w:eastAsia="zh-CN" w:bidi="ar-SA"/>
              </w:rPr>
              <w:t>68535176</w:t>
            </w:r>
            <w:r>
              <w:rPr>
                <w:rFonts w:hint="eastAsia" w:ascii="宋体" w:hAnsi="宋体" w:eastAsia="宋体" w:cs="宋体"/>
                <w:bCs/>
                <w:kern w:val="2"/>
                <w:sz w:val="24"/>
                <w:szCs w:val="24"/>
                <w:lang w:val="zh-CN" w:eastAsia="zh-CN" w:bidi="ar-SA"/>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14</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308" w:type="dxa"/>
            <w:vAlign w:val="center"/>
          </w:tcPr>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cs="宋体"/>
                <w:b w:val="0"/>
                <w:bCs/>
                <w:color w:val="auto"/>
                <w:sz w:val="24"/>
                <w:szCs w:val="24"/>
                <w:u w:val="single"/>
              </w:rPr>
              <w:t xml:space="preserve">  壹 </w:t>
            </w:r>
            <w:r>
              <w:rPr>
                <w:rFonts w:hint="eastAsia" w:ascii="宋体" w:hAnsi="宋体" w:cs="宋体"/>
                <w:b w:val="0"/>
                <w:bCs/>
                <w:color w:val="auto"/>
                <w:sz w:val="24"/>
                <w:szCs w:val="24"/>
              </w:rPr>
              <w:t xml:space="preserve">份正本， </w:t>
            </w:r>
            <w:r>
              <w:rPr>
                <w:rFonts w:hint="eastAsia" w:ascii="宋体" w:hAnsi="宋体" w:cs="宋体"/>
                <w:b w:val="0"/>
                <w:bCs/>
                <w:color w:val="auto"/>
                <w:sz w:val="24"/>
                <w:szCs w:val="24"/>
                <w:u w:val="single"/>
              </w:rPr>
              <w:t xml:space="preserve"> 贰 </w:t>
            </w:r>
            <w:r>
              <w:rPr>
                <w:rFonts w:hint="eastAsia" w:ascii="宋体" w:hAnsi="宋体" w:cs="宋体"/>
                <w:b w:val="0"/>
                <w:bCs/>
                <w:color w:val="auto"/>
                <w:sz w:val="24"/>
                <w:szCs w:val="24"/>
              </w:rPr>
              <w:t>份副本。（</w:t>
            </w:r>
            <w:r>
              <w:rPr>
                <w:rFonts w:hint="eastAsia" w:ascii="宋体" w:hAnsi="宋体" w:cs="宋体"/>
                <w:b w:val="0"/>
                <w:bCs/>
                <w:color w:val="auto"/>
                <w:sz w:val="24"/>
                <w:szCs w:val="24"/>
                <w:lang w:eastAsia="zh-CN"/>
              </w:rPr>
              <w:t>响应文件</w:t>
            </w:r>
            <w:r>
              <w:rPr>
                <w:rFonts w:hint="eastAsia" w:ascii="宋体" w:hAnsi="宋体" w:cs="宋体"/>
                <w:b w:val="0"/>
                <w:bCs/>
                <w:color w:val="auto"/>
                <w:sz w:val="24"/>
                <w:szCs w:val="24"/>
              </w:rPr>
              <w:t>正本和副本分开封装，共两个密封袋）。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15</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响应文件要求</w:t>
            </w:r>
          </w:p>
        </w:tc>
        <w:tc>
          <w:tcPr>
            <w:tcW w:w="7308" w:type="dxa"/>
            <w:vAlign w:val="center"/>
          </w:tcPr>
          <w:p>
            <w:pPr>
              <w:pStyle w:val="88"/>
              <w:numPr>
                <w:ilvl w:val="0"/>
                <w:numId w:val="0"/>
              </w:numPr>
              <w:pBdr>
                <w:bottom w:val="none" w:color="auto" w:sz="0" w:space="0"/>
              </w:pBdr>
              <w:tabs>
                <w:tab w:val="clear" w:pos="4153"/>
                <w:tab w:val="clear" w:pos="8306"/>
              </w:tabs>
              <w:adjustRightInd/>
              <w:spacing w:line="440" w:lineRule="exact"/>
              <w:jc w:val="left"/>
              <w:textAlignment w:val="auto"/>
              <w:rPr>
                <w:rFonts w:hint="eastAsia" w:ascii="宋体" w:hAnsi="宋体" w:eastAsia="宋体" w:cs="Arial"/>
                <w:bCs/>
                <w:color w:val="000000"/>
                <w:kern w:val="2"/>
                <w:sz w:val="24"/>
                <w:szCs w:val="24"/>
                <w:lang w:val="en-US" w:eastAsia="zh-CN" w:bidi="ar-SA"/>
              </w:rPr>
            </w:pPr>
            <w:r>
              <w:rPr>
                <w:rFonts w:hint="eastAsia" w:ascii="宋体" w:hAnsi="宋体" w:eastAsia="宋体" w:cs="Arial"/>
                <w:bCs/>
                <w:color w:val="000000"/>
                <w:kern w:val="2"/>
                <w:sz w:val="24"/>
                <w:szCs w:val="24"/>
                <w:lang w:val="en-US" w:eastAsia="zh-CN" w:bidi="ar-SA"/>
              </w:rPr>
              <w:t>正本：1份 ；副本：</w:t>
            </w:r>
            <w:r>
              <w:rPr>
                <w:rFonts w:hint="eastAsia" w:ascii="宋体" w:hAnsi="宋体" w:cs="Arial"/>
                <w:bCs/>
                <w:color w:val="000000"/>
                <w:kern w:val="2"/>
                <w:sz w:val="24"/>
                <w:szCs w:val="24"/>
                <w:lang w:val="en-US" w:eastAsia="zh-CN" w:bidi="ar-SA"/>
              </w:rPr>
              <w:t>2</w:t>
            </w:r>
            <w:r>
              <w:rPr>
                <w:rFonts w:hint="eastAsia" w:ascii="宋体" w:hAnsi="宋体" w:eastAsia="宋体" w:cs="Arial"/>
                <w:bCs/>
                <w:color w:val="000000"/>
                <w:kern w:val="2"/>
                <w:sz w:val="24"/>
                <w:szCs w:val="24"/>
                <w:lang w:val="en-US" w:eastAsia="zh-CN" w:bidi="ar-SA"/>
              </w:rPr>
              <w:t>份</w:t>
            </w:r>
          </w:p>
          <w:p>
            <w:pPr>
              <w:pStyle w:val="88"/>
              <w:numPr>
                <w:ilvl w:val="0"/>
                <w:numId w:val="0"/>
              </w:numPr>
              <w:pBdr>
                <w:bottom w:val="none" w:color="auto" w:sz="0" w:space="0"/>
              </w:pBdr>
              <w:tabs>
                <w:tab w:val="clear" w:pos="4153"/>
                <w:tab w:val="clear" w:pos="8306"/>
              </w:tabs>
              <w:adjustRightInd/>
              <w:spacing w:line="440" w:lineRule="exact"/>
              <w:jc w:val="left"/>
              <w:textAlignment w:val="auto"/>
              <w:rPr>
                <w:rFonts w:hint="eastAsia" w:ascii="宋体" w:hAnsi="宋体" w:eastAsia="宋体" w:cs="Arial"/>
                <w:bCs/>
                <w:color w:val="000000"/>
                <w:kern w:val="2"/>
                <w:sz w:val="24"/>
                <w:szCs w:val="24"/>
                <w:lang w:val="en-US" w:eastAsia="zh-CN" w:bidi="ar-SA"/>
              </w:rPr>
            </w:pPr>
            <w:r>
              <w:rPr>
                <w:rFonts w:hint="eastAsia" w:ascii="宋体" w:hAnsi="宋体" w:eastAsia="宋体" w:cs="Arial"/>
                <w:bCs/>
                <w:color w:val="000000"/>
                <w:kern w:val="2"/>
                <w:sz w:val="24"/>
                <w:szCs w:val="24"/>
                <w:lang w:val="en-US" w:eastAsia="zh-CN" w:bidi="ar-SA"/>
              </w:rPr>
              <w:t>要求：</w:t>
            </w:r>
          </w:p>
          <w:p>
            <w:pPr>
              <w:pStyle w:val="88"/>
              <w:numPr>
                <w:ilvl w:val="0"/>
                <w:numId w:val="0"/>
              </w:numPr>
              <w:pBdr>
                <w:bottom w:val="none" w:color="auto" w:sz="0" w:space="0"/>
              </w:pBdr>
              <w:tabs>
                <w:tab w:val="clear" w:pos="4153"/>
                <w:tab w:val="clear" w:pos="8306"/>
              </w:tabs>
              <w:adjustRightInd/>
              <w:spacing w:line="440" w:lineRule="exact"/>
              <w:jc w:val="left"/>
              <w:textAlignment w:val="auto"/>
              <w:rPr>
                <w:rFonts w:hint="eastAsia" w:ascii="宋体" w:hAnsi="宋体" w:eastAsia="宋体" w:cs="Arial"/>
                <w:bCs/>
                <w:color w:val="000000"/>
                <w:kern w:val="2"/>
                <w:sz w:val="24"/>
                <w:szCs w:val="24"/>
                <w:lang w:val="en-US" w:eastAsia="zh-CN" w:bidi="ar-SA"/>
              </w:rPr>
            </w:pPr>
            <w:r>
              <w:rPr>
                <w:rFonts w:hint="eastAsia" w:ascii="宋体" w:hAnsi="宋体" w:eastAsia="宋体" w:cs="Arial"/>
                <w:bCs/>
                <w:color w:val="000000"/>
                <w:kern w:val="2"/>
                <w:sz w:val="24"/>
                <w:szCs w:val="24"/>
                <w:lang w:val="en-US" w:eastAsia="zh-CN" w:bidi="ar-SA"/>
              </w:rPr>
              <w:t>1、响应文件正本/副本需要分别装订，</w:t>
            </w:r>
            <w:r>
              <w:rPr>
                <w:rFonts w:hint="eastAsia" w:ascii="宋体" w:hAnsi="宋体"/>
                <w:szCs w:val="24"/>
                <w:lang w:val="en-US"/>
              </w:rPr>
              <w:t>共2个密封袋</w:t>
            </w:r>
            <w:r>
              <w:rPr>
                <w:rFonts w:hint="eastAsia" w:ascii="宋体" w:hAnsi="宋体" w:eastAsia="宋体" w:cs="Arial"/>
                <w:bCs/>
                <w:color w:val="000000"/>
                <w:kern w:val="2"/>
                <w:sz w:val="24"/>
                <w:szCs w:val="24"/>
                <w:lang w:val="en-US" w:eastAsia="zh-CN" w:bidi="ar-SA"/>
              </w:rPr>
              <w:t>。</w:t>
            </w:r>
          </w:p>
          <w:p>
            <w:pPr>
              <w:pStyle w:val="88"/>
              <w:pBdr>
                <w:bottom w:val="none" w:color="auto" w:sz="0" w:space="0"/>
              </w:pBdr>
              <w:tabs>
                <w:tab w:val="clear" w:pos="4153"/>
                <w:tab w:val="clear" w:pos="8306"/>
              </w:tabs>
              <w:adjustRightInd/>
              <w:spacing w:line="440" w:lineRule="exact"/>
              <w:jc w:val="left"/>
              <w:textAlignment w:val="auto"/>
              <w:rPr>
                <w:rFonts w:hint="eastAsia" w:ascii="宋体" w:hAnsi="宋体"/>
                <w:bCs/>
                <w:kern w:val="2"/>
                <w:szCs w:val="24"/>
              </w:rPr>
            </w:pPr>
            <w:r>
              <w:rPr>
                <w:rFonts w:hint="eastAsia" w:ascii="宋体" w:hAnsi="宋体" w:eastAsia="宋体" w:cs="Arial"/>
                <w:bCs/>
                <w:color w:val="000000"/>
                <w:kern w:val="2"/>
                <w:sz w:val="24"/>
                <w:szCs w:val="24"/>
                <w:lang w:val="en-US" w:eastAsia="zh-CN" w:bidi="ar-SA"/>
              </w:rPr>
              <w:t>2、如果响应文件没有按规定装订、分装、标记和密封，采购人和代理机构不承担提前开封的责任。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16</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递交响应文件注意事项</w:t>
            </w:r>
          </w:p>
        </w:tc>
        <w:tc>
          <w:tcPr>
            <w:tcW w:w="7308" w:type="dxa"/>
            <w:vAlign w:val="center"/>
          </w:tcPr>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bCs/>
                <w:color w:val="auto"/>
                <w:sz w:val="24"/>
                <w:szCs w:val="24"/>
                <w:highlight w:val="none"/>
              </w:rPr>
              <w:t>响应文件必须在响应截止时间前</w:t>
            </w:r>
            <w:r>
              <w:rPr>
                <w:rFonts w:hint="eastAsia"/>
                <w:bCs/>
                <w:color w:val="auto"/>
                <w:sz w:val="24"/>
                <w:szCs w:val="24"/>
                <w:highlight w:val="none"/>
                <w:lang w:eastAsia="zh-CN"/>
              </w:rPr>
              <w:t>递</w:t>
            </w:r>
            <w:r>
              <w:rPr>
                <w:rFonts w:hint="eastAsia"/>
                <w:bCs/>
                <w:color w:val="auto"/>
                <w:sz w:val="24"/>
                <w:szCs w:val="24"/>
                <w:highlight w:val="none"/>
              </w:rPr>
              <w:t>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17</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hint="eastAsia" w:ascii="宋体" w:hAnsi="宋体"/>
                <w:bCs/>
                <w:kern w:val="2"/>
                <w:szCs w:val="24"/>
              </w:rPr>
            </w:pPr>
            <w:r>
              <w:rPr>
                <w:rFonts w:hint="eastAsia" w:ascii="宋体" w:hAnsi="宋体"/>
                <w:szCs w:val="24"/>
              </w:rPr>
              <w:t>封套上应载明的信息</w:t>
            </w:r>
          </w:p>
        </w:tc>
        <w:tc>
          <w:tcPr>
            <w:tcW w:w="7308" w:type="dxa"/>
            <w:vAlign w:val="center"/>
          </w:tcPr>
          <w:p>
            <w:pPr>
              <w:spacing w:line="360" w:lineRule="auto"/>
              <w:rPr>
                <w:sz w:val="24"/>
                <w:szCs w:val="24"/>
              </w:rPr>
            </w:pPr>
            <w:r>
              <w:rPr>
                <w:rFonts w:hint="eastAsia" w:ascii="宋体" w:hAnsi="宋体" w:cs="宋体"/>
                <w:sz w:val="24"/>
                <w:szCs w:val="24"/>
                <w:shd w:val="clear" w:color="auto" w:fill="FFFFFF"/>
                <w:lang w:bidi="ar"/>
              </w:rPr>
              <w:t xml:space="preserve"> </w:t>
            </w: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文件</w:t>
            </w:r>
            <w:r>
              <w:rPr>
                <w:rFonts w:hint="eastAsia" w:hAnsi="宋体"/>
                <w:sz w:val="24"/>
                <w:szCs w:val="24"/>
                <w:u w:val="single"/>
              </w:rPr>
              <w:t xml:space="preserve">        </w:t>
            </w:r>
            <w:r>
              <w:rPr>
                <w:rFonts w:hint="eastAsia" w:hAnsi="宋体"/>
                <w:sz w:val="24"/>
                <w:szCs w:val="24"/>
              </w:rPr>
              <w:t xml:space="preserve"> </w:t>
            </w:r>
          </w:p>
          <w:p>
            <w:pPr>
              <w:pStyle w:val="96"/>
              <w:spacing w:line="360" w:lineRule="auto"/>
              <w:ind w:right="1178" w:firstLine="240" w:firstLineChars="100"/>
              <w:rPr>
                <w:rFonts w:cs="Times New Roman"/>
                <w:kern w:val="2"/>
                <w:sz w:val="24"/>
                <w:szCs w:val="24"/>
                <w:u w:val="single"/>
                <w:lang w:eastAsia="zh-CN"/>
              </w:rPr>
            </w:pPr>
            <w:r>
              <w:rPr>
                <w:rFonts w:hint="eastAsia" w:cs="Times New Roman"/>
                <w:kern w:val="2"/>
                <w:sz w:val="24"/>
                <w:szCs w:val="24"/>
                <w:lang w:eastAsia="zh-CN"/>
              </w:rPr>
              <w:t xml:space="preserve">项目编号：               </w:t>
            </w:r>
            <w:r>
              <w:rPr>
                <w:rFonts w:hint="eastAsia" w:cs="Times New Roman"/>
                <w:kern w:val="2"/>
                <w:sz w:val="24"/>
                <w:szCs w:val="24"/>
                <w:u w:val="single"/>
                <w:lang w:eastAsia="zh-CN"/>
              </w:rPr>
              <w:t xml:space="preserve">          </w:t>
            </w:r>
            <w:r>
              <w:rPr>
                <w:rFonts w:hint="eastAsia" w:cs="Times New Roman"/>
                <w:kern w:val="2"/>
                <w:sz w:val="24"/>
                <w:szCs w:val="24"/>
                <w:lang w:eastAsia="zh-CN"/>
              </w:rPr>
              <w:t xml:space="preserve">           </w:t>
            </w:r>
          </w:p>
          <w:p>
            <w:pPr>
              <w:spacing w:line="360" w:lineRule="auto"/>
              <w:ind w:firstLine="240" w:firstLineChars="100"/>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pPr>
              <w:pStyle w:val="96"/>
              <w:spacing w:line="360" w:lineRule="auto"/>
              <w:ind w:right="2858"/>
              <w:rPr>
                <w:rFonts w:cs="Times New Roman"/>
                <w:kern w:val="2"/>
                <w:sz w:val="24"/>
                <w:szCs w:val="24"/>
                <w:u w:val="single"/>
                <w:lang w:eastAsia="zh-CN"/>
              </w:rPr>
            </w:pPr>
            <w:r>
              <w:rPr>
                <w:rFonts w:hint="eastAsia" w:cs="Times New Roman"/>
                <w:kern w:val="2"/>
                <w:sz w:val="24"/>
                <w:szCs w:val="24"/>
                <w:lang w:eastAsia="zh-CN"/>
              </w:rPr>
              <w:t>供应商名称：</w:t>
            </w:r>
            <w:r>
              <w:rPr>
                <w:rFonts w:hint="eastAsia" w:cs="Times New Roman"/>
                <w:kern w:val="2"/>
                <w:sz w:val="24"/>
                <w:szCs w:val="24"/>
                <w:u w:val="single"/>
                <w:lang w:eastAsia="zh-CN"/>
              </w:rPr>
              <w:t xml:space="preserve">      </w:t>
            </w:r>
          </w:p>
          <w:p>
            <w:pPr>
              <w:pStyle w:val="88"/>
              <w:pBdr>
                <w:bottom w:val="none" w:color="auto" w:sz="0" w:space="0"/>
              </w:pBdr>
              <w:tabs>
                <w:tab w:val="clear" w:pos="4153"/>
                <w:tab w:val="clear" w:pos="8306"/>
              </w:tabs>
              <w:adjustRightInd/>
              <w:spacing w:line="360" w:lineRule="auto"/>
              <w:jc w:val="left"/>
              <w:textAlignment w:val="auto"/>
              <w:rPr>
                <w:rFonts w:hint="eastAsia"/>
                <w:bCs/>
                <w:color w:val="auto"/>
                <w:sz w:val="24"/>
                <w:szCs w:val="24"/>
                <w:highlight w:val="none"/>
              </w:rPr>
            </w:pPr>
            <w:r>
              <w:rPr>
                <w:rFonts w:hint="eastAsia"/>
                <w:kern w:val="2"/>
                <w:szCs w:val="24"/>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1</w:t>
            </w:r>
            <w:r>
              <w:rPr>
                <w:rFonts w:hint="eastAsia" w:ascii="宋体" w:hAnsi="宋体"/>
                <w:b/>
                <w:kern w:val="2"/>
                <w:szCs w:val="24"/>
                <w:lang w:val="en-US" w:eastAsia="zh-CN"/>
              </w:rPr>
              <w:t>8</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308" w:type="dxa"/>
            <w:vAlign w:val="center"/>
          </w:tcPr>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1、存在以下不良信用记录情形之一的，不得推荐为成交候选供应商,评审时磋商小组应当按照下列第3条不良信用记录查询渠道对供应商是否存在不良信用记录进行查询：</w:t>
            </w:r>
          </w:p>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（1）供应商被人民法院列入失信被执行人的；</w:t>
            </w:r>
          </w:p>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（2）供应商被市场监督管理部门列入</w:t>
            </w:r>
            <w:r>
              <w:rPr>
                <w:rFonts w:hint="eastAsia" w:ascii="宋体" w:hAnsi="宋体"/>
                <w:bCs/>
                <w:kern w:val="2"/>
                <w:szCs w:val="24"/>
                <w:lang w:eastAsia="zh-CN"/>
              </w:rPr>
              <w:t>严重违法失信企业</w:t>
            </w:r>
            <w:r>
              <w:rPr>
                <w:rFonts w:hint="eastAsia" w:ascii="宋体" w:hAnsi="宋体"/>
                <w:bCs/>
                <w:kern w:val="2"/>
                <w:szCs w:val="24"/>
              </w:rPr>
              <w:t>名录的；</w:t>
            </w:r>
          </w:p>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2、联合体供应商，联合体任何一方存在上述不良信用记录的，视同联合体存在不良信用记录。</w:t>
            </w:r>
          </w:p>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3、不良信用记录查询渠道如下：</w:t>
            </w:r>
          </w:p>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（1）失信被执行人：信用中国官网（www.creditchina.gov.cn）</w:t>
            </w:r>
          </w:p>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w:t>
            </w:r>
            <w:r>
              <w:rPr>
                <w:rFonts w:hint="eastAsia" w:ascii="宋体" w:hAnsi="宋体"/>
                <w:bCs/>
                <w:kern w:val="2"/>
                <w:szCs w:val="24"/>
                <w:lang w:eastAsia="zh-CN"/>
              </w:rPr>
              <w:t>严重违法失信企业</w:t>
            </w:r>
            <w:r>
              <w:rPr>
                <w:rFonts w:hint="eastAsia" w:ascii="宋体" w:hAnsi="宋体"/>
                <w:bCs/>
                <w:kern w:val="2"/>
                <w:szCs w:val="24"/>
              </w:rPr>
              <w:t>名录：信用中国官网（www.creditchina.gov.cn）</w:t>
            </w:r>
          </w:p>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pPr>
              <w:pStyle w:val="88"/>
              <w:pBdr>
                <w:bottom w:val="none" w:color="auto" w:sz="0" w:space="0"/>
              </w:pBdr>
              <w:tabs>
                <w:tab w:val="clear" w:pos="4153"/>
                <w:tab w:val="clear" w:pos="8306"/>
              </w:tabs>
              <w:adjustRightInd/>
              <w:spacing w:line="440" w:lineRule="exact"/>
              <w:jc w:val="left"/>
              <w:textAlignment w:val="auto"/>
              <w:rPr>
                <w:rFonts w:hint="eastAsia" w:ascii="宋体" w:hAnsi="宋体"/>
                <w:bCs/>
                <w:kern w:val="2"/>
                <w:szCs w:val="24"/>
              </w:rPr>
            </w:pPr>
            <w:r>
              <w:rPr>
                <w:rFonts w:hint="eastAsia" w:ascii="宋体" w:hAnsi="宋体"/>
                <w:bCs/>
                <w:kern w:val="2"/>
                <w:szCs w:val="24"/>
              </w:rPr>
              <w:t>（4）政府采购严重违法失信行为记录名单：中国政府采购官网（www.ccgp.gov.cn）</w:t>
            </w:r>
          </w:p>
          <w:p>
            <w:pPr>
              <w:pStyle w:val="88"/>
              <w:pBdr>
                <w:bottom w:val="none" w:color="auto" w:sz="0" w:space="0"/>
              </w:pBdr>
              <w:tabs>
                <w:tab w:val="clear" w:pos="4153"/>
                <w:tab w:val="clear" w:pos="8306"/>
              </w:tabs>
              <w:adjustRightInd/>
              <w:spacing w:line="440" w:lineRule="exact"/>
              <w:jc w:val="left"/>
              <w:textAlignment w:val="auto"/>
              <w:rPr>
                <w:rFonts w:hint="eastAsia" w:ascii="宋体" w:hAnsi="宋体"/>
                <w:bCs/>
                <w:kern w:val="2"/>
                <w:szCs w:val="24"/>
              </w:rPr>
            </w:pPr>
            <w:r>
              <w:rPr>
                <w:rFonts w:hint="eastAsia" w:ascii="Times New Roman" w:hAnsi="Times New Roman" w:eastAsia="宋体" w:cs="Times New Roman"/>
                <w:kern w:val="2"/>
                <w:sz w:val="24"/>
                <w:szCs w:val="24"/>
                <w:highlight w:val="none"/>
                <w:lang w:val="en-US" w:eastAsia="zh-CN" w:bidi="ar-SA"/>
              </w:rPr>
              <w:t>4、投标时，</w:t>
            </w:r>
            <w:r>
              <w:rPr>
                <w:rFonts w:hint="eastAsia" w:cs="Times New Roman"/>
                <w:kern w:val="2"/>
                <w:sz w:val="24"/>
                <w:szCs w:val="24"/>
                <w:highlight w:val="none"/>
                <w:lang w:val="en-US" w:eastAsia="zh-CN" w:bidi="ar-SA"/>
              </w:rPr>
              <w:t>供应商</w:t>
            </w:r>
            <w:r>
              <w:rPr>
                <w:rFonts w:hint="eastAsia" w:ascii="Times New Roman" w:hAnsi="Times New Roman" w:eastAsia="宋体" w:cs="Times New Roman"/>
                <w:kern w:val="2"/>
                <w:sz w:val="24"/>
                <w:szCs w:val="24"/>
                <w:highlight w:val="none"/>
                <w:lang w:val="en-US" w:eastAsia="zh-CN" w:bidi="ar-SA"/>
              </w:rPr>
              <w:t>应当查询上述记录后，如实提供无不良记录声明</w:t>
            </w:r>
            <w:r>
              <w:rPr>
                <w:rFonts w:hint="eastAsia" w:cs="Times New Roman"/>
                <w:kern w:val="2"/>
                <w:sz w:val="24"/>
                <w:szCs w:val="24"/>
                <w:highlight w:val="none"/>
                <w:lang w:val="en-US" w:eastAsia="zh-CN" w:bidi="ar-SA"/>
              </w:rPr>
              <w:t>函（见附件）</w:t>
            </w:r>
            <w:r>
              <w:rPr>
                <w:rFonts w:hint="eastAsia" w:ascii="Times New Roman" w:hAnsi="Times New Roman" w:eastAsia="宋体" w:cs="Times New Roman"/>
                <w:kern w:val="2"/>
                <w:sz w:val="24"/>
                <w:szCs w:val="24"/>
                <w:highlight w:val="none"/>
                <w:lang w:val="en-US" w:eastAsia="zh-CN" w:bidi="ar-SA"/>
              </w:rPr>
              <w:t>并加盖</w:t>
            </w:r>
            <w:r>
              <w:rPr>
                <w:rFonts w:hint="eastAsia" w:cs="Times New Roman"/>
                <w:kern w:val="2"/>
                <w:sz w:val="24"/>
                <w:szCs w:val="24"/>
                <w:highlight w:val="none"/>
                <w:lang w:val="en-US" w:eastAsia="zh-CN" w:bidi="ar-SA"/>
              </w:rPr>
              <w:t>供应商</w:t>
            </w:r>
            <w:r>
              <w:rPr>
                <w:rFonts w:hint="eastAsia" w:ascii="Times New Roman" w:hAnsi="Times New Roman" w:eastAsia="宋体" w:cs="Times New Roman"/>
                <w:kern w:val="2"/>
                <w:sz w:val="24"/>
                <w:szCs w:val="24"/>
                <w:highlight w:val="none"/>
                <w:lang w:val="en-US" w:eastAsia="zh-CN" w:bidi="ar-SA"/>
              </w:rPr>
              <w:t>公章。联合体投标的，所有联合体成员均须加盖公章。如有虚假，采购人将取消其成交资格并上报监管部门按有关规定处理。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1</w:t>
            </w:r>
            <w:r>
              <w:rPr>
                <w:rFonts w:hint="eastAsia" w:ascii="宋体" w:hAnsi="宋体"/>
                <w:b/>
                <w:kern w:val="2"/>
                <w:szCs w:val="24"/>
                <w:lang w:val="en-US" w:eastAsia="zh-CN"/>
              </w:rPr>
              <w:t>9</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308" w:type="dxa"/>
            <w:vAlign w:val="center"/>
          </w:tcPr>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应当诚信守法、公平竞争。如有以提供虚假材料（包括但不限于虚假技术参数响应、虚假业绩、虚假证书、虚假检测报告等）、串通投标、隐瞒失信信息等谋取中标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hint="default" w:ascii="宋体" w:hAnsi="宋体"/>
                <w:b/>
                <w:kern w:val="2"/>
                <w:szCs w:val="24"/>
                <w:lang w:val="en-US" w:eastAsia="zh-CN"/>
              </w:rPr>
            </w:pPr>
            <w:r>
              <w:rPr>
                <w:rFonts w:hint="eastAsia" w:ascii="宋体" w:hAnsi="宋体"/>
                <w:b/>
                <w:kern w:val="2"/>
                <w:szCs w:val="24"/>
                <w:lang w:val="en-US" w:eastAsia="zh-CN"/>
              </w:rPr>
              <w:t>20</w:t>
            </w:r>
          </w:p>
        </w:tc>
        <w:tc>
          <w:tcPr>
            <w:tcW w:w="1502" w:type="dxa"/>
            <w:vAlign w:val="center"/>
          </w:tcPr>
          <w:p>
            <w:pPr>
              <w:autoSpaceDE w:val="0"/>
              <w:autoSpaceDN w:val="0"/>
              <w:adjustRightInd w:val="0"/>
              <w:snapToGrid w:val="0"/>
              <w:spacing w:line="360" w:lineRule="exact"/>
              <w:jc w:val="center"/>
              <w:rPr>
                <w:rFonts w:hint="eastAsia" w:ascii="宋体" w:hAnsi="宋体" w:eastAsia="宋体" w:cs="宋体"/>
                <w:color w:val="000000"/>
                <w:kern w:val="2"/>
                <w:sz w:val="24"/>
                <w:szCs w:val="24"/>
                <w:lang w:val="en-US" w:eastAsia="zh-CN" w:bidi="ar-SA"/>
              </w:rPr>
            </w:pPr>
            <w:r>
              <w:rPr>
                <w:rFonts w:hint="eastAsia" w:ascii="宋体" w:hAnsi="宋体" w:cs="宋体"/>
                <w:b w:val="0"/>
                <w:bCs w:val="0"/>
                <w:sz w:val="24"/>
                <w:szCs w:val="24"/>
                <w:lang w:eastAsia="zh-CN"/>
              </w:rPr>
              <w:t>特别要求</w:t>
            </w:r>
          </w:p>
        </w:tc>
        <w:tc>
          <w:tcPr>
            <w:tcW w:w="7308" w:type="dxa"/>
            <w:vAlign w:val="center"/>
          </w:tcPr>
          <w:p>
            <w:pPr>
              <w:autoSpaceDE w:val="0"/>
              <w:autoSpaceDN w:val="0"/>
              <w:adjustRightInd w:val="0"/>
              <w:snapToGrid w:val="0"/>
              <w:spacing w:line="360" w:lineRule="exact"/>
              <w:jc w:val="left"/>
              <w:rPr>
                <w:rFonts w:hint="eastAsia" w:ascii="宋体" w:hAnsi="宋体" w:eastAsia="宋体" w:cs="宋体"/>
                <w:b/>
                <w:bCs/>
                <w:kern w:val="2"/>
                <w:sz w:val="24"/>
                <w:szCs w:val="24"/>
                <w:lang w:val="en-US" w:eastAsia="zh-CN" w:bidi="ar-SA"/>
              </w:rPr>
            </w:pPr>
            <w:r>
              <w:rPr>
                <w:rFonts w:hint="eastAsia"/>
                <w:sz w:val="24"/>
                <w:szCs w:val="24"/>
                <w:lang w:val="en-US" w:eastAsia="zh-CN"/>
              </w:rPr>
              <w:t>1</w:t>
            </w:r>
            <w:r>
              <w:rPr>
                <w:rFonts w:hint="eastAsia"/>
                <w:sz w:val="24"/>
                <w:szCs w:val="24"/>
              </w:rPr>
              <w:t>、</w:t>
            </w:r>
            <w:r>
              <w:rPr>
                <w:rFonts w:hint="eastAsia"/>
                <w:sz w:val="24"/>
                <w:szCs w:val="24"/>
                <w:lang w:eastAsia="zh-CN"/>
              </w:rPr>
              <w:t>供应商</w:t>
            </w:r>
            <w:r>
              <w:rPr>
                <w:rFonts w:hint="eastAsia"/>
                <w:sz w:val="24"/>
                <w:szCs w:val="24"/>
              </w:rPr>
              <w:t>应按投标文件中配备的人员进驻到位</w:t>
            </w:r>
            <w:r>
              <w:rPr>
                <w:rFonts w:hint="eastAsia"/>
                <w:sz w:val="24"/>
                <w:szCs w:val="24"/>
                <w:lang w:eastAsia="zh-CN"/>
              </w:rPr>
              <w:t>，采购</w:t>
            </w:r>
            <w:r>
              <w:rPr>
                <w:rFonts w:hint="eastAsia"/>
                <w:sz w:val="24"/>
                <w:szCs w:val="24"/>
                <w:lang w:val="en-US" w:eastAsia="zh-CN"/>
              </w:rPr>
              <w:t>人对供应商项目班子人员配备进行现场复查，不符合本项目要求的，采购人取消供应商承包资格</w:t>
            </w:r>
            <w:r>
              <w:rPr>
                <w:rFonts w:hint="eastAsia"/>
                <w:sz w:val="24"/>
                <w:szCs w:val="24"/>
              </w:rPr>
              <w:t>；</w:t>
            </w:r>
            <w:r>
              <w:rPr>
                <w:rFonts w:hint="eastAsia"/>
                <w:sz w:val="24"/>
                <w:szCs w:val="24"/>
              </w:rPr>
              <w:br w:type="textWrapping"/>
            </w:r>
            <w:r>
              <w:rPr>
                <w:rFonts w:hint="eastAsia"/>
                <w:sz w:val="24"/>
                <w:szCs w:val="24"/>
                <w:lang w:val="en-US" w:eastAsia="zh-CN"/>
              </w:rPr>
              <w:t>2</w:t>
            </w:r>
            <w:r>
              <w:rPr>
                <w:rFonts w:hint="eastAsia"/>
                <w:sz w:val="24"/>
                <w:szCs w:val="24"/>
              </w:rPr>
              <w:t>、现场负责人与投标文件中配备的物业经理必须一致，如被招标人及有关主管部门发现不一致情况，</w:t>
            </w:r>
            <w:r>
              <w:rPr>
                <w:rFonts w:hint="eastAsia"/>
                <w:color w:val="auto"/>
                <w:sz w:val="24"/>
                <w:szCs w:val="24"/>
              </w:rPr>
              <w:t>将扣除履约保证金的20%；</w:t>
            </w:r>
            <w:r>
              <w:rPr>
                <w:rFonts w:hint="eastAsia"/>
                <w:sz w:val="24"/>
                <w:szCs w:val="24"/>
              </w:rPr>
              <w:br w:type="textWrapping"/>
            </w:r>
            <w:r>
              <w:rPr>
                <w:rFonts w:hint="eastAsia"/>
                <w:sz w:val="24"/>
                <w:szCs w:val="24"/>
                <w:lang w:val="en-US" w:eastAsia="zh-CN"/>
              </w:rPr>
              <w:t>3</w:t>
            </w:r>
            <w:r>
              <w:rPr>
                <w:rFonts w:hint="eastAsia"/>
                <w:sz w:val="24"/>
                <w:szCs w:val="24"/>
              </w:rPr>
              <w:t>、物业管理服务与收费质价相符</w:t>
            </w:r>
            <w:r>
              <w:rPr>
                <w:rFonts w:hint="eastAsia"/>
                <w:sz w:val="24"/>
                <w:szCs w:val="24"/>
                <w:lang w:eastAsia="zh-CN"/>
              </w:rPr>
              <w:t>；</w:t>
            </w:r>
            <w:r>
              <w:rPr>
                <w:rFonts w:hint="eastAsia"/>
                <w:sz w:val="24"/>
                <w:szCs w:val="24"/>
              </w:rPr>
              <w:br w:type="textWrapping"/>
            </w:r>
            <w:r>
              <w:rPr>
                <w:rFonts w:hint="eastAsia"/>
                <w:sz w:val="24"/>
                <w:szCs w:val="24"/>
                <w:lang w:val="en-US" w:eastAsia="zh-CN"/>
              </w:rPr>
              <w:t>4</w:t>
            </w:r>
            <w:r>
              <w:rPr>
                <w:rFonts w:hint="eastAsia"/>
                <w:sz w:val="24"/>
                <w:szCs w:val="24"/>
              </w:rPr>
              <w:t>、物业公司服从</w:t>
            </w:r>
            <w:r>
              <w:rPr>
                <w:rFonts w:hint="eastAsia"/>
                <w:sz w:val="24"/>
                <w:szCs w:val="24"/>
                <w:lang w:eastAsia="zh-CN"/>
              </w:rPr>
              <w:t>采购</w:t>
            </w:r>
            <w:r>
              <w:rPr>
                <w:rFonts w:hint="eastAsia"/>
                <w:sz w:val="24"/>
                <w:szCs w:val="24"/>
              </w:rPr>
              <w:t>人的工作安排</w:t>
            </w:r>
            <w:r>
              <w:rPr>
                <w:rFonts w:hint="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hint="default" w:ascii="宋体" w:hAnsi="宋体"/>
                <w:b/>
                <w:kern w:val="2"/>
                <w:szCs w:val="24"/>
                <w:lang w:val="en-US" w:eastAsia="zh-CN"/>
              </w:rPr>
            </w:pPr>
            <w:r>
              <w:rPr>
                <w:rFonts w:hint="eastAsia" w:ascii="宋体" w:hAnsi="宋体"/>
                <w:b/>
                <w:kern w:val="2"/>
                <w:szCs w:val="24"/>
                <w:lang w:val="en-US" w:eastAsia="zh-CN"/>
              </w:rPr>
              <w:t>21</w:t>
            </w:r>
          </w:p>
        </w:tc>
        <w:tc>
          <w:tcPr>
            <w:tcW w:w="1502" w:type="dxa"/>
            <w:vAlign w:val="center"/>
          </w:tcPr>
          <w:p>
            <w:pPr>
              <w:autoSpaceDE w:val="0"/>
              <w:autoSpaceDN w:val="0"/>
              <w:adjustRightInd w:val="0"/>
              <w:snapToGrid w:val="0"/>
              <w:spacing w:line="300" w:lineRule="exact"/>
              <w:jc w:val="center"/>
              <w:rPr>
                <w:rFonts w:hint="eastAsia" w:ascii="宋体" w:hAnsi="宋体" w:eastAsia="宋体" w:cs="宋体"/>
                <w:color w:val="000000"/>
                <w:kern w:val="0"/>
                <w:sz w:val="24"/>
                <w:szCs w:val="24"/>
                <w:lang w:val="zh-CN" w:eastAsia="zh-CN" w:bidi="ar-SA"/>
              </w:rPr>
            </w:pPr>
            <w:r>
              <w:rPr>
                <w:rFonts w:hint="eastAsia" w:ascii="宋体" w:hAnsi="宋体" w:cs="宋体"/>
                <w:color w:val="000000"/>
                <w:sz w:val="24"/>
                <w:szCs w:val="24"/>
                <w:lang w:val="zh-CN"/>
              </w:rPr>
              <w:t>投标保证金额</w:t>
            </w:r>
          </w:p>
        </w:tc>
        <w:tc>
          <w:tcPr>
            <w:tcW w:w="7308" w:type="dxa"/>
            <w:vAlign w:val="center"/>
          </w:tcPr>
          <w:p>
            <w:pPr>
              <w:adjustRightInd w:val="0"/>
              <w:snapToGrid w:val="0"/>
              <w:spacing w:line="38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rPr>
              <w:t>1</w:t>
            </w:r>
            <w:r>
              <w:rPr>
                <w:rFonts w:hint="eastAsia" w:ascii="宋体" w:hAnsi="宋体" w:eastAsia="宋体" w:cs="宋体"/>
                <w:color w:val="000000"/>
                <w:sz w:val="24"/>
                <w:szCs w:val="24"/>
                <w:lang w:val="zh-CN" w:eastAsia="zh-CN"/>
              </w:rPr>
              <w:t>．保证金允许方式：</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lang w:val="en-US" w:eastAsia="zh-CN"/>
              </w:rPr>
              <w:t>可以通过转账、网银支付、汇票、支票、保证保险、银行履约保函（含电子保函）等方式提交。</w:t>
            </w:r>
          </w:p>
          <w:p>
            <w:pPr>
              <w:adjustRightInd w:val="0"/>
              <w:snapToGrid w:val="0"/>
              <w:spacing w:line="380" w:lineRule="exac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zh-CN" w:eastAsia="zh-CN"/>
              </w:rPr>
              <w:t>2．保证金金</w:t>
            </w:r>
            <w:r>
              <w:rPr>
                <w:rFonts w:hint="eastAsia" w:ascii="宋体" w:hAnsi="宋体" w:eastAsia="宋体" w:cs="宋体"/>
                <w:color w:val="auto"/>
                <w:sz w:val="24"/>
                <w:szCs w:val="24"/>
                <w:lang w:val="zh-CN" w:eastAsia="zh-CN"/>
              </w:rPr>
              <w:t>额为人民币：贰万元整（¥20000元）</w:t>
            </w:r>
            <w:r>
              <w:rPr>
                <w:rFonts w:hint="eastAsia" w:ascii="宋体" w:hAnsi="宋体" w:eastAsia="宋体" w:cs="宋体"/>
                <w:color w:val="auto"/>
                <w:sz w:val="24"/>
                <w:szCs w:val="24"/>
                <w:lang w:val="en-US" w:eastAsia="zh-CN"/>
              </w:rPr>
              <w:t xml:space="preserve"> </w:t>
            </w:r>
          </w:p>
          <w:p>
            <w:pPr>
              <w:adjustRightInd w:val="0"/>
              <w:snapToGrid w:val="0"/>
              <w:spacing w:line="380" w:lineRule="exac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3．汇入账户名称：</w:t>
            </w:r>
            <w:r>
              <w:rPr>
                <w:rFonts w:hint="eastAsia" w:ascii="宋体" w:hAnsi="宋体" w:eastAsia="宋体" w:cs="宋体"/>
                <w:color w:val="000000"/>
                <w:sz w:val="24"/>
                <w:szCs w:val="24"/>
                <w:lang w:val="en-US" w:eastAsia="zh-CN"/>
              </w:rPr>
              <w:t xml:space="preserve"> </w:t>
            </w:r>
          </w:p>
          <w:p>
            <w:pPr>
              <w:adjustRightInd w:val="0"/>
              <w:snapToGrid w:val="0"/>
              <w:spacing w:line="380" w:lineRule="exac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汇入银行：</w:t>
            </w:r>
            <w:r>
              <w:rPr>
                <w:rFonts w:hint="eastAsia" w:ascii="宋体" w:hAnsi="宋体" w:eastAsia="宋体" w:cs="宋体"/>
                <w:color w:val="000000"/>
                <w:sz w:val="24"/>
                <w:szCs w:val="24"/>
                <w:lang w:val="en-US" w:eastAsia="zh-CN"/>
              </w:rPr>
              <w:t>中国建设银行股份有限公司霍山支行</w:t>
            </w:r>
          </w:p>
          <w:p>
            <w:pPr>
              <w:adjustRightInd w:val="0"/>
              <w:snapToGrid w:val="0"/>
              <w:spacing w:line="380" w:lineRule="exac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汇入银行帐号：</w:t>
            </w:r>
            <w:r>
              <w:rPr>
                <w:rFonts w:hint="eastAsia" w:ascii="宋体" w:hAnsi="宋体" w:eastAsia="宋体" w:cs="宋体"/>
                <w:color w:val="000000"/>
                <w:sz w:val="24"/>
                <w:szCs w:val="24"/>
                <w:lang w:val="en-US" w:eastAsia="zh-CN"/>
              </w:rPr>
              <w:t>34050174730800000951</w:t>
            </w:r>
            <w:r>
              <w:rPr>
                <w:rFonts w:hint="eastAsia" w:ascii="宋体" w:hAnsi="宋体" w:eastAsia="宋体" w:cs="宋体"/>
                <w:color w:val="000000"/>
                <w:sz w:val="24"/>
                <w:szCs w:val="24"/>
                <w:lang w:val="zh-CN" w:eastAsia="zh-CN"/>
              </w:rPr>
              <w:t>4</w:t>
            </w:r>
          </w:p>
          <w:p>
            <w:pPr>
              <w:adjustRightInd w:val="0"/>
              <w:snapToGrid w:val="0"/>
              <w:spacing w:line="380" w:lineRule="exac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汇出账户要求：应为</w:t>
            </w:r>
            <w:r>
              <w:rPr>
                <w:rFonts w:hint="eastAsia" w:ascii="宋体" w:hAnsi="宋体" w:cs="宋体"/>
                <w:color w:val="000000"/>
                <w:sz w:val="24"/>
                <w:szCs w:val="24"/>
                <w:lang w:val="zh-CN" w:eastAsia="zh-CN"/>
              </w:rPr>
              <w:t>供应商</w:t>
            </w:r>
            <w:r>
              <w:rPr>
                <w:rFonts w:hint="eastAsia" w:ascii="宋体" w:hAnsi="宋体" w:eastAsia="宋体" w:cs="宋体"/>
                <w:color w:val="000000"/>
                <w:sz w:val="24"/>
                <w:szCs w:val="24"/>
                <w:lang w:val="zh-CN" w:eastAsia="zh-CN"/>
              </w:rPr>
              <w:t>基本账户。</w:t>
            </w:r>
          </w:p>
          <w:p>
            <w:pPr>
              <w:adjustRightInd w:val="0"/>
              <w:snapToGrid w:val="0"/>
              <w:spacing w:line="380" w:lineRule="exact"/>
              <w:rPr>
                <w:rFonts w:hint="eastAsia" w:ascii="宋体" w:hAnsi="宋体" w:eastAsia="宋体" w:cs="宋体"/>
                <w:color w:val="000000"/>
                <w:sz w:val="24"/>
                <w:szCs w:val="24"/>
                <w:lang w:val="zh-CN"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zh-CN" w:eastAsia="zh-CN"/>
              </w:rPr>
              <w:t>．保证金到达指定账户截止时间为本项目</w:t>
            </w:r>
            <w:r>
              <w:rPr>
                <w:rFonts w:hint="eastAsia" w:ascii="宋体" w:hAnsi="宋体" w:cs="宋体"/>
                <w:color w:val="000000"/>
                <w:sz w:val="24"/>
                <w:szCs w:val="24"/>
                <w:lang w:val="zh-CN" w:eastAsia="zh-CN"/>
              </w:rPr>
              <w:t>磋商</w:t>
            </w:r>
            <w:r>
              <w:rPr>
                <w:rFonts w:hint="eastAsia" w:ascii="宋体" w:hAnsi="宋体" w:eastAsia="宋体" w:cs="宋体"/>
                <w:color w:val="000000"/>
                <w:sz w:val="24"/>
                <w:szCs w:val="24"/>
                <w:lang w:val="zh-CN" w:eastAsia="zh-CN"/>
              </w:rPr>
              <w:t>公告中的</w:t>
            </w:r>
            <w:r>
              <w:rPr>
                <w:rFonts w:hint="eastAsia" w:ascii="宋体" w:hAnsi="宋体" w:cs="宋体"/>
                <w:color w:val="000000"/>
                <w:sz w:val="24"/>
                <w:szCs w:val="24"/>
                <w:lang w:val="zh-CN" w:eastAsia="zh-CN"/>
              </w:rPr>
              <w:t>磋商</w:t>
            </w:r>
            <w:r>
              <w:rPr>
                <w:rFonts w:hint="eastAsia" w:ascii="宋体" w:hAnsi="宋体" w:eastAsia="宋体" w:cs="宋体"/>
                <w:color w:val="000000"/>
                <w:sz w:val="24"/>
                <w:szCs w:val="24"/>
                <w:lang w:val="zh-CN" w:eastAsia="zh-CN"/>
              </w:rPr>
              <w:t>时间。</w:t>
            </w:r>
          </w:p>
          <w:p>
            <w:pPr>
              <w:adjustRightInd w:val="0"/>
              <w:snapToGrid w:val="0"/>
              <w:spacing w:line="380" w:lineRule="exact"/>
              <w:rPr>
                <w:rFonts w:hint="eastAsia" w:ascii="宋体" w:hAnsi="宋体" w:eastAsia="宋体" w:cs="宋体"/>
                <w:color w:val="000000"/>
                <w:sz w:val="24"/>
                <w:szCs w:val="24"/>
                <w:lang w:val="zh-CN" w:eastAsia="zh-CN"/>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zh-CN" w:eastAsia="zh-CN"/>
              </w:rPr>
              <w:t>．</w:t>
            </w:r>
            <w:r>
              <w:rPr>
                <w:rFonts w:hint="eastAsia" w:ascii="宋体" w:hAnsi="宋体" w:cs="宋体"/>
                <w:color w:val="000000"/>
                <w:sz w:val="24"/>
                <w:szCs w:val="24"/>
                <w:lang w:val="zh-CN" w:eastAsia="zh-CN"/>
              </w:rPr>
              <w:t>供应商</w:t>
            </w:r>
            <w:r>
              <w:rPr>
                <w:rFonts w:hint="eastAsia" w:ascii="宋体" w:hAnsi="宋体" w:eastAsia="宋体" w:cs="宋体"/>
                <w:color w:val="000000"/>
                <w:sz w:val="24"/>
                <w:szCs w:val="24"/>
                <w:lang w:val="zh-CN" w:eastAsia="zh-CN"/>
              </w:rPr>
              <w:t>必须在保证金银行汇单备注栏注明：</w:t>
            </w:r>
            <w:r>
              <w:rPr>
                <w:rFonts w:hint="eastAsia" w:ascii="宋体" w:hAnsi="宋体" w:cs="宋体"/>
                <w:color w:val="000000"/>
                <w:sz w:val="24"/>
                <w:szCs w:val="24"/>
                <w:lang w:val="zh-CN" w:eastAsia="zh-CN"/>
              </w:rPr>
              <w:t>华强壹号院一、二期前期物业服务项目磋商</w:t>
            </w:r>
            <w:r>
              <w:rPr>
                <w:rFonts w:hint="eastAsia" w:ascii="宋体" w:hAnsi="宋体" w:eastAsia="宋体" w:cs="宋体"/>
                <w:color w:val="000000"/>
                <w:sz w:val="24"/>
                <w:szCs w:val="24"/>
                <w:lang w:val="zh-CN" w:eastAsia="zh-CN"/>
              </w:rPr>
              <w:t>保证金</w:t>
            </w:r>
          </w:p>
          <w:p>
            <w:pPr>
              <w:adjustRightInd w:val="0"/>
              <w:snapToGrid w:val="0"/>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备注:</w:t>
            </w:r>
            <w:r>
              <w:rPr>
                <w:rFonts w:hint="eastAsia" w:ascii="宋体" w:hAnsi="宋体" w:cs="宋体"/>
                <w:color w:val="000000"/>
                <w:sz w:val="24"/>
                <w:szCs w:val="24"/>
                <w:lang w:eastAsia="zh-CN"/>
              </w:rPr>
              <w:t>（</w:t>
            </w:r>
            <w:r>
              <w:rPr>
                <w:rFonts w:hint="eastAsia" w:ascii="宋体" w:hAnsi="宋体" w:eastAsia="宋体" w:cs="宋体"/>
                <w:color w:val="000000"/>
                <w:sz w:val="24"/>
                <w:szCs w:val="24"/>
              </w:rPr>
              <w:t>1</w:t>
            </w:r>
            <w:r>
              <w:rPr>
                <w:rFonts w:hint="eastAsia" w:ascii="宋体" w:hAnsi="宋体" w:cs="宋体"/>
                <w:color w:val="000000"/>
                <w:sz w:val="24"/>
                <w:szCs w:val="24"/>
                <w:lang w:eastAsia="zh-CN"/>
              </w:rPr>
              <w:t>）</w:t>
            </w:r>
            <w:r>
              <w:rPr>
                <w:rFonts w:hint="eastAsia" w:ascii="宋体" w:hAnsi="宋体" w:eastAsia="宋体" w:cs="宋体"/>
                <w:color w:val="000000"/>
                <w:sz w:val="24"/>
                <w:szCs w:val="24"/>
              </w:rPr>
              <w:t>成交单位在领取成交通知书后，凭成交通知书与</w:t>
            </w:r>
            <w:r>
              <w:rPr>
                <w:rFonts w:hint="eastAsia" w:ascii="宋体" w:hAnsi="宋体" w:cs="宋体"/>
                <w:color w:val="000000"/>
                <w:sz w:val="24"/>
                <w:szCs w:val="24"/>
                <w:lang w:eastAsia="zh-CN"/>
              </w:rPr>
              <w:t>采购</w:t>
            </w:r>
            <w:r>
              <w:rPr>
                <w:rFonts w:hint="eastAsia" w:ascii="宋体" w:hAnsi="宋体" w:eastAsia="宋体" w:cs="宋体"/>
                <w:color w:val="000000"/>
                <w:sz w:val="24"/>
                <w:szCs w:val="24"/>
              </w:rPr>
              <w:t>人签订合同。成交单位的保证金凭其与</w:t>
            </w:r>
            <w:r>
              <w:rPr>
                <w:rFonts w:hint="eastAsia" w:ascii="宋体" w:hAnsi="宋体" w:cs="宋体"/>
                <w:color w:val="000000"/>
                <w:sz w:val="24"/>
                <w:szCs w:val="24"/>
                <w:lang w:eastAsia="zh-CN"/>
              </w:rPr>
              <w:t>采购</w:t>
            </w:r>
            <w:r>
              <w:rPr>
                <w:rFonts w:hint="eastAsia" w:ascii="宋体" w:hAnsi="宋体" w:eastAsia="宋体" w:cs="宋体"/>
                <w:color w:val="000000"/>
                <w:sz w:val="24"/>
                <w:szCs w:val="24"/>
              </w:rPr>
              <w:t>人签订的合同全额退至其基本账户，其他单位的保证金在确定成交单位后5个工作日内退至其基本帐户。</w:t>
            </w:r>
          </w:p>
          <w:p>
            <w:pPr>
              <w:adjustRightInd w:val="0"/>
              <w:snapToGrid w:val="0"/>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发布成交公示后，放弃成交资格或违反有关规定的，保证金不予退还。</w:t>
            </w:r>
          </w:p>
          <w:p>
            <w:pPr>
              <w:adjustRightInd w:val="0"/>
              <w:snapToGrid w:val="0"/>
              <w:spacing w:line="380" w:lineRule="exact"/>
              <w:rPr>
                <w:rFonts w:hint="eastAsia" w:ascii="Times New Roman" w:hAnsi="Times New Roman" w:eastAsia="宋体" w:cs="Times New Roman"/>
                <w:kern w:val="2"/>
                <w:sz w:val="24"/>
                <w:szCs w:val="24"/>
                <w:lang w:val="en-US" w:eastAsia="zh-CN" w:bidi="ar-SA"/>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eastAsia="zh-CN"/>
              </w:rPr>
              <w:t>）</w:t>
            </w:r>
            <w:r>
              <w:rPr>
                <w:rFonts w:hint="eastAsia" w:ascii="宋体" w:hAnsi="宋体" w:eastAsia="宋体" w:cs="宋体"/>
                <w:color w:val="000000"/>
                <w:sz w:val="24"/>
                <w:szCs w:val="24"/>
              </w:rPr>
              <w:t>已缴纳投标保证金的</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放弃投标，因其放弃投标，导致</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少于3家引起</w:t>
            </w:r>
            <w:r>
              <w:rPr>
                <w:rFonts w:hint="eastAsia" w:ascii="宋体" w:hAnsi="宋体" w:cs="宋体"/>
                <w:color w:val="000000"/>
                <w:sz w:val="24"/>
                <w:szCs w:val="24"/>
                <w:lang w:eastAsia="zh-CN"/>
              </w:rPr>
              <w:t>磋商</w:t>
            </w:r>
            <w:r>
              <w:rPr>
                <w:rFonts w:hint="eastAsia" w:ascii="宋体" w:hAnsi="宋体" w:eastAsia="宋体" w:cs="宋体"/>
                <w:color w:val="000000"/>
                <w:sz w:val="24"/>
                <w:szCs w:val="24"/>
              </w:rPr>
              <w:t>失败的，该</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不得再参加本项目的投标。</w:t>
            </w:r>
          </w:p>
        </w:tc>
      </w:tr>
    </w:tbl>
    <w:p>
      <w:pPr>
        <w:rPr>
          <w:rFonts w:ascii="宋体" w:hAnsi="宋体" w:cs="宋体"/>
          <w:szCs w:val="24"/>
        </w:rPr>
      </w:pPr>
    </w:p>
    <w:p>
      <w:pPr>
        <w:pStyle w:val="3"/>
        <w:spacing w:before="20" w:after="20"/>
        <w:ind w:firstLine="241" w:firstLineChars="100"/>
        <w:jc w:val="center"/>
        <w:rPr>
          <w:rFonts w:ascii="宋体" w:hAnsi="宋体" w:eastAsia="宋体" w:cs="宋体"/>
          <w:sz w:val="24"/>
          <w:szCs w:val="24"/>
        </w:rPr>
      </w:pPr>
    </w:p>
    <w:p>
      <w:pPr>
        <w:rPr>
          <w:rFonts w:ascii="宋体" w:hAnsi="宋体" w:cs="宋体"/>
          <w:sz w:val="24"/>
          <w:szCs w:val="24"/>
        </w:rPr>
      </w:pPr>
      <w:r>
        <w:rPr>
          <w:rFonts w:hint="eastAsia" w:ascii="宋体" w:hAnsi="宋体" w:cs="宋体"/>
          <w:sz w:val="24"/>
          <w:szCs w:val="24"/>
        </w:rPr>
        <w:br w:type="page"/>
      </w:r>
    </w:p>
    <w:p>
      <w:pPr>
        <w:pStyle w:val="3"/>
        <w:spacing w:before="120" w:beforeLines="50" w:after="120" w:afterLines="50" w:line="520" w:lineRule="exact"/>
        <w:jc w:val="center"/>
        <w:rPr>
          <w:rFonts w:ascii="宋体" w:hAnsi="宋体" w:eastAsia="宋体" w:cs="宋体"/>
          <w:sz w:val="24"/>
          <w:szCs w:val="24"/>
        </w:rPr>
      </w:pPr>
      <w:bookmarkStart w:id="61" w:name="_Toc14333"/>
      <w:r>
        <w:rPr>
          <w:rFonts w:hint="eastAsia" w:ascii="宋体" w:hAnsi="宋体" w:eastAsia="宋体" w:cs="宋体"/>
          <w:sz w:val="24"/>
          <w:szCs w:val="24"/>
        </w:rPr>
        <w:t>（二）供应商资格</w:t>
      </w:r>
      <w:bookmarkEnd w:id="61"/>
    </w:p>
    <w:bookmarkEnd w:id="58"/>
    <w:p>
      <w:pPr>
        <w:pStyle w:val="34"/>
        <w:spacing w:line="520" w:lineRule="exact"/>
        <w:ind w:firstLine="480" w:firstLineChars="200"/>
      </w:pPr>
      <w:bookmarkStart w:id="62" w:name="_Toc216158625"/>
      <w:bookmarkStart w:id="63" w:name="_Toc438648662"/>
      <w:bookmarkStart w:id="64" w:name="_Toc363199266"/>
      <w:r>
        <w:rPr>
          <w:rFonts w:hint="eastAsia"/>
        </w:rPr>
        <w:t>见本项目采购公告</w:t>
      </w:r>
    </w:p>
    <w:p>
      <w:pPr>
        <w:pStyle w:val="3"/>
        <w:pageBreakBefore w:val="0"/>
        <w:kinsoku/>
        <w:wordWrap/>
        <w:overflowPunct/>
        <w:topLinePunct w:val="0"/>
        <w:autoSpaceDE/>
        <w:autoSpaceDN/>
        <w:bidi w:val="0"/>
        <w:snapToGrid/>
        <w:spacing w:before="120" w:beforeLines="50" w:after="120" w:afterLines="50" w:line="460" w:lineRule="exact"/>
        <w:jc w:val="center"/>
        <w:rPr>
          <w:rFonts w:ascii="宋体" w:hAnsi="宋体" w:eastAsia="宋体" w:cs="宋体"/>
          <w:sz w:val="24"/>
          <w:szCs w:val="24"/>
        </w:rPr>
      </w:pPr>
      <w:bookmarkStart w:id="65" w:name="_Toc9435"/>
      <w:r>
        <w:rPr>
          <w:rFonts w:hint="eastAsia" w:ascii="宋体" w:hAnsi="宋体" w:eastAsia="宋体" w:cs="宋体"/>
          <w:sz w:val="24"/>
          <w:szCs w:val="24"/>
        </w:rPr>
        <w:t>（三）供应商必须提交的响应文件内容</w:t>
      </w:r>
      <w:bookmarkEnd w:id="62"/>
      <w:bookmarkEnd w:id="63"/>
      <w:bookmarkEnd w:id="64"/>
      <w:bookmarkEnd w:id="65"/>
    </w:p>
    <w:p>
      <w:pPr>
        <w:pageBreakBefore w:val="0"/>
        <w:kinsoku/>
        <w:wordWrap/>
        <w:overflowPunct/>
        <w:topLinePunct w:val="0"/>
        <w:autoSpaceDE/>
        <w:autoSpaceDN/>
        <w:bidi w:val="0"/>
        <w:snapToGrid/>
        <w:spacing w:line="460" w:lineRule="exact"/>
        <w:ind w:firstLine="480" w:firstLineChars="200"/>
        <w:jc w:val="left"/>
        <w:rPr>
          <w:rFonts w:ascii="宋体" w:hAnsi="宋体"/>
          <w:sz w:val="24"/>
          <w:szCs w:val="24"/>
        </w:rPr>
      </w:pPr>
      <w:r>
        <w:rPr>
          <w:rFonts w:hint="eastAsia" w:ascii="宋体" w:hAnsi="宋体"/>
          <w:sz w:val="24"/>
          <w:szCs w:val="24"/>
        </w:rPr>
        <w:t>1、报价单；</w:t>
      </w:r>
    </w:p>
    <w:p>
      <w:pPr>
        <w:pageBreakBefore w:val="0"/>
        <w:kinsoku/>
        <w:wordWrap/>
        <w:overflowPunct/>
        <w:topLinePunct w:val="0"/>
        <w:autoSpaceDE/>
        <w:autoSpaceDN/>
        <w:bidi w:val="0"/>
        <w:snapToGrid/>
        <w:spacing w:line="460" w:lineRule="exact"/>
        <w:ind w:firstLine="480" w:firstLineChars="200"/>
        <w:jc w:val="left"/>
        <w:rPr>
          <w:rFonts w:ascii="宋体" w:hAnsi="宋体"/>
          <w:sz w:val="24"/>
          <w:szCs w:val="24"/>
        </w:rPr>
      </w:pPr>
      <w:r>
        <w:rPr>
          <w:rFonts w:hint="eastAsia" w:ascii="宋体" w:hAnsi="宋体"/>
          <w:sz w:val="24"/>
          <w:szCs w:val="24"/>
        </w:rPr>
        <w:t>2、供应商基本信息；</w:t>
      </w:r>
    </w:p>
    <w:p>
      <w:pPr>
        <w:pageBreakBefore w:val="0"/>
        <w:kinsoku/>
        <w:wordWrap/>
        <w:overflowPunct/>
        <w:topLinePunct w:val="0"/>
        <w:autoSpaceDE/>
        <w:autoSpaceDN/>
        <w:bidi w:val="0"/>
        <w:snapToGrid/>
        <w:spacing w:line="460" w:lineRule="exact"/>
        <w:ind w:firstLine="480" w:firstLineChars="200"/>
        <w:jc w:val="left"/>
        <w:rPr>
          <w:rFonts w:hint="eastAsia" w:ascii="宋体" w:hAnsi="宋体"/>
          <w:sz w:val="24"/>
          <w:szCs w:val="24"/>
        </w:rPr>
      </w:pPr>
      <w:r>
        <w:rPr>
          <w:rFonts w:hint="eastAsia" w:ascii="宋体" w:hAnsi="宋体"/>
          <w:sz w:val="24"/>
          <w:szCs w:val="24"/>
        </w:rPr>
        <w:t>3、磋商授权书；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0"/>
        <w:rPr>
          <w:rFonts w:hint="eastAsia" w:ascii="宋体" w:hAnsi="宋体"/>
          <w:bCs/>
          <w:sz w:val="24"/>
          <w:szCs w:val="24"/>
        </w:rPr>
      </w:pPr>
      <w:bookmarkStart w:id="66" w:name="_Toc30235"/>
      <w:bookmarkStart w:id="67" w:name="_Toc23813"/>
      <w:r>
        <w:rPr>
          <w:rFonts w:hint="eastAsia" w:ascii="宋体" w:hAnsi="宋体"/>
          <w:sz w:val="24"/>
          <w:szCs w:val="24"/>
          <w:lang w:val="en-US" w:eastAsia="zh-CN"/>
        </w:rPr>
        <w:t>4</w:t>
      </w:r>
      <w:r>
        <w:rPr>
          <w:rFonts w:hint="eastAsia" w:ascii="宋体" w:hAnsi="宋体"/>
          <w:sz w:val="24"/>
          <w:szCs w:val="24"/>
        </w:rPr>
        <w:t>、</w:t>
      </w:r>
      <w:r>
        <w:rPr>
          <w:rFonts w:hint="eastAsia" w:ascii="宋体" w:hAnsi="宋体"/>
          <w:bCs/>
          <w:sz w:val="24"/>
          <w:szCs w:val="24"/>
        </w:rPr>
        <w:t>保证金进</w:t>
      </w:r>
      <w:r>
        <w:rPr>
          <w:rFonts w:hint="eastAsia" w:ascii="宋体" w:hAnsi="宋体"/>
          <w:bCs/>
          <w:sz w:val="24"/>
          <w:szCs w:val="24"/>
          <w:lang w:eastAsia="zh-CN"/>
        </w:rPr>
        <w:t>账</w:t>
      </w:r>
      <w:r>
        <w:rPr>
          <w:rFonts w:hint="eastAsia" w:ascii="宋体" w:hAnsi="宋体"/>
          <w:bCs/>
          <w:sz w:val="24"/>
          <w:szCs w:val="24"/>
        </w:rPr>
        <w:t>单</w:t>
      </w:r>
      <w:bookmarkEnd w:id="66"/>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0"/>
        <w:rPr>
          <w:rFonts w:hint="eastAsia" w:ascii="宋体" w:hAnsi="宋体" w:eastAsia="宋体"/>
          <w:sz w:val="24"/>
          <w:szCs w:val="24"/>
          <w:lang w:eastAsia="zh-CN"/>
        </w:rPr>
      </w:pPr>
      <w:bookmarkStart w:id="68" w:name="_Toc30542"/>
      <w:r>
        <w:rPr>
          <w:rFonts w:hint="eastAsia" w:ascii="宋体" w:hAnsi="宋体"/>
          <w:bCs/>
          <w:sz w:val="24"/>
          <w:szCs w:val="24"/>
          <w:lang w:val="en-US" w:eastAsia="zh-CN"/>
        </w:rPr>
        <w:t>5</w:t>
      </w:r>
      <w:r>
        <w:rPr>
          <w:rFonts w:hint="eastAsia" w:ascii="宋体" w:hAnsi="宋体"/>
          <w:bCs/>
          <w:sz w:val="24"/>
          <w:szCs w:val="24"/>
          <w:lang w:eastAsia="zh-CN"/>
        </w:rPr>
        <w:t>、</w:t>
      </w:r>
      <w:r>
        <w:rPr>
          <w:rFonts w:hint="eastAsia" w:ascii="宋体" w:hAnsi="宋体" w:eastAsia="宋体" w:cs="Times New Roman"/>
          <w:b w:val="0"/>
          <w:bCs w:val="0"/>
          <w:sz w:val="24"/>
          <w:szCs w:val="24"/>
        </w:rPr>
        <w:t>技术相关</w:t>
      </w:r>
      <w:r>
        <w:rPr>
          <w:rFonts w:hint="eastAsia" w:ascii="宋体" w:hAnsi="宋体" w:cs="Times New Roman"/>
          <w:b w:val="0"/>
          <w:bCs w:val="0"/>
          <w:sz w:val="24"/>
          <w:szCs w:val="24"/>
          <w:lang w:eastAsia="zh-CN"/>
        </w:rPr>
        <w:t>材</w:t>
      </w:r>
      <w:r>
        <w:rPr>
          <w:rFonts w:hint="eastAsia" w:ascii="宋体" w:hAnsi="宋体" w:eastAsia="宋体" w:cs="Times New Roman"/>
          <w:b w:val="0"/>
          <w:bCs w:val="0"/>
          <w:sz w:val="24"/>
          <w:szCs w:val="24"/>
        </w:rPr>
        <w:t>料</w:t>
      </w:r>
      <w:bookmarkEnd w:id="67"/>
      <w:bookmarkEnd w:id="68"/>
      <w:r>
        <w:rPr>
          <w:rFonts w:hint="eastAsia" w:ascii="宋体" w:hAnsi="宋体"/>
          <w:sz w:val="24"/>
          <w:szCs w:val="24"/>
        </w:rPr>
        <w:t>；</w:t>
      </w:r>
    </w:p>
    <w:p>
      <w:pPr>
        <w:pageBreakBefore w:val="0"/>
        <w:kinsoku/>
        <w:wordWrap/>
        <w:overflowPunct/>
        <w:topLinePunct w:val="0"/>
        <w:autoSpaceDE/>
        <w:autoSpaceDN/>
        <w:bidi w:val="0"/>
        <w:snapToGrid/>
        <w:spacing w:line="460" w:lineRule="exact"/>
        <w:ind w:firstLine="480" w:firstLineChars="200"/>
        <w:jc w:val="left"/>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、项目服务人员配置；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0"/>
        <w:rPr>
          <w:rFonts w:hint="eastAsia" w:ascii="宋体" w:hAnsi="宋体"/>
          <w:sz w:val="24"/>
          <w:szCs w:val="24"/>
        </w:rPr>
      </w:pPr>
      <w:bookmarkStart w:id="69" w:name="_Toc16283"/>
      <w:bookmarkStart w:id="70" w:name="_Toc26225"/>
      <w:r>
        <w:rPr>
          <w:rFonts w:hint="eastAsia" w:ascii="宋体" w:hAnsi="宋体"/>
          <w:sz w:val="24"/>
          <w:szCs w:val="24"/>
          <w:lang w:val="en-US" w:eastAsia="zh-CN"/>
        </w:rPr>
        <w:t>7</w:t>
      </w:r>
      <w:r>
        <w:rPr>
          <w:rFonts w:hint="eastAsia" w:ascii="宋体" w:hAnsi="宋体"/>
          <w:sz w:val="24"/>
          <w:szCs w:val="24"/>
        </w:rPr>
        <w:t>、</w:t>
      </w:r>
      <w:bookmarkEnd w:id="69"/>
      <w:bookmarkEnd w:id="70"/>
      <w:r>
        <w:rPr>
          <w:rFonts w:hint="eastAsia" w:ascii="宋体" w:hAnsi="宋体"/>
          <w:sz w:val="24"/>
          <w:szCs w:val="24"/>
        </w:rPr>
        <w:t>磋商响应函；</w:t>
      </w:r>
    </w:p>
    <w:p>
      <w:pPr>
        <w:pageBreakBefore w:val="0"/>
        <w:kinsoku/>
        <w:wordWrap/>
        <w:overflowPunct/>
        <w:topLinePunct w:val="0"/>
        <w:autoSpaceDE/>
        <w:autoSpaceDN/>
        <w:bidi w:val="0"/>
        <w:snapToGrid/>
        <w:spacing w:line="460" w:lineRule="exact"/>
        <w:ind w:firstLine="480" w:firstLineChars="200"/>
        <w:jc w:val="left"/>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、无重大违法记录声明函、无不良信用记录承诺函；</w:t>
      </w:r>
    </w:p>
    <w:p>
      <w:pPr>
        <w:pageBreakBefore w:val="0"/>
        <w:kinsoku/>
        <w:wordWrap/>
        <w:overflowPunct/>
        <w:topLinePunct w:val="0"/>
        <w:autoSpaceDE/>
        <w:autoSpaceDN/>
        <w:bidi w:val="0"/>
        <w:snapToGrid/>
        <w:spacing w:line="460" w:lineRule="exact"/>
        <w:ind w:firstLine="480" w:firstLineChars="200"/>
        <w:jc w:val="left"/>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、响应情况表；</w:t>
      </w:r>
    </w:p>
    <w:p>
      <w:pPr>
        <w:pageBreakBefore w:val="0"/>
        <w:kinsoku/>
        <w:wordWrap/>
        <w:overflowPunct/>
        <w:topLinePunct w:val="0"/>
        <w:autoSpaceDE/>
        <w:autoSpaceDN/>
        <w:bidi w:val="0"/>
        <w:snapToGrid/>
        <w:spacing w:line="460" w:lineRule="exact"/>
        <w:ind w:firstLine="480" w:firstLineChars="200"/>
        <w:jc w:val="left"/>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、相关服务承诺函；</w:t>
      </w:r>
    </w:p>
    <w:p>
      <w:pPr>
        <w:pageBreakBefore w:val="0"/>
        <w:kinsoku/>
        <w:wordWrap/>
        <w:overflowPunct/>
        <w:topLinePunct w:val="0"/>
        <w:autoSpaceDE/>
        <w:autoSpaceDN/>
        <w:bidi w:val="0"/>
        <w:snapToGrid/>
        <w:spacing w:line="460" w:lineRule="exact"/>
        <w:ind w:firstLine="480" w:firstLineChars="200"/>
        <w:jc w:val="left"/>
        <w:rPr>
          <w:rFonts w:ascii="宋体" w:hAnsi="宋体" w:cs="宋体"/>
          <w:sz w:val="24"/>
          <w:szCs w:val="24"/>
        </w:rPr>
      </w:pPr>
      <w:r>
        <w:rPr>
          <w:rFonts w:hint="eastAsia" w:ascii="宋体" w:hAnsi="宋体"/>
          <w:sz w:val="24"/>
          <w:szCs w:val="24"/>
          <w:lang w:val="en-US" w:eastAsia="zh-CN"/>
        </w:rPr>
        <w:t>11</w:t>
      </w:r>
      <w:r>
        <w:rPr>
          <w:rFonts w:hint="eastAsia" w:ascii="宋体" w:hAnsi="宋体"/>
          <w:sz w:val="24"/>
          <w:szCs w:val="24"/>
        </w:rPr>
        <w:t xml:space="preserve">、磋商文件要求和供应商认为需要提供的其它说明和资料 。 </w:t>
      </w:r>
    </w:p>
    <w:p>
      <w:pPr>
        <w:pStyle w:val="3"/>
        <w:pageBreakBefore w:val="0"/>
        <w:kinsoku/>
        <w:wordWrap/>
        <w:overflowPunct/>
        <w:topLinePunct w:val="0"/>
        <w:autoSpaceDE/>
        <w:autoSpaceDN/>
        <w:bidi w:val="0"/>
        <w:snapToGrid/>
        <w:spacing w:before="120" w:beforeLines="50" w:after="120" w:afterLines="50" w:line="460" w:lineRule="exact"/>
        <w:jc w:val="center"/>
        <w:rPr>
          <w:rFonts w:ascii="宋体" w:hAnsi="宋体" w:eastAsia="宋体" w:cs="宋体"/>
          <w:sz w:val="24"/>
          <w:szCs w:val="24"/>
        </w:rPr>
      </w:pPr>
      <w:bookmarkStart w:id="71" w:name="_Toc9883"/>
      <w:r>
        <w:rPr>
          <w:rFonts w:hint="eastAsia" w:ascii="宋体" w:hAnsi="宋体" w:eastAsia="宋体" w:cs="宋体"/>
          <w:sz w:val="24"/>
          <w:szCs w:val="24"/>
        </w:rPr>
        <w:t>（四）响应文件的提交</w:t>
      </w:r>
      <w:bookmarkEnd w:id="71"/>
    </w:p>
    <w:bookmarkEnd w:id="59"/>
    <w:bookmarkEnd w:id="60"/>
    <w:p>
      <w:pPr>
        <w:pageBreakBefore w:val="0"/>
        <w:kinsoku/>
        <w:wordWrap/>
        <w:overflowPunct/>
        <w:topLinePunct w:val="0"/>
        <w:autoSpaceDE/>
        <w:autoSpaceDN/>
        <w:bidi w:val="0"/>
        <w:snapToGrid/>
        <w:spacing w:line="460" w:lineRule="exact"/>
        <w:ind w:firstLine="480" w:firstLineChars="200"/>
        <w:rPr>
          <w:rFonts w:ascii="宋体" w:hAnsi="宋体"/>
          <w:color w:val="auto"/>
          <w:sz w:val="24"/>
          <w:szCs w:val="24"/>
          <w:highlight w:val="none"/>
        </w:rPr>
      </w:pPr>
      <w:bookmarkStart w:id="72" w:name="_Toc32682"/>
      <w:bookmarkStart w:id="73" w:name="_Toc15950"/>
      <w:r>
        <w:rPr>
          <w:rFonts w:hint="eastAsia" w:ascii="宋体" w:hAnsi="宋体"/>
          <w:color w:val="auto"/>
          <w:sz w:val="24"/>
          <w:szCs w:val="24"/>
          <w:highlight w:val="none"/>
        </w:rPr>
        <w:t>1.响应文件密封</w:t>
      </w:r>
    </w:p>
    <w:p>
      <w:pPr>
        <w:pageBreakBefore w:val="0"/>
        <w:kinsoku/>
        <w:wordWrap/>
        <w:overflowPunct/>
        <w:topLinePunct w:val="0"/>
        <w:autoSpaceDE/>
        <w:autoSpaceDN/>
        <w:bidi w:val="0"/>
        <w:snapToGrid/>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1.1响应文件应密封包装，并在封套的封口处加盖供应商单位章或由供应商的法定代表人（单位负责人）或其授权的代理人签字。</w:t>
      </w:r>
    </w:p>
    <w:p>
      <w:pPr>
        <w:pageBreakBefore w:val="0"/>
        <w:kinsoku/>
        <w:wordWrap/>
        <w:overflowPunct/>
        <w:topLinePunct w:val="0"/>
        <w:autoSpaceDE/>
        <w:autoSpaceDN/>
        <w:bidi w:val="0"/>
        <w:snapToGrid/>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1.2 响应文件封套上应写明的内容见供应商须知前附表。</w:t>
      </w:r>
    </w:p>
    <w:p>
      <w:pPr>
        <w:pageBreakBefore w:val="0"/>
        <w:kinsoku/>
        <w:wordWrap/>
        <w:overflowPunct/>
        <w:topLinePunct w:val="0"/>
        <w:autoSpaceDE/>
        <w:autoSpaceDN/>
        <w:bidi w:val="0"/>
        <w:snapToGrid/>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1.3 如果未按规定封装或加写标记，采购代理机构将不承担响应文件错放或提前开封的责任，并可能导致响应无效。</w:t>
      </w:r>
    </w:p>
    <w:p>
      <w:pPr>
        <w:pageBreakBefore w:val="0"/>
        <w:kinsoku/>
        <w:wordWrap/>
        <w:overflowPunct/>
        <w:topLinePunct w:val="0"/>
        <w:autoSpaceDE/>
        <w:autoSpaceDN/>
        <w:bidi w:val="0"/>
        <w:snapToGrid/>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2.响应文件的提交 </w:t>
      </w:r>
    </w:p>
    <w:p>
      <w:pPr>
        <w:pageBreakBefore w:val="0"/>
        <w:kinsoku/>
        <w:wordWrap/>
        <w:overflowPunct/>
        <w:topLinePunct w:val="0"/>
        <w:autoSpaceDE/>
        <w:autoSpaceDN/>
        <w:bidi w:val="0"/>
        <w:snapToGrid/>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2.1 供应商应在供应商须知前附表规定的响应文件递交截止时间前递交响应文件。</w:t>
      </w:r>
    </w:p>
    <w:p>
      <w:pPr>
        <w:pageBreakBefore w:val="0"/>
        <w:kinsoku/>
        <w:wordWrap/>
        <w:overflowPunct/>
        <w:topLinePunct w:val="0"/>
        <w:autoSpaceDE/>
        <w:autoSpaceDN/>
        <w:bidi w:val="0"/>
        <w:snapToGrid/>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2.2 供应商递交响应文件的地点：见供应商须知前附表。</w:t>
      </w:r>
    </w:p>
    <w:p>
      <w:pPr>
        <w:pageBreakBefore w:val="0"/>
        <w:kinsoku/>
        <w:wordWrap/>
        <w:overflowPunct/>
        <w:topLinePunct w:val="0"/>
        <w:autoSpaceDE/>
        <w:autoSpaceDN/>
        <w:bidi w:val="0"/>
        <w:snapToGrid/>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2.3 除供应商须知前附表另有规定外，供应商所递交的响应文件不予退还。</w:t>
      </w:r>
    </w:p>
    <w:p>
      <w:pPr>
        <w:pageBreakBefore w:val="0"/>
        <w:kinsoku/>
        <w:wordWrap/>
        <w:overflowPunct/>
        <w:topLinePunct w:val="0"/>
        <w:autoSpaceDE/>
        <w:autoSpaceDN/>
        <w:bidi w:val="0"/>
        <w:snapToGrid/>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2.4逾期送达的或者未送达指定地点的响应文件，采购人将予以拒收。</w:t>
      </w:r>
    </w:p>
    <w:p>
      <w:pPr>
        <w:pageBreakBefore w:val="0"/>
        <w:kinsoku/>
        <w:wordWrap/>
        <w:overflowPunct/>
        <w:topLinePunct w:val="0"/>
        <w:autoSpaceDE/>
        <w:autoSpaceDN/>
        <w:bidi w:val="0"/>
        <w:snapToGrid/>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3.响应文件的修改和撤回</w:t>
      </w:r>
    </w:p>
    <w:p>
      <w:pPr>
        <w:pageBreakBefore w:val="0"/>
        <w:kinsoku/>
        <w:wordWrap/>
        <w:overflowPunct/>
        <w:topLinePunct w:val="0"/>
        <w:autoSpaceDE/>
        <w:autoSpaceDN/>
        <w:bidi w:val="0"/>
        <w:snapToGrid/>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pPr>
        <w:pageBreakBefore w:val="0"/>
        <w:kinsoku/>
        <w:wordWrap/>
        <w:overflowPunct/>
        <w:topLinePunct w:val="0"/>
        <w:autoSpaceDE/>
        <w:autoSpaceDN/>
        <w:bidi w:val="0"/>
        <w:snapToGrid/>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3.2供应商的修改书或撤回通知书，应按规定进行编制、密封、标记和提交，且标明“修改”或“撤回”字样。</w:t>
      </w:r>
    </w:p>
    <w:p>
      <w:pPr>
        <w:pageBreakBefore w:val="0"/>
        <w:kinsoku/>
        <w:wordWrap/>
        <w:overflowPunct/>
        <w:topLinePunct w:val="0"/>
        <w:autoSpaceDE/>
        <w:autoSpaceDN/>
        <w:bidi w:val="0"/>
        <w:snapToGrid/>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3.3提交响应文件截止时间后不得修改响应文件。但属于磋商小组在评审中发现的计算错误并进行核实的修改、按照磋商文件的变动情况和磋商小组的要求重新提交响应文件的，不在此列。</w:t>
      </w:r>
    </w:p>
    <w:p>
      <w:pPr>
        <w:pStyle w:val="3"/>
        <w:pageBreakBefore w:val="0"/>
        <w:kinsoku/>
        <w:wordWrap/>
        <w:overflowPunct/>
        <w:topLinePunct w:val="0"/>
        <w:autoSpaceDE/>
        <w:autoSpaceDN/>
        <w:bidi w:val="0"/>
        <w:snapToGrid/>
        <w:spacing w:before="120" w:beforeLines="50" w:after="120" w:afterLines="50" w:line="460" w:lineRule="exact"/>
        <w:jc w:val="center"/>
        <w:rPr>
          <w:rFonts w:ascii="宋体" w:hAnsi="宋体" w:eastAsia="宋体" w:cs="宋体"/>
          <w:sz w:val="24"/>
          <w:szCs w:val="24"/>
        </w:rPr>
      </w:pPr>
      <w:r>
        <w:rPr>
          <w:rFonts w:hint="eastAsia" w:ascii="宋体" w:hAnsi="宋体" w:eastAsia="宋体" w:cs="宋体"/>
          <w:sz w:val="24"/>
          <w:szCs w:val="24"/>
        </w:rPr>
        <w:t>（五）磋商程序</w:t>
      </w:r>
      <w:bookmarkEnd w:id="72"/>
      <w:bookmarkEnd w:id="73"/>
    </w:p>
    <w:p>
      <w:pPr>
        <w:pageBreakBefore w:val="0"/>
        <w:tabs>
          <w:tab w:val="left" w:pos="900"/>
        </w:tabs>
        <w:kinsoku/>
        <w:wordWrap/>
        <w:overflowPunct/>
        <w:topLinePunct w:val="0"/>
        <w:autoSpaceDE/>
        <w:autoSpaceDN/>
        <w:bidi w:val="0"/>
        <w:snapToGrid/>
        <w:spacing w:line="460" w:lineRule="exact"/>
        <w:ind w:firstLine="480" w:firstLineChars="200"/>
        <w:jc w:val="left"/>
        <w:rPr>
          <w:rFonts w:hint="eastAsia" w:ascii="宋体" w:hAnsi="宋体" w:cs="宋体"/>
          <w:sz w:val="24"/>
          <w:szCs w:val="24"/>
        </w:rPr>
      </w:pPr>
      <w:r>
        <w:rPr>
          <w:rFonts w:hint="eastAsia" w:ascii="宋体" w:hAnsi="宋体" w:cs="宋体"/>
          <w:sz w:val="24"/>
          <w:szCs w:val="24"/>
        </w:rPr>
        <w:t>1、磋商人员是按规定组成的三人或三人以上的磋商小组。</w:t>
      </w:r>
    </w:p>
    <w:p>
      <w:pPr>
        <w:pageBreakBefore w:val="0"/>
        <w:tabs>
          <w:tab w:val="left" w:pos="900"/>
        </w:tabs>
        <w:kinsoku/>
        <w:wordWrap/>
        <w:overflowPunct/>
        <w:topLinePunct w:val="0"/>
        <w:autoSpaceDE/>
        <w:autoSpaceDN/>
        <w:bidi w:val="0"/>
        <w:snapToGrid/>
        <w:spacing w:line="460" w:lineRule="exact"/>
        <w:ind w:firstLine="480" w:firstLineChars="200"/>
        <w:rPr>
          <w:rFonts w:hint="eastAsia" w:ascii="宋体" w:hAnsi="宋体"/>
          <w:b/>
          <w:bCs/>
          <w:color w:val="FF0000"/>
          <w:sz w:val="24"/>
          <w:szCs w:val="24"/>
          <w:highlight w:val="none"/>
        </w:rPr>
      </w:pPr>
      <w:r>
        <w:rPr>
          <w:rFonts w:hint="eastAsia" w:ascii="宋体" w:hAnsi="宋体"/>
          <w:color w:val="auto"/>
          <w:sz w:val="24"/>
          <w:szCs w:val="24"/>
          <w:highlight w:val="none"/>
          <w:lang w:val="en-US" w:eastAsia="zh-CN"/>
        </w:rPr>
        <w:t>2、</w:t>
      </w:r>
      <w:r>
        <w:rPr>
          <w:rFonts w:hint="eastAsia" w:ascii="宋体" w:hAnsi="宋体"/>
          <w:b/>
          <w:bCs/>
          <w:color w:val="auto"/>
          <w:sz w:val="24"/>
          <w:szCs w:val="24"/>
          <w:highlight w:val="none"/>
        </w:rPr>
        <w:t>供应商须符合下列条件</w:t>
      </w:r>
      <w:r>
        <w:rPr>
          <w:rFonts w:hint="eastAsia" w:ascii="宋体" w:hAnsi="宋体"/>
          <w:b/>
          <w:bCs/>
          <w:color w:val="auto"/>
          <w:sz w:val="24"/>
          <w:szCs w:val="24"/>
          <w:highlight w:val="none"/>
          <w:lang w:eastAsia="zh-CN"/>
        </w:rPr>
        <w:t>（资格审查）</w:t>
      </w:r>
      <w:r>
        <w:rPr>
          <w:rFonts w:hint="eastAsia" w:ascii="宋体" w:hAnsi="宋体"/>
          <w:b/>
          <w:bCs/>
          <w:color w:val="auto"/>
          <w:sz w:val="24"/>
          <w:szCs w:val="24"/>
          <w:highlight w:val="none"/>
        </w:rPr>
        <w:t>：（1）</w:t>
      </w:r>
      <w:r>
        <w:rPr>
          <w:rFonts w:hint="eastAsia" w:ascii="宋体" w:hAnsi="宋体" w:eastAsia="宋体" w:cs="Times New Roman"/>
          <w:b/>
          <w:bCs/>
          <w:color w:val="auto"/>
          <w:sz w:val="24"/>
          <w:szCs w:val="24"/>
          <w:highlight w:val="none"/>
        </w:rPr>
        <w:t>授权委托书及代理人身份证</w:t>
      </w:r>
      <w:r>
        <w:rPr>
          <w:rFonts w:hint="eastAsia" w:ascii="宋体" w:hAnsi="宋体" w:eastAsia="宋体" w:cs="Times New Roman"/>
          <w:b/>
          <w:bCs/>
          <w:color w:val="auto"/>
          <w:sz w:val="24"/>
          <w:szCs w:val="24"/>
          <w:highlight w:val="none"/>
          <w:lang w:eastAsia="zh-CN"/>
        </w:rPr>
        <w:t>、</w:t>
      </w:r>
      <w:r>
        <w:rPr>
          <w:rFonts w:hint="eastAsia" w:ascii="宋体" w:hAnsi="宋体"/>
          <w:b/>
          <w:bCs/>
          <w:color w:val="auto"/>
          <w:sz w:val="24"/>
          <w:szCs w:val="24"/>
          <w:highlight w:val="none"/>
        </w:rPr>
        <w:t>营业执照</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岗位证书</w:t>
      </w:r>
      <w:r>
        <w:rPr>
          <w:rFonts w:hint="eastAsia" w:ascii="宋体" w:hAnsi="宋体"/>
          <w:b/>
          <w:bCs/>
          <w:color w:val="auto"/>
          <w:sz w:val="24"/>
          <w:szCs w:val="24"/>
          <w:highlight w:val="none"/>
          <w:lang w:eastAsia="zh-CN"/>
        </w:rPr>
        <w:t>及学历证书、投标</w:t>
      </w:r>
      <w:r>
        <w:rPr>
          <w:rFonts w:hint="eastAsia" w:ascii="宋体" w:hAnsi="宋体"/>
          <w:b/>
          <w:bCs/>
          <w:color w:val="auto"/>
          <w:sz w:val="24"/>
          <w:szCs w:val="24"/>
          <w:highlight w:val="none"/>
        </w:rPr>
        <w:t>保证金符合采购文件要求；（</w:t>
      </w: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rPr>
        <w:t>）供应商响应报价中</w:t>
      </w:r>
      <w:r>
        <w:rPr>
          <w:rFonts w:hint="eastAsia" w:ascii="宋体" w:hAnsi="宋体"/>
          <w:b/>
          <w:bCs/>
          <w:color w:val="auto"/>
          <w:sz w:val="24"/>
          <w:szCs w:val="24"/>
          <w:highlight w:val="none"/>
          <w:lang w:eastAsia="zh-CN"/>
        </w:rPr>
        <w:t>分项</w:t>
      </w:r>
      <w:r>
        <w:rPr>
          <w:rFonts w:hint="eastAsia" w:ascii="宋体" w:hAnsi="宋体"/>
          <w:b/>
          <w:bCs/>
          <w:color w:val="auto"/>
          <w:sz w:val="24"/>
          <w:szCs w:val="24"/>
          <w:highlight w:val="none"/>
        </w:rPr>
        <w:t>内容与发布的</w:t>
      </w:r>
      <w:r>
        <w:rPr>
          <w:rFonts w:hint="eastAsia" w:ascii="宋体" w:hAnsi="宋体"/>
          <w:b/>
          <w:bCs/>
          <w:color w:val="auto"/>
          <w:sz w:val="24"/>
          <w:szCs w:val="24"/>
          <w:highlight w:val="none"/>
          <w:lang w:eastAsia="zh-CN"/>
        </w:rPr>
        <w:t>采购需求分项</w:t>
      </w:r>
      <w:r>
        <w:rPr>
          <w:rFonts w:hint="eastAsia" w:ascii="宋体" w:hAnsi="宋体"/>
          <w:b/>
          <w:bCs/>
          <w:color w:val="auto"/>
          <w:sz w:val="24"/>
          <w:szCs w:val="24"/>
          <w:highlight w:val="none"/>
        </w:rPr>
        <w:t>保持一致，未进行实质性修改和删减（</w:t>
      </w:r>
      <w:r>
        <w:rPr>
          <w:rFonts w:hint="eastAsia" w:ascii="宋体" w:hAnsi="宋体"/>
          <w:b/>
          <w:bCs/>
          <w:color w:val="auto"/>
          <w:sz w:val="24"/>
          <w:szCs w:val="24"/>
          <w:highlight w:val="none"/>
          <w:lang w:eastAsia="zh-CN"/>
        </w:rPr>
        <w:t>响应情况表中承诺偏离的内容除外</w:t>
      </w:r>
      <w:r>
        <w:rPr>
          <w:rFonts w:hint="eastAsia" w:ascii="宋体" w:hAnsi="宋体" w:eastAsia="宋体" w:cs="Arial"/>
          <w:b/>
          <w:bCs/>
          <w:color w:val="auto"/>
          <w:sz w:val="24"/>
          <w:szCs w:val="24"/>
          <w:highlight w:val="none"/>
          <w:lang w:eastAsia="zh-CN"/>
        </w:rPr>
        <w:t>，</w:t>
      </w:r>
      <w:r>
        <w:rPr>
          <w:rFonts w:hint="eastAsia" w:ascii="宋体" w:hAnsi="宋体" w:eastAsia="宋体" w:cs="Arial"/>
          <w:b/>
          <w:bCs/>
          <w:color w:val="auto"/>
          <w:sz w:val="24"/>
          <w:szCs w:val="24"/>
          <w:highlight w:val="none"/>
        </w:rPr>
        <w:t>以实际承诺内容为准）</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3</w:t>
      </w:r>
      <w:r>
        <w:rPr>
          <w:rFonts w:hint="eastAsia" w:ascii="宋体" w:hAnsi="宋体"/>
          <w:b/>
          <w:bCs/>
          <w:color w:val="auto"/>
          <w:sz w:val="24"/>
          <w:szCs w:val="24"/>
          <w:highlight w:val="none"/>
        </w:rPr>
        <w:t>）其他要求均符合采购文件规定。</w:t>
      </w:r>
    </w:p>
    <w:p>
      <w:pPr>
        <w:pageBreakBefore w:val="0"/>
        <w:tabs>
          <w:tab w:val="left" w:pos="900"/>
        </w:tabs>
        <w:kinsoku/>
        <w:wordWrap/>
        <w:overflowPunct/>
        <w:topLinePunct w:val="0"/>
        <w:autoSpaceDE/>
        <w:autoSpaceDN/>
        <w:bidi w:val="0"/>
        <w:snapToGrid/>
        <w:spacing w:line="460" w:lineRule="exact"/>
        <w:ind w:firstLine="480" w:firstLineChars="200"/>
        <w:jc w:val="left"/>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、在掌握了供应商的基本情况后，磋商小组与供应商分别进行磋商。</w:t>
      </w:r>
    </w:p>
    <w:p>
      <w:pPr>
        <w:pageBreakBefore w:val="0"/>
        <w:tabs>
          <w:tab w:val="left" w:pos="900"/>
        </w:tabs>
        <w:kinsoku/>
        <w:wordWrap/>
        <w:overflowPunct/>
        <w:topLinePunct w:val="0"/>
        <w:autoSpaceDE/>
        <w:autoSpaceDN/>
        <w:bidi w:val="0"/>
        <w:snapToGrid/>
        <w:spacing w:line="460" w:lineRule="exact"/>
        <w:ind w:firstLine="480" w:firstLineChars="200"/>
        <w:jc w:val="left"/>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、磋商是分别单独进行的。供应商不得与其他参与磋商的供应商相互串通；磋商小组也不得将与某一供应商的磋商情况向其他供应商及其关系人透露。</w:t>
      </w:r>
    </w:p>
    <w:p>
      <w:pPr>
        <w:pageBreakBefore w:val="0"/>
        <w:tabs>
          <w:tab w:val="left" w:pos="900"/>
        </w:tabs>
        <w:kinsoku/>
        <w:wordWrap/>
        <w:overflowPunct/>
        <w:topLinePunct w:val="0"/>
        <w:autoSpaceDE/>
        <w:autoSpaceDN/>
        <w:bidi w:val="0"/>
        <w:snapToGrid/>
        <w:spacing w:line="460" w:lineRule="exact"/>
        <w:ind w:firstLine="480" w:firstLineChars="200"/>
        <w:jc w:val="left"/>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、磋商采用一轮磋商、两轮报价的方式进行。但最终采取多少轮磋商，由磋商小组视情况而定。</w:t>
      </w:r>
    </w:p>
    <w:p>
      <w:pPr>
        <w:pageBreakBefore w:val="0"/>
        <w:tabs>
          <w:tab w:val="left" w:pos="900"/>
        </w:tabs>
        <w:kinsoku/>
        <w:wordWrap/>
        <w:overflowPunct/>
        <w:topLinePunct w:val="0"/>
        <w:autoSpaceDE/>
        <w:autoSpaceDN/>
        <w:bidi w:val="0"/>
        <w:snapToGrid/>
        <w:spacing w:line="460" w:lineRule="exact"/>
        <w:ind w:firstLine="480" w:firstLineChars="200"/>
        <w:rPr>
          <w:rFonts w:hint="eastAsia" w:ascii="宋体" w:hAnsi="宋体"/>
          <w:b/>
          <w:bCs/>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、磋商结束后，磋商小组将要求所有符合条件的供应商在规定的时间内进行</w:t>
      </w:r>
      <w:r>
        <w:rPr>
          <w:rFonts w:hint="eastAsia" w:ascii="宋体" w:hAnsi="宋体"/>
          <w:color w:val="auto"/>
          <w:sz w:val="24"/>
          <w:szCs w:val="24"/>
          <w:highlight w:val="none"/>
          <w:lang w:eastAsia="zh-CN"/>
        </w:rPr>
        <w:t>最终报价</w:t>
      </w:r>
      <w:r>
        <w:rPr>
          <w:rFonts w:hint="eastAsia" w:ascii="宋体" w:hAnsi="宋体"/>
          <w:color w:val="auto"/>
          <w:sz w:val="24"/>
          <w:szCs w:val="24"/>
          <w:highlight w:val="none"/>
        </w:rPr>
        <w:t>。供应商应在磋商小组发出二轮报价指令后 30分钟内完成报价，</w:t>
      </w:r>
      <w:r>
        <w:rPr>
          <w:rFonts w:hint="eastAsia" w:ascii="宋体" w:hAnsi="宋体"/>
          <w:b/>
          <w:bCs/>
          <w:color w:val="auto"/>
          <w:sz w:val="24"/>
          <w:szCs w:val="24"/>
          <w:highlight w:val="none"/>
        </w:rPr>
        <w:t>若供应商未在磋商小组规定的时间内提交</w:t>
      </w:r>
      <w:r>
        <w:rPr>
          <w:rFonts w:hint="eastAsia" w:ascii="宋体" w:hAnsi="宋体"/>
          <w:b/>
          <w:bCs/>
          <w:color w:val="auto"/>
          <w:sz w:val="24"/>
          <w:szCs w:val="24"/>
          <w:highlight w:val="none"/>
          <w:lang w:eastAsia="zh-CN"/>
        </w:rPr>
        <w:t>最终报价</w:t>
      </w:r>
      <w:r>
        <w:rPr>
          <w:rFonts w:hint="eastAsia" w:ascii="宋体" w:hAnsi="宋体"/>
          <w:b/>
          <w:bCs/>
          <w:color w:val="auto"/>
          <w:sz w:val="24"/>
          <w:szCs w:val="24"/>
          <w:highlight w:val="none"/>
        </w:rPr>
        <w:t>，则其前一轮报价即为该供应商</w:t>
      </w:r>
      <w:r>
        <w:rPr>
          <w:rFonts w:hint="eastAsia" w:ascii="宋体" w:hAnsi="宋体"/>
          <w:b/>
          <w:bCs/>
          <w:color w:val="auto"/>
          <w:sz w:val="24"/>
          <w:szCs w:val="24"/>
          <w:highlight w:val="none"/>
          <w:lang w:eastAsia="zh-CN"/>
        </w:rPr>
        <w:t>最终报价</w:t>
      </w:r>
      <w:r>
        <w:rPr>
          <w:rFonts w:hint="eastAsia" w:ascii="宋体" w:hAnsi="宋体"/>
          <w:b/>
          <w:bCs/>
          <w:color w:val="auto"/>
          <w:sz w:val="24"/>
          <w:szCs w:val="24"/>
          <w:highlight w:val="none"/>
        </w:rPr>
        <w:t>（后一轮报价不得高于前一轮报价，否则，报价无效）。</w:t>
      </w:r>
    </w:p>
    <w:p>
      <w:pPr>
        <w:pageBreakBefore w:val="0"/>
        <w:tabs>
          <w:tab w:val="left" w:pos="900"/>
        </w:tabs>
        <w:kinsoku/>
        <w:wordWrap/>
        <w:overflowPunct/>
        <w:topLinePunct w:val="0"/>
        <w:autoSpaceDE/>
        <w:autoSpaceDN/>
        <w:bidi w:val="0"/>
        <w:snapToGrid/>
        <w:spacing w:line="460" w:lineRule="exact"/>
        <w:ind w:firstLine="480" w:firstLineChars="200"/>
        <w:rPr>
          <w:rFonts w:ascii="宋体" w:hAnsi="宋体"/>
          <w:b/>
          <w:bCs/>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、供应商必须在规定的时间内将自己在磋商中作出的澄清、变动以及最终的报价，经法定代表人或被授权代表签字后，以书面的方式提交给磋商小组。</w:t>
      </w:r>
    </w:p>
    <w:p>
      <w:pPr>
        <w:pStyle w:val="34"/>
        <w:pageBreakBefore w:val="0"/>
        <w:kinsoku/>
        <w:wordWrap/>
        <w:overflowPunct/>
        <w:topLinePunct w:val="0"/>
        <w:autoSpaceDE/>
        <w:autoSpaceDN/>
        <w:bidi w:val="0"/>
        <w:snapToGrid/>
        <w:spacing w:line="460" w:lineRule="exact"/>
      </w:pPr>
    </w:p>
    <w:p>
      <w:pPr>
        <w:pStyle w:val="3"/>
        <w:pageBreakBefore w:val="0"/>
        <w:kinsoku/>
        <w:wordWrap/>
        <w:overflowPunct/>
        <w:topLinePunct w:val="0"/>
        <w:autoSpaceDE/>
        <w:autoSpaceDN/>
        <w:bidi w:val="0"/>
        <w:snapToGrid/>
        <w:spacing w:before="120" w:beforeLines="50" w:after="120" w:afterLines="50" w:line="460" w:lineRule="exact"/>
        <w:jc w:val="center"/>
        <w:rPr>
          <w:rFonts w:ascii="宋体" w:hAnsi="宋体" w:eastAsia="宋体" w:cs="宋体"/>
          <w:sz w:val="24"/>
          <w:szCs w:val="24"/>
        </w:rPr>
      </w:pPr>
      <w:bookmarkStart w:id="74" w:name="_Toc7501"/>
      <w:bookmarkStart w:id="75" w:name="_Toc11542"/>
      <w:r>
        <w:rPr>
          <w:rFonts w:hint="eastAsia" w:ascii="宋体" w:hAnsi="宋体" w:eastAsia="宋体" w:cs="宋体"/>
          <w:sz w:val="24"/>
          <w:szCs w:val="24"/>
        </w:rPr>
        <w:t>（六）评审及异常情况处理</w:t>
      </w:r>
      <w:bookmarkEnd w:id="74"/>
      <w:bookmarkEnd w:id="75"/>
    </w:p>
    <w:p>
      <w:pPr>
        <w:pageBreakBefore w:val="0"/>
        <w:kinsoku/>
        <w:wordWrap/>
        <w:overflowPunct/>
        <w:topLinePunct w:val="0"/>
        <w:autoSpaceDE/>
        <w:autoSpaceDN/>
        <w:bidi w:val="0"/>
        <w:snapToGrid/>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1、磋商小组将遵循公平、公正的原则，对供应商最终提交的确认价进行综合评审，根据得分由高到低顺序推荐成交候选供应商。</w:t>
      </w:r>
    </w:p>
    <w:p>
      <w:pPr>
        <w:pageBreakBefore w:val="0"/>
        <w:kinsoku/>
        <w:wordWrap/>
        <w:overflowPunct/>
        <w:topLinePunct w:val="0"/>
        <w:autoSpaceDE/>
        <w:autoSpaceDN/>
        <w:bidi w:val="0"/>
        <w:snapToGrid/>
        <w:spacing w:line="460" w:lineRule="exact"/>
        <w:ind w:firstLine="480" w:firstLineChars="200"/>
        <w:rPr>
          <w:rFonts w:ascii="宋体" w:hAnsi="宋体" w:cs="宋体"/>
          <w:sz w:val="24"/>
          <w:szCs w:val="24"/>
        </w:rPr>
      </w:pPr>
      <w:r>
        <w:rPr>
          <w:rFonts w:hint="eastAsia" w:ascii="宋体" w:hAnsi="宋体" w:cs="宋体"/>
          <w:sz w:val="24"/>
          <w:szCs w:val="24"/>
        </w:rPr>
        <w:t>2、磋商时出现以下情况之一的，将予以废标：</w:t>
      </w:r>
    </w:p>
    <w:p>
      <w:pPr>
        <w:pageBreakBefore w:val="0"/>
        <w:kinsoku/>
        <w:wordWrap/>
        <w:overflowPunct/>
        <w:topLinePunct w:val="0"/>
        <w:autoSpaceDE/>
        <w:autoSpaceDN/>
        <w:bidi w:val="0"/>
        <w:snapToGrid/>
        <w:spacing w:line="460" w:lineRule="exact"/>
        <w:ind w:firstLine="480" w:firstLineChars="200"/>
        <w:rPr>
          <w:rFonts w:hint="eastAsia" w:ascii="宋体" w:hAnsi="宋体"/>
          <w:color w:val="auto"/>
          <w:sz w:val="24"/>
          <w:szCs w:val="24"/>
          <w:highlight w:val="none"/>
        </w:rPr>
      </w:pPr>
      <w:r>
        <w:rPr>
          <w:rFonts w:hint="eastAsia" w:ascii="宋体" w:hAnsi="宋体" w:cs="宋体"/>
          <w:sz w:val="24"/>
          <w:szCs w:val="24"/>
        </w:rPr>
        <w:t>（1）</w:t>
      </w:r>
      <w:r>
        <w:rPr>
          <w:rFonts w:hint="eastAsia" w:ascii="宋体" w:hAnsi="宋体"/>
          <w:color w:val="auto"/>
          <w:sz w:val="24"/>
          <w:szCs w:val="24"/>
          <w:highlight w:val="none"/>
        </w:rPr>
        <w:t>符合专业条件的供应商或者对采购文件作实质性响应的供应商不足规定数量的；</w:t>
      </w:r>
    </w:p>
    <w:p>
      <w:pPr>
        <w:pageBreakBefore w:val="0"/>
        <w:kinsoku/>
        <w:wordWrap/>
        <w:overflowPunct/>
        <w:topLinePunct w:val="0"/>
        <w:autoSpaceDE/>
        <w:autoSpaceDN/>
        <w:bidi w:val="0"/>
        <w:snapToGrid/>
        <w:spacing w:line="460" w:lineRule="exact"/>
        <w:ind w:firstLine="480" w:firstLineChars="200"/>
        <w:rPr>
          <w:rFonts w:ascii="宋体" w:hAnsi="宋体" w:cs="宋体"/>
          <w:sz w:val="24"/>
          <w:szCs w:val="24"/>
        </w:rPr>
      </w:pPr>
      <w:r>
        <w:rPr>
          <w:rFonts w:hint="eastAsia" w:ascii="宋体" w:hAnsi="宋体" w:cs="宋体"/>
          <w:sz w:val="24"/>
          <w:szCs w:val="24"/>
        </w:rPr>
        <w:t>（2）供应商的报价均超过了采购预算，经过多轮磋商仍不能降到预算内、且采购人不能支付的；</w:t>
      </w:r>
    </w:p>
    <w:p>
      <w:pPr>
        <w:pageBreakBefore w:val="0"/>
        <w:kinsoku/>
        <w:wordWrap/>
        <w:overflowPunct/>
        <w:topLinePunct w:val="0"/>
        <w:autoSpaceDE/>
        <w:autoSpaceDN/>
        <w:bidi w:val="0"/>
        <w:snapToGrid/>
        <w:spacing w:line="460" w:lineRule="exact"/>
        <w:ind w:firstLine="480" w:firstLineChars="200"/>
        <w:rPr>
          <w:rFonts w:ascii="宋体" w:hAnsi="宋体" w:cs="宋体"/>
          <w:sz w:val="24"/>
          <w:szCs w:val="24"/>
        </w:rPr>
      </w:pPr>
      <w:r>
        <w:rPr>
          <w:rFonts w:hint="eastAsia" w:ascii="宋体" w:hAnsi="宋体" w:cs="宋体"/>
          <w:sz w:val="24"/>
          <w:szCs w:val="24"/>
        </w:rPr>
        <w:t>（3）经过磋商，供应商所提供的服务仍无法满足磋商文件实质性要求、影响工作的；</w:t>
      </w:r>
    </w:p>
    <w:p>
      <w:pPr>
        <w:pageBreakBefore w:val="0"/>
        <w:kinsoku/>
        <w:wordWrap/>
        <w:overflowPunct/>
        <w:topLinePunct w:val="0"/>
        <w:autoSpaceDE/>
        <w:autoSpaceDN/>
        <w:bidi w:val="0"/>
        <w:snapToGrid/>
        <w:spacing w:line="460" w:lineRule="exact"/>
        <w:ind w:firstLine="480" w:firstLineChars="200"/>
        <w:rPr>
          <w:rFonts w:ascii="宋体" w:hAnsi="宋体" w:cs="宋体"/>
          <w:sz w:val="24"/>
          <w:szCs w:val="24"/>
        </w:rPr>
      </w:pPr>
      <w:r>
        <w:rPr>
          <w:rFonts w:hint="eastAsia" w:ascii="宋体" w:hAnsi="宋体" w:cs="宋体"/>
          <w:sz w:val="24"/>
          <w:szCs w:val="24"/>
        </w:rPr>
        <w:t>（4）出现影响采购公正的违法、违规行为的；</w:t>
      </w:r>
    </w:p>
    <w:p>
      <w:pPr>
        <w:pageBreakBefore w:val="0"/>
        <w:kinsoku/>
        <w:wordWrap/>
        <w:overflowPunct/>
        <w:topLinePunct w:val="0"/>
        <w:autoSpaceDE/>
        <w:autoSpaceDN/>
        <w:bidi w:val="0"/>
        <w:snapToGrid/>
        <w:spacing w:line="460" w:lineRule="exact"/>
        <w:ind w:firstLine="480" w:firstLineChars="200"/>
        <w:rPr>
          <w:rFonts w:ascii="宋体" w:hAnsi="宋体" w:cs="宋体"/>
          <w:sz w:val="24"/>
          <w:szCs w:val="24"/>
        </w:rPr>
      </w:pPr>
      <w:r>
        <w:rPr>
          <w:rFonts w:hint="eastAsia" w:ascii="宋体" w:hAnsi="宋体" w:cs="宋体"/>
          <w:sz w:val="24"/>
          <w:szCs w:val="24"/>
        </w:rPr>
        <w:t>（5）因重大变故，采购任务取消的。</w:t>
      </w:r>
    </w:p>
    <w:p>
      <w:pPr>
        <w:pageBreakBefore w:val="0"/>
        <w:kinsoku/>
        <w:wordWrap/>
        <w:overflowPunct/>
        <w:topLinePunct w:val="0"/>
        <w:autoSpaceDE/>
        <w:autoSpaceDN/>
        <w:bidi w:val="0"/>
        <w:snapToGrid/>
        <w:spacing w:line="460" w:lineRule="exact"/>
        <w:ind w:firstLine="480" w:firstLineChars="200"/>
        <w:jc w:val="left"/>
        <w:rPr>
          <w:rFonts w:ascii="宋体" w:hAnsi="宋体" w:cs="宋体"/>
          <w:color w:val="FF0000"/>
          <w:sz w:val="24"/>
          <w:szCs w:val="24"/>
        </w:rPr>
      </w:pPr>
      <w:r>
        <w:rPr>
          <w:rFonts w:hint="eastAsia" w:ascii="宋体" w:hAnsi="宋体" w:cs="宋体"/>
          <w:sz w:val="24"/>
          <w:szCs w:val="24"/>
        </w:rPr>
        <w:t>3、重新组织磋商，采购单位将</w:t>
      </w:r>
      <w:r>
        <w:rPr>
          <w:rFonts w:hint="eastAsia" w:ascii="宋体" w:hAnsi="宋体" w:eastAsia="宋体" w:cs="宋体"/>
          <w:sz w:val="24"/>
          <w:szCs w:val="24"/>
        </w:rPr>
        <w:t>通过</w:t>
      </w:r>
      <w:r>
        <w:rPr>
          <w:rFonts w:hint="eastAsia" w:ascii="宋体" w:hAnsi="宋体" w:eastAsia="宋体" w:cs="宋体"/>
          <w:sz w:val="24"/>
          <w:szCs w:val="24"/>
          <w:lang w:eastAsia="zh-CN"/>
        </w:rPr>
        <w:t>本项目</w:t>
      </w:r>
      <w:r>
        <w:rPr>
          <w:rFonts w:hint="eastAsia" w:ascii="宋体" w:hAnsi="宋体" w:eastAsia="宋体" w:cs="宋体"/>
          <w:sz w:val="24"/>
          <w:szCs w:val="24"/>
        </w:rPr>
        <w:t>公告发布网站进行公告。</w:t>
      </w:r>
    </w:p>
    <w:p>
      <w:pPr>
        <w:pStyle w:val="3"/>
        <w:pageBreakBefore w:val="0"/>
        <w:kinsoku/>
        <w:wordWrap/>
        <w:overflowPunct/>
        <w:topLinePunct w:val="0"/>
        <w:autoSpaceDE/>
        <w:autoSpaceDN/>
        <w:bidi w:val="0"/>
        <w:snapToGrid/>
        <w:spacing w:before="120" w:beforeLines="50" w:after="120" w:afterLines="50" w:line="460" w:lineRule="exact"/>
        <w:jc w:val="center"/>
        <w:rPr>
          <w:rFonts w:ascii="宋体" w:hAnsi="宋体" w:eastAsia="宋体" w:cs="宋体"/>
          <w:sz w:val="24"/>
          <w:szCs w:val="24"/>
        </w:rPr>
      </w:pPr>
      <w:bookmarkStart w:id="76" w:name="_Toc30632"/>
      <w:r>
        <w:rPr>
          <w:rFonts w:hint="eastAsia" w:ascii="宋体" w:hAnsi="宋体" w:eastAsia="宋体" w:cs="宋体"/>
          <w:sz w:val="24"/>
          <w:szCs w:val="24"/>
        </w:rPr>
        <w:t>（七）报价响应及答疑</w:t>
      </w:r>
      <w:bookmarkEnd w:id="76"/>
    </w:p>
    <w:p>
      <w:pPr>
        <w:pageBreakBefore w:val="0"/>
        <w:kinsoku/>
        <w:wordWrap/>
        <w:overflowPunct/>
        <w:topLinePunct w:val="0"/>
        <w:autoSpaceDE/>
        <w:autoSpaceDN/>
        <w:bidi w:val="0"/>
        <w:snapToGrid/>
        <w:spacing w:line="460" w:lineRule="exact"/>
        <w:ind w:firstLine="480" w:firstLineChars="200"/>
        <w:rPr>
          <w:rFonts w:ascii="宋体" w:hAnsi="宋体"/>
          <w:sz w:val="24"/>
          <w:szCs w:val="24"/>
        </w:rPr>
      </w:pPr>
      <w:r>
        <w:rPr>
          <w:rFonts w:hint="eastAsia" w:ascii="宋体" w:hAnsi="宋体"/>
          <w:sz w:val="24"/>
          <w:szCs w:val="24"/>
        </w:rPr>
        <w:t>1、响应报价应含有所投服务所有环节所发生的一切费用。响应报价为供应商在响应文件中提出的各项支付金额的总和。只有总价而没有分项报价的响应文件无效。</w:t>
      </w:r>
    </w:p>
    <w:p>
      <w:pPr>
        <w:pageBreakBefore w:val="0"/>
        <w:kinsoku/>
        <w:wordWrap/>
        <w:overflowPunct/>
        <w:topLinePunct w:val="0"/>
        <w:autoSpaceDE/>
        <w:autoSpaceDN/>
        <w:bidi w:val="0"/>
        <w:snapToGrid/>
        <w:spacing w:line="460" w:lineRule="exact"/>
        <w:ind w:firstLine="480" w:firstLineChars="200"/>
        <w:rPr>
          <w:rFonts w:ascii="宋体" w:hAnsi="宋体"/>
          <w:sz w:val="24"/>
          <w:szCs w:val="24"/>
        </w:rPr>
      </w:pPr>
      <w:r>
        <w:rPr>
          <w:rFonts w:hint="eastAsia" w:ascii="宋体" w:hAnsi="宋体"/>
          <w:sz w:val="24"/>
          <w:szCs w:val="24"/>
        </w:rPr>
        <w:t>2、采购人设有最高限价的，供应商的响应报价不得超过最高限价。</w:t>
      </w:r>
    </w:p>
    <w:p>
      <w:pPr>
        <w:pageBreakBefore w:val="0"/>
        <w:kinsoku/>
        <w:wordWrap/>
        <w:overflowPunct/>
        <w:topLinePunct w:val="0"/>
        <w:autoSpaceDE/>
        <w:autoSpaceDN/>
        <w:bidi w:val="0"/>
        <w:snapToGrid/>
        <w:spacing w:line="460" w:lineRule="exact"/>
        <w:ind w:firstLine="480" w:firstLineChars="200"/>
        <w:rPr>
          <w:rFonts w:ascii="宋体" w:hAnsi="宋体"/>
          <w:sz w:val="24"/>
          <w:szCs w:val="24"/>
        </w:rPr>
      </w:pPr>
      <w:r>
        <w:rPr>
          <w:rFonts w:hint="eastAsia" w:ascii="宋体" w:hAnsi="宋体"/>
          <w:sz w:val="24"/>
          <w:szCs w:val="24"/>
        </w:rPr>
        <w:t>3、供应商如果对磋商文件的其他任何内容有相关疑问，可</w:t>
      </w:r>
      <w:r>
        <w:rPr>
          <w:rFonts w:hint="eastAsia" w:ascii="宋体" w:hAnsi="宋体"/>
          <w:sz w:val="24"/>
        </w:rPr>
        <w:t>以以邮件形式提出。疑问的提出与答疑获取具体步骤：供应商详见采购公告“七、其他事宜”第2条，供应商须知前附表12、13条。</w:t>
      </w:r>
    </w:p>
    <w:p>
      <w:pPr>
        <w:pageBreakBefore w:val="0"/>
        <w:kinsoku/>
        <w:wordWrap/>
        <w:overflowPunct/>
        <w:topLinePunct w:val="0"/>
        <w:autoSpaceDE/>
        <w:autoSpaceDN/>
        <w:bidi w:val="0"/>
        <w:snapToGrid/>
        <w:spacing w:line="460" w:lineRule="exact"/>
        <w:ind w:firstLine="480" w:firstLineChars="200"/>
        <w:rPr>
          <w:rFonts w:ascii="宋体" w:hAnsi="宋体" w:cs="宋体"/>
          <w:sz w:val="24"/>
          <w:szCs w:val="24"/>
        </w:rPr>
      </w:pPr>
      <w:r>
        <w:rPr>
          <w:rFonts w:hint="eastAsia" w:ascii="宋体" w:hAnsi="宋体"/>
          <w:sz w:val="24"/>
          <w:szCs w:val="24"/>
        </w:rPr>
        <w:t>4、供应商应确保其所提供的响应资料的真实性、有效性及合法性，否则，由此引起的任何责任由其自行承担。</w:t>
      </w:r>
    </w:p>
    <w:p>
      <w:pPr>
        <w:pStyle w:val="3"/>
        <w:pageBreakBefore w:val="0"/>
        <w:kinsoku/>
        <w:wordWrap/>
        <w:overflowPunct/>
        <w:topLinePunct w:val="0"/>
        <w:autoSpaceDE/>
        <w:autoSpaceDN/>
        <w:bidi w:val="0"/>
        <w:snapToGrid/>
        <w:spacing w:before="120" w:beforeLines="50" w:after="120" w:afterLines="50" w:line="460" w:lineRule="exact"/>
        <w:jc w:val="center"/>
        <w:rPr>
          <w:rFonts w:ascii="宋体" w:hAnsi="宋体" w:eastAsia="宋体" w:cs="宋体"/>
          <w:sz w:val="24"/>
          <w:szCs w:val="24"/>
        </w:rPr>
      </w:pPr>
      <w:bookmarkStart w:id="77" w:name="_Toc19999"/>
      <w:r>
        <w:rPr>
          <w:rFonts w:hint="eastAsia" w:ascii="宋体" w:hAnsi="宋体" w:eastAsia="宋体" w:cs="宋体"/>
          <w:sz w:val="24"/>
          <w:szCs w:val="24"/>
        </w:rPr>
        <w:t>（八）合同的签订</w:t>
      </w:r>
      <w:bookmarkEnd w:id="77"/>
    </w:p>
    <w:p>
      <w:pPr>
        <w:pageBreakBefore w:val="0"/>
        <w:kinsoku/>
        <w:wordWrap/>
        <w:overflowPunct/>
        <w:topLinePunct w:val="0"/>
        <w:autoSpaceDE/>
        <w:autoSpaceDN/>
        <w:bidi w:val="0"/>
        <w:snapToGrid/>
        <w:spacing w:line="460" w:lineRule="exact"/>
        <w:ind w:firstLine="480" w:firstLineChars="200"/>
        <w:rPr>
          <w:rFonts w:hint="eastAsia" w:ascii="宋体" w:hAnsi="宋体"/>
          <w:color w:val="auto"/>
          <w:sz w:val="24"/>
          <w:szCs w:val="24"/>
          <w:highlight w:val="none"/>
        </w:rPr>
      </w:pPr>
      <w:r>
        <w:rPr>
          <w:rFonts w:hint="eastAsia" w:ascii="宋体" w:hAnsi="宋体" w:cs="Arial"/>
          <w:sz w:val="24"/>
          <w:szCs w:val="24"/>
        </w:rPr>
        <w:t>1、</w:t>
      </w:r>
      <w:r>
        <w:rPr>
          <w:rFonts w:hint="eastAsia" w:ascii="宋体" w:hAnsi="宋体"/>
          <w:color w:val="auto"/>
          <w:sz w:val="24"/>
          <w:szCs w:val="24"/>
          <w:highlight w:val="none"/>
        </w:rPr>
        <w:t>采购人授权磋商小组确认成交人。</w:t>
      </w:r>
    </w:p>
    <w:p>
      <w:pPr>
        <w:pageBreakBefore w:val="0"/>
        <w:kinsoku/>
        <w:wordWrap/>
        <w:overflowPunct/>
        <w:topLinePunct w:val="0"/>
        <w:autoSpaceDE/>
        <w:autoSpaceDN/>
        <w:bidi w:val="0"/>
        <w:snapToGrid/>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质疑期</w:t>
      </w:r>
      <w:r>
        <w:rPr>
          <w:rFonts w:ascii="宋体" w:hAnsi="宋体"/>
          <w:color w:val="auto"/>
          <w:sz w:val="24"/>
          <w:szCs w:val="24"/>
          <w:highlight w:val="none"/>
        </w:rPr>
        <w:t>内如未接到供应商的质疑和投诉</w:t>
      </w:r>
      <w:r>
        <w:rPr>
          <w:rFonts w:hint="eastAsia" w:ascii="宋体" w:hAnsi="宋体"/>
          <w:color w:val="auto"/>
          <w:sz w:val="24"/>
          <w:szCs w:val="24"/>
          <w:highlight w:val="none"/>
        </w:rPr>
        <w:t>，将向成交供应商发出成交通知书。</w:t>
      </w:r>
    </w:p>
    <w:p>
      <w:pPr>
        <w:pageBreakBefore w:val="0"/>
        <w:kinsoku/>
        <w:wordWrap/>
        <w:overflowPunct/>
        <w:topLinePunct w:val="0"/>
        <w:autoSpaceDE/>
        <w:autoSpaceDN/>
        <w:bidi w:val="0"/>
        <w:snapToGrid/>
        <w:spacing w:line="460" w:lineRule="exact"/>
        <w:ind w:firstLine="480" w:firstLineChars="200"/>
      </w:pPr>
      <w:r>
        <w:rPr>
          <w:rFonts w:hint="eastAsia" w:ascii="宋体" w:hAnsi="宋体" w:cs="Arial"/>
          <w:sz w:val="24"/>
          <w:szCs w:val="24"/>
          <w:lang w:val="en-US" w:eastAsia="zh-CN"/>
        </w:rPr>
        <w:t>3、</w:t>
      </w:r>
      <w:r>
        <w:rPr>
          <w:rFonts w:hint="eastAsia" w:ascii="宋体" w:hAnsi="宋体"/>
          <w:color w:val="auto"/>
          <w:sz w:val="24"/>
          <w:szCs w:val="24"/>
          <w:highlight w:val="none"/>
          <w:lang w:val="en-US" w:eastAsia="zh-CN"/>
        </w:rPr>
        <w:t xml:space="preserve">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 </w:t>
      </w:r>
    </w:p>
    <w:p>
      <w:pPr>
        <w:pageBreakBefore w:val="0"/>
        <w:kinsoku/>
        <w:wordWrap/>
        <w:overflowPunct/>
        <w:topLinePunct w:val="0"/>
        <w:autoSpaceDE/>
        <w:autoSpaceDN/>
        <w:bidi w:val="0"/>
        <w:snapToGrid/>
        <w:spacing w:line="460" w:lineRule="exact"/>
        <w:ind w:firstLine="480" w:firstLineChars="200"/>
        <w:jc w:val="left"/>
        <w:rPr>
          <w:rFonts w:ascii="宋体" w:hAnsi="宋体" w:cs="Arial"/>
          <w:sz w:val="24"/>
          <w:szCs w:val="24"/>
        </w:rPr>
      </w:pPr>
      <w:r>
        <w:rPr>
          <w:rFonts w:hint="eastAsia" w:ascii="宋体" w:hAnsi="宋体" w:cs="Arial"/>
          <w:sz w:val="24"/>
          <w:szCs w:val="24"/>
          <w:lang w:val="en-US" w:eastAsia="zh-CN"/>
        </w:rPr>
        <w:t>4</w:t>
      </w:r>
      <w:r>
        <w:rPr>
          <w:rFonts w:hint="eastAsia" w:ascii="宋体" w:hAnsi="宋体" w:cs="Arial"/>
          <w:sz w:val="24"/>
          <w:szCs w:val="24"/>
        </w:rPr>
        <w:t>、</w:t>
      </w:r>
      <w:r>
        <w:rPr>
          <w:rFonts w:ascii="宋体" w:hAnsi="宋体" w:cs="Arial"/>
          <w:sz w:val="24"/>
          <w:szCs w:val="24"/>
        </w:rPr>
        <w:t>采购</w:t>
      </w:r>
      <w:r>
        <w:rPr>
          <w:rFonts w:hint="eastAsia" w:ascii="宋体" w:hAnsi="宋体" w:cs="Arial"/>
          <w:sz w:val="24"/>
          <w:szCs w:val="24"/>
        </w:rPr>
        <w:t>单位</w:t>
      </w:r>
      <w:r>
        <w:rPr>
          <w:rFonts w:ascii="宋体" w:hAnsi="宋体" w:cs="Arial"/>
          <w:sz w:val="24"/>
          <w:szCs w:val="24"/>
        </w:rPr>
        <w:t>在签订合同时，可以在不改变合同其他条款的前提下变更采购数量，但变更的金额不得超过成交总价的10%。</w:t>
      </w:r>
    </w:p>
    <w:p>
      <w:pPr>
        <w:pageBreakBefore w:val="0"/>
        <w:kinsoku/>
        <w:wordWrap/>
        <w:overflowPunct/>
        <w:topLinePunct w:val="0"/>
        <w:autoSpaceDE/>
        <w:autoSpaceDN/>
        <w:bidi w:val="0"/>
        <w:snapToGrid/>
        <w:spacing w:line="460" w:lineRule="exact"/>
        <w:ind w:firstLine="480" w:firstLineChars="200"/>
        <w:jc w:val="left"/>
        <w:rPr>
          <w:rFonts w:ascii="宋体" w:hAnsi="宋体" w:cs="Arial"/>
          <w:sz w:val="24"/>
          <w:szCs w:val="24"/>
        </w:rPr>
      </w:pPr>
      <w:r>
        <w:rPr>
          <w:rFonts w:hint="eastAsia" w:ascii="宋体" w:hAnsi="宋体" w:cs="Arial"/>
          <w:sz w:val="24"/>
          <w:szCs w:val="24"/>
          <w:lang w:val="en-US" w:eastAsia="zh-CN"/>
        </w:rPr>
        <w:t>5</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w:t>
      </w:r>
      <w:r>
        <w:rPr>
          <w:rFonts w:hint="eastAsia" w:ascii="宋体" w:hAnsi="宋体" w:cs="Arial"/>
          <w:sz w:val="24"/>
          <w:szCs w:val="24"/>
        </w:rPr>
        <w:t>合同，采购人可以与排在成交供应商后第一位的候选供应商签订采购合同，以此类推或重新组织采购。</w:t>
      </w:r>
    </w:p>
    <w:p>
      <w:pPr>
        <w:pageBreakBefore w:val="0"/>
        <w:kinsoku/>
        <w:wordWrap/>
        <w:overflowPunct/>
        <w:topLinePunct w:val="0"/>
        <w:autoSpaceDE/>
        <w:autoSpaceDN/>
        <w:bidi w:val="0"/>
        <w:snapToGrid/>
        <w:spacing w:line="460" w:lineRule="exact"/>
        <w:ind w:firstLine="480" w:firstLineChars="200"/>
        <w:jc w:val="left"/>
        <w:rPr>
          <w:rFonts w:ascii="宋体" w:hAnsi="宋体" w:cs="Arial"/>
          <w:sz w:val="24"/>
          <w:szCs w:val="24"/>
        </w:rPr>
      </w:pPr>
      <w:r>
        <w:rPr>
          <w:rFonts w:hint="eastAsia" w:ascii="宋体" w:hAnsi="宋体" w:cs="Arial"/>
          <w:sz w:val="24"/>
          <w:szCs w:val="24"/>
          <w:lang w:val="en-US" w:eastAsia="zh-CN"/>
        </w:rPr>
        <w:t>6</w:t>
      </w:r>
      <w:r>
        <w:rPr>
          <w:rFonts w:hint="eastAsia" w:ascii="宋体" w:hAnsi="宋体" w:cs="Arial"/>
          <w:sz w:val="24"/>
          <w:szCs w:val="24"/>
        </w:rPr>
        <w:t>、因政策变化等原因不能签订合同，造成企业合法利益受损的情形，采购人可以与供应商充分协商，给予合理补偿。</w:t>
      </w:r>
    </w:p>
    <w:p>
      <w:pPr>
        <w:pageBreakBefore w:val="0"/>
        <w:kinsoku/>
        <w:wordWrap/>
        <w:overflowPunct/>
        <w:topLinePunct w:val="0"/>
        <w:autoSpaceDE/>
        <w:autoSpaceDN/>
        <w:bidi w:val="0"/>
        <w:snapToGrid/>
        <w:spacing w:line="460" w:lineRule="exact"/>
        <w:ind w:firstLine="480" w:firstLineChars="200"/>
        <w:jc w:val="left"/>
        <w:rPr>
          <w:rFonts w:ascii="宋体" w:hAnsi="宋体" w:cs="Arial"/>
          <w:sz w:val="24"/>
          <w:szCs w:val="24"/>
        </w:rPr>
      </w:pPr>
      <w:r>
        <w:rPr>
          <w:rFonts w:hint="eastAsia" w:ascii="宋体" w:hAnsi="宋体" w:cs="Arial"/>
          <w:sz w:val="24"/>
          <w:szCs w:val="24"/>
          <w:lang w:val="en-US" w:eastAsia="zh-CN"/>
        </w:rPr>
        <w:t>7</w:t>
      </w:r>
      <w:r>
        <w:rPr>
          <w:rFonts w:hint="eastAsia" w:ascii="宋体" w:hAnsi="宋体" w:cs="Arial"/>
          <w:sz w:val="24"/>
          <w:szCs w:val="24"/>
        </w:rPr>
        <w:t>、成交供应商无正当理由不与采购人订立合同的处罚依据：</w:t>
      </w:r>
    </w:p>
    <w:p>
      <w:pPr>
        <w:pageBreakBefore w:val="0"/>
        <w:kinsoku/>
        <w:wordWrap/>
        <w:overflowPunct/>
        <w:topLinePunct w:val="0"/>
        <w:autoSpaceDE/>
        <w:autoSpaceDN/>
        <w:bidi w:val="0"/>
        <w:snapToGrid/>
        <w:spacing w:line="460" w:lineRule="exact"/>
        <w:ind w:firstLine="480" w:firstLineChars="200"/>
        <w:jc w:val="left"/>
        <w:rPr>
          <w:rFonts w:ascii="宋体" w:hAnsi="宋体" w:cs="Arial"/>
          <w:sz w:val="24"/>
          <w:szCs w:val="24"/>
        </w:rPr>
      </w:pPr>
      <w:r>
        <w:rPr>
          <w:rFonts w:hint="eastAsia" w:ascii="宋体" w:hAnsi="宋体" w:cs="Arial"/>
          <w:sz w:val="24"/>
          <w:szCs w:val="24"/>
        </w:rPr>
        <w:t>（1）《中华人民共和国政府采购法实施条例》</w:t>
      </w:r>
    </w:p>
    <w:p>
      <w:pPr>
        <w:pStyle w:val="34"/>
        <w:pageBreakBefore w:val="0"/>
        <w:kinsoku/>
        <w:wordWrap/>
        <w:overflowPunct/>
        <w:topLinePunct w:val="0"/>
        <w:autoSpaceDE/>
        <w:autoSpaceDN/>
        <w:bidi w:val="0"/>
        <w:snapToGrid/>
        <w:spacing w:after="0" w:line="460" w:lineRule="exact"/>
        <w:ind w:firstLine="480" w:firstLineChars="200"/>
      </w:pPr>
      <w:r>
        <w:rPr>
          <w:rFonts w:hint="eastAsia"/>
        </w:rPr>
        <w:t>第七十二条 供应商有下列情形之一的，依照政府采购法第七十七条第一款的规定追究法律责任：……</w:t>
      </w:r>
    </w:p>
    <w:p>
      <w:pPr>
        <w:pStyle w:val="34"/>
        <w:pageBreakBefore w:val="0"/>
        <w:kinsoku/>
        <w:wordWrap/>
        <w:overflowPunct/>
        <w:topLinePunct w:val="0"/>
        <w:autoSpaceDE/>
        <w:autoSpaceDN/>
        <w:bidi w:val="0"/>
        <w:snapToGrid/>
        <w:spacing w:after="0" w:line="460" w:lineRule="exact"/>
        <w:ind w:firstLine="480" w:firstLineChars="200"/>
      </w:pPr>
      <w:r>
        <w:rPr>
          <w:rFonts w:hint="eastAsia"/>
        </w:rPr>
        <w:t>（二）中标或者成交后无正当理由拒不与采购人签订政府采购合同；……</w:t>
      </w:r>
    </w:p>
    <w:p>
      <w:pPr>
        <w:pStyle w:val="34"/>
        <w:pageBreakBefore w:val="0"/>
        <w:kinsoku/>
        <w:wordWrap/>
        <w:overflowPunct/>
        <w:topLinePunct w:val="0"/>
        <w:autoSpaceDE/>
        <w:autoSpaceDN/>
        <w:bidi w:val="0"/>
        <w:snapToGrid/>
        <w:spacing w:after="0" w:line="460" w:lineRule="exact"/>
        <w:ind w:firstLine="480" w:firstLineChars="200"/>
      </w:pPr>
      <w:r>
        <w:rPr>
          <w:rFonts w:hint="eastAsia"/>
        </w:rPr>
        <w:t>（2）《中华人民共和国政府采购法》</w:t>
      </w:r>
    </w:p>
    <w:p>
      <w:pPr>
        <w:pStyle w:val="34"/>
        <w:pageBreakBefore w:val="0"/>
        <w:kinsoku/>
        <w:wordWrap/>
        <w:overflowPunct/>
        <w:topLinePunct w:val="0"/>
        <w:autoSpaceDE/>
        <w:autoSpaceDN/>
        <w:bidi w:val="0"/>
        <w:snapToGrid/>
        <w:spacing w:after="0" w:line="460" w:lineRule="exact"/>
        <w:ind w:firstLine="480" w:firstLineChars="200"/>
      </w:pPr>
      <w:r>
        <w:rPr>
          <w:rFonts w:hint="eastAsia"/>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34"/>
        <w:pageBreakBefore w:val="0"/>
        <w:kinsoku/>
        <w:wordWrap/>
        <w:overflowPunct/>
        <w:topLinePunct w:val="0"/>
        <w:autoSpaceDE/>
        <w:autoSpaceDN/>
        <w:bidi w:val="0"/>
        <w:snapToGrid/>
        <w:spacing w:after="0" w:line="460" w:lineRule="exact"/>
        <w:ind w:firstLine="480" w:firstLineChars="200"/>
      </w:pPr>
      <w:r>
        <w:rPr>
          <w:rFonts w:hint="eastAsia"/>
        </w:rPr>
        <w:t>（3）《政府采购非招标采购方式管理办法》（财政部令第74号）</w:t>
      </w:r>
    </w:p>
    <w:p>
      <w:pPr>
        <w:pStyle w:val="34"/>
        <w:pageBreakBefore w:val="0"/>
        <w:kinsoku/>
        <w:wordWrap/>
        <w:overflowPunct/>
        <w:topLinePunct w:val="0"/>
        <w:autoSpaceDE/>
        <w:autoSpaceDN/>
        <w:bidi w:val="0"/>
        <w:snapToGrid/>
        <w:spacing w:after="0" w:line="460" w:lineRule="exact"/>
        <w:ind w:firstLine="480" w:firstLineChars="200"/>
      </w:pPr>
      <w:r>
        <w:rPr>
          <w:rFonts w:hint="eastAsia"/>
        </w:rPr>
        <w:t>第五十四条 成交供应商有下列情形之一的，责令限期整改，情节严重的，列入不良行为记录名单，在1至3年内禁止参加政府采购活动，并予以通报：……</w:t>
      </w:r>
    </w:p>
    <w:p>
      <w:pPr>
        <w:pStyle w:val="34"/>
        <w:pageBreakBefore w:val="0"/>
        <w:kinsoku/>
        <w:wordWrap/>
        <w:overflowPunct/>
        <w:topLinePunct w:val="0"/>
        <w:autoSpaceDE/>
        <w:autoSpaceDN/>
        <w:bidi w:val="0"/>
        <w:snapToGrid/>
        <w:spacing w:after="0" w:line="460" w:lineRule="exact"/>
        <w:ind w:firstLine="480" w:firstLineChars="200"/>
        <w:rPr>
          <w:rFonts w:ascii="宋体" w:hAnsi="宋体" w:cs="宋体"/>
          <w:szCs w:val="24"/>
        </w:rPr>
      </w:pPr>
      <w:r>
        <w:rPr>
          <w:rFonts w:hint="eastAsia"/>
        </w:rPr>
        <w:t>（二）成交后无正当理由不与采购人签订合同的；……</w:t>
      </w:r>
    </w:p>
    <w:p>
      <w:pPr>
        <w:pStyle w:val="3"/>
        <w:pageBreakBefore w:val="0"/>
        <w:kinsoku/>
        <w:wordWrap/>
        <w:overflowPunct/>
        <w:topLinePunct w:val="0"/>
        <w:autoSpaceDE/>
        <w:autoSpaceDN/>
        <w:bidi w:val="0"/>
        <w:snapToGrid/>
        <w:spacing w:before="120" w:beforeLines="50" w:after="120" w:afterLines="50" w:line="460" w:lineRule="exact"/>
        <w:jc w:val="center"/>
        <w:rPr>
          <w:rFonts w:ascii="宋体" w:hAnsi="宋体" w:eastAsia="宋体" w:cs="宋体"/>
          <w:sz w:val="24"/>
          <w:szCs w:val="24"/>
        </w:rPr>
      </w:pPr>
      <w:bookmarkStart w:id="78" w:name="_Toc1832"/>
      <w:r>
        <w:rPr>
          <w:rFonts w:hint="eastAsia" w:ascii="宋体" w:hAnsi="宋体" w:eastAsia="宋体" w:cs="宋体"/>
          <w:sz w:val="24"/>
          <w:szCs w:val="24"/>
        </w:rPr>
        <w:t>（九）澄清及变更</w:t>
      </w:r>
      <w:bookmarkEnd w:id="78"/>
    </w:p>
    <w:p>
      <w:pPr>
        <w:pageBreakBefore w:val="0"/>
        <w:kinsoku/>
        <w:wordWrap/>
        <w:overflowPunct/>
        <w:topLinePunct w:val="0"/>
        <w:autoSpaceDE/>
        <w:autoSpaceDN/>
        <w:bidi w:val="0"/>
        <w:snapToGrid/>
        <w:spacing w:line="460" w:lineRule="exact"/>
        <w:ind w:firstLine="480" w:firstLineChars="200"/>
      </w:pPr>
      <w:r>
        <w:rPr>
          <w:rFonts w:hint="eastAsia" w:ascii="宋体" w:hAnsi="宋体"/>
          <w:sz w:val="24"/>
          <w:szCs w:val="24"/>
        </w:rPr>
        <w:t>磋商文件如有澄清及变更，将以网上公告形式发布，请供应商及时关注。</w:t>
      </w:r>
    </w:p>
    <w:p>
      <w:pPr>
        <w:pStyle w:val="3"/>
        <w:pageBreakBefore w:val="0"/>
        <w:kinsoku/>
        <w:wordWrap/>
        <w:overflowPunct/>
        <w:topLinePunct w:val="0"/>
        <w:autoSpaceDE/>
        <w:autoSpaceDN/>
        <w:bidi w:val="0"/>
        <w:snapToGrid/>
        <w:spacing w:before="120" w:beforeLines="50" w:after="120" w:afterLines="50" w:line="460" w:lineRule="exact"/>
        <w:jc w:val="center"/>
        <w:rPr>
          <w:rFonts w:ascii="宋体" w:hAnsi="宋体" w:eastAsia="宋体" w:cs="宋体"/>
          <w:sz w:val="24"/>
          <w:szCs w:val="24"/>
          <w:highlight w:val="none"/>
        </w:rPr>
      </w:pPr>
      <w:bookmarkStart w:id="79" w:name="_Toc18928"/>
      <w:r>
        <w:rPr>
          <w:rFonts w:hint="eastAsia" w:ascii="宋体" w:hAnsi="宋体" w:eastAsia="宋体" w:cs="宋体"/>
          <w:sz w:val="24"/>
          <w:szCs w:val="24"/>
          <w:highlight w:val="none"/>
        </w:rPr>
        <w:t>（十）验收</w:t>
      </w:r>
      <w:bookmarkEnd w:id="79"/>
      <w:r>
        <w:rPr>
          <w:rFonts w:hint="eastAsia" w:ascii="宋体" w:hAnsi="宋体" w:eastAsia="宋体" w:cs="宋体"/>
          <w:sz w:val="24"/>
          <w:szCs w:val="24"/>
          <w:highlight w:val="none"/>
        </w:rPr>
        <w:t>与验收</w:t>
      </w:r>
    </w:p>
    <w:p>
      <w:pPr>
        <w:pageBreakBefore w:val="0"/>
        <w:kinsoku/>
        <w:wordWrap/>
        <w:overflowPunct/>
        <w:topLinePunct w:val="0"/>
        <w:autoSpaceDE/>
        <w:autoSpaceDN/>
        <w:bidi w:val="0"/>
        <w:snapToGrid/>
        <w:spacing w:line="460" w:lineRule="exact"/>
        <w:ind w:firstLine="480" w:firstLineChars="200"/>
        <w:rPr>
          <w:rFonts w:ascii="宋体" w:hAnsi="宋体"/>
          <w:sz w:val="24"/>
          <w:szCs w:val="24"/>
        </w:rPr>
      </w:pPr>
      <w:r>
        <w:rPr>
          <w:rFonts w:hint="eastAsia" w:ascii="宋体" w:hAnsi="宋体"/>
          <w:sz w:val="24"/>
          <w:szCs w:val="24"/>
        </w:rPr>
        <w:t>1、采购人应当在项目完成且收到供应商验收申请后 5 个工作日内组织开展履约验收。</w:t>
      </w:r>
    </w:p>
    <w:p>
      <w:pPr>
        <w:pageBreakBefore w:val="0"/>
        <w:kinsoku/>
        <w:wordWrap/>
        <w:overflowPunct/>
        <w:topLinePunct w:val="0"/>
        <w:autoSpaceDE/>
        <w:autoSpaceDN/>
        <w:bidi w:val="0"/>
        <w:snapToGrid/>
        <w:spacing w:line="46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pageBreakBefore w:val="0"/>
        <w:kinsoku/>
        <w:wordWrap/>
        <w:overflowPunct/>
        <w:topLinePunct w:val="0"/>
        <w:autoSpaceDE/>
        <w:autoSpaceDN/>
        <w:bidi w:val="0"/>
        <w:snapToGrid/>
        <w:spacing w:line="46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pPr>
        <w:pStyle w:val="34"/>
        <w:pageBreakBefore w:val="0"/>
        <w:kinsoku/>
        <w:wordWrap/>
        <w:overflowPunct/>
        <w:topLinePunct w:val="0"/>
        <w:autoSpaceDE/>
        <w:autoSpaceDN/>
        <w:bidi w:val="0"/>
        <w:snapToGrid/>
        <w:spacing w:line="460" w:lineRule="exact"/>
        <w:rPr>
          <w:rFonts w:ascii="宋体" w:hAnsi="宋体"/>
          <w:szCs w:val="24"/>
        </w:rPr>
      </w:pPr>
      <w:r>
        <w:rPr>
          <w:rFonts w:hint="eastAsia"/>
        </w:rPr>
        <w:t>4、对于符合支付条件的项目，应</w:t>
      </w:r>
      <w:r>
        <w:rPr>
          <w:rFonts w:hint="eastAsia" w:ascii="宋体" w:hAnsi="宋体"/>
          <w:szCs w:val="24"/>
        </w:rPr>
        <w:t>在收到发票后7个工作日内将资金支付到合同约定的供应商账户，不得以进行审计作为支付供应商款项的条件。采购人不得以机构变动、人员更替、政策调整、履行内部付款流程等为由延迟付款。</w:t>
      </w:r>
    </w:p>
    <w:p>
      <w:pPr>
        <w:pStyle w:val="3"/>
        <w:pageBreakBefore w:val="0"/>
        <w:kinsoku/>
        <w:wordWrap/>
        <w:overflowPunct/>
        <w:topLinePunct w:val="0"/>
        <w:autoSpaceDE/>
        <w:autoSpaceDN/>
        <w:bidi w:val="0"/>
        <w:snapToGrid/>
        <w:spacing w:before="120" w:beforeLines="50" w:after="120" w:afterLines="50" w:line="460" w:lineRule="exact"/>
        <w:jc w:val="center"/>
        <w:rPr>
          <w:rFonts w:ascii="宋体" w:hAnsi="宋体" w:eastAsia="宋体" w:cs="宋体"/>
          <w:sz w:val="24"/>
          <w:szCs w:val="24"/>
        </w:rPr>
      </w:pPr>
      <w:bookmarkStart w:id="80" w:name="_Toc3680"/>
      <w:r>
        <w:rPr>
          <w:rFonts w:hint="eastAsia" w:ascii="宋体" w:hAnsi="宋体" w:eastAsia="宋体" w:cs="宋体"/>
          <w:sz w:val="24"/>
          <w:szCs w:val="24"/>
        </w:rPr>
        <w:t>（十一）质疑</w:t>
      </w:r>
      <w:bookmarkEnd w:id="80"/>
    </w:p>
    <w:p>
      <w:pPr>
        <w:pageBreakBefore w:val="0"/>
        <w:kinsoku/>
        <w:wordWrap/>
        <w:overflowPunct/>
        <w:topLinePunct w:val="0"/>
        <w:autoSpaceDE/>
        <w:autoSpaceDN/>
        <w:bidi w:val="0"/>
        <w:snapToGrid/>
        <w:spacing w:line="460" w:lineRule="exact"/>
        <w:ind w:firstLine="480" w:firstLineChars="200"/>
        <w:rPr>
          <w:rFonts w:ascii="宋体" w:hAnsi="宋体"/>
          <w:bCs/>
          <w:sz w:val="24"/>
        </w:rPr>
      </w:pPr>
      <w:r>
        <w:rPr>
          <w:rFonts w:hint="eastAsia" w:ascii="宋体" w:hAnsi="宋体"/>
          <w:bCs/>
          <w:sz w:val="24"/>
        </w:rPr>
        <w:t>1、质疑人认为磋商结果使自己的权益受到损害的，可以向采购人及采购代理机构提出质疑。质疑实行实名制，应当有具体的事项及根据，不得进行虚假、恶意质疑，扰乱公共资源交易活动的正常工作秩序。</w:t>
      </w:r>
    </w:p>
    <w:p>
      <w:pPr>
        <w:pageBreakBefore w:val="0"/>
        <w:kinsoku/>
        <w:wordWrap/>
        <w:overflowPunct/>
        <w:topLinePunct w:val="0"/>
        <w:autoSpaceDE/>
        <w:autoSpaceDN/>
        <w:bidi w:val="0"/>
        <w:snapToGrid/>
        <w:spacing w:line="460" w:lineRule="exact"/>
        <w:ind w:firstLine="480" w:firstLineChars="200"/>
        <w:rPr>
          <w:rFonts w:ascii="宋体" w:hAnsi="宋体"/>
          <w:bCs/>
          <w:sz w:val="24"/>
        </w:rPr>
      </w:pPr>
      <w:r>
        <w:rPr>
          <w:rFonts w:hint="eastAsia" w:ascii="宋体" w:hAnsi="宋体"/>
          <w:bCs/>
          <w:sz w:val="24"/>
        </w:rPr>
        <w:t xml:space="preserve">2、质疑应在规定时限内提出： </w:t>
      </w:r>
    </w:p>
    <w:p>
      <w:pPr>
        <w:pageBreakBefore w:val="0"/>
        <w:kinsoku/>
        <w:wordWrap/>
        <w:overflowPunct/>
        <w:topLinePunct w:val="0"/>
        <w:autoSpaceDE/>
        <w:autoSpaceDN/>
        <w:bidi w:val="0"/>
        <w:snapToGrid/>
        <w:spacing w:line="460" w:lineRule="exact"/>
        <w:ind w:firstLine="480" w:firstLineChars="200"/>
        <w:rPr>
          <w:rFonts w:ascii="宋体" w:hAnsi="宋体"/>
          <w:bCs/>
          <w:sz w:val="24"/>
        </w:rPr>
      </w:pPr>
      <w:r>
        <w:rPr>
          <w:rFonts w:hint="eastAsia" w:ascii="宋体" w:hAnsi="宋体"/>
          <w:bCs/>
          <w:sz w:val="24"/>
        </w:rPr>
        <w:t>对政府采购中标结果的质疑，应在中标结果公布之日起七个工作日内提出。</w:t>
      </w:r>
    </w:p>
    <w:p>
      <w:pPr>
        <w:pageBreakBefore w:val="0"/>
        <w:kinsoku/>
        <w:wordWrap/>
        <w:overflowPunct/>
        <w:topLinePunct w:val="0"/>
        <w:autoSpaceDE/>
        <w:autoSpaceDN/>
        <w:bidi w:val="0"/>
        <w:snapToGrid/>
        <w:spacing w:line="46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pPr>
        <w:pageBreakBefore w:val="0"/>
        <w:widowControl/>
        <w:kinsoku/>
        <w:wordWrap/>
        <w:overflowPunct/>
        <w:topLinePunct w:val="0"/>
        <w:autoSpaceDE/>
        <w:autoSpaceDN/>
        <w:bidi w:val="0"/>
        <w:snapToGrid/>
        <w:spacing w:line="460" w:lineRule="exact"/>
        <w:ind w:firstLine="480" w:firstLineChars="200"/>
        <w:jc w:val="left"/>
        <w:rPr>
          <w:rFonts w:ascii="宋体" w:hAnsi="宋体"/>
          <w:bCs/>
          <w:sz w:val="24"/>
        </w:rPr>
      </w:pPr>
      <w:r>
        <w:rPr>
          <w:rFonts w:hint="eastAsia" w:ascii="宋体" w:hAnsi="宋体"/>
          <w:bCs/>
          <w:sz w:val="24"/>
        </w:rPr>
        <w:t>3.1质疑人的名称、地址、有效联系方式；</w:t>
      </w:r>
    </w:p>
    <w:p>
      <w:pPr>
        <w:pageBreakBefore w:val="0"/>
        <w:widowControl/>
        <w:kinsoku/>
        <w:wordWrap/>
        <w:overflowPunct/>
        <w:topLinePunct w:val="0"/>
        <w:autoSpaceDE/>
        <w:autoSpaceDN/>
        <w:bidi w:val="0"/>
        <w:snapToGrid/>
        <w:spacing w:line="460" w:lineRule="exact"/>
        <w:ind w:firstLine="480" w:firstLineChars="200"/>
        <w:jc w:val="left"/>
        <w:rPr>
          <w:rFonts w:ascii="宋体" w:hAnsi="宋体"/>
          <w:bCs/>
          <w:sz w:val="24"/>
        </w:rPr>
      </w:pPr>
      <w:r>
        <w:rPr>
          <w:rFonts w:hint="eastAsia" w:ascii="宋体" w:hAnsi="宋体"/>
          <w:bCs/>
          <w:sz w:val="24"/>
        </w:rPr>
        <w:t>3.2项目名称、项目编号、包别号（如有）；</w:t>
      </w:r>
    </w:p>
    <w:p>
      <w:pPr>
        <w:pageBreakBefore w:val="0"/>
        <w:widowControl/>
        <w:kinsoku/>
        <w:wordWrap/>
        <w:overflowPunct/>
        <w:topLinePunct w:val="0"/>
        <w:autoSpaceDE/>
        <w:autoSpaceDN/>
        <w:bidi w:val="0"/>
        <w:snapToGrid/>
        <w:spacing w:line="460" w:lineRule="exact"/>
        <w:ind w:firstLine="480" w:firstLineChars="200"/>
        <w:jc w:val="left"/>
        <w:rPr>
          <w:rFonts w:ascii="宋体" w:hAnsi="宋体"/>
          <w:bCs/>
          <w:sz w:val="24"/>
        </w:rPr>
      </w:pPr>
      <w:r>
        <w:rPr>
          <w:rFonts w:hint="eastAsia" w:ascii="宋体" w:hAnsi="宋体"/>
          <w:bCs/>
          <w:sz w:val="24"/>
        </w:rPr>
        <w:t>3.3被质疑人名称；</w:t>
      </w:r>
    </w:p>
    <w:p>
      <w:pPr>
        <w:pageBreakBefore w:val="0"/>
        <w:widowControl/>
        <w:kinsoku/>
        <w:wordWrap/>
        <w:overflowPunct/>
        <w:topLinePunct w:val="0"/>
        <w:autoSpaceDE/>
        <w:autoSpaceDN/>
        <w:bidi w:val="0"/>
        <w:snapToGrid/>
        <w:spacing w:line="460" w:lineRule="exact"/>
        <w:ind w:firstLine="480" w:firstLineChars="200"/>
        <w:jc w:val="left"/>
        <w:rPr>
          <w:rFonts w:ascii="宋体" w:hAnsi="宋体"/>
          <w:bCs/>
          <w:sz w:val="24"/>
        </w:rPr>
      </w:pPr>
      <w:r>
        <w:rPr>
          <w:rFonts w:hint="eastAsia" w:ascii="宋体" w:hAnsi="宋体"/>
          <w:bCs/>
          <w:sz w:val="24"/>
        </w:rPr>
        <w:t>3.4具体的质疑事项、基本事实及必要的证明材料；</w:t>
      </w:r>
    </w:p>
    <w:p>
      <w:pPr>
        <w:pageBreakBefore w:val="0"/>
        <w:widowControl/>
        <w:kinsoku/>
        <w:wordWrap/>
        <w:overflowPunct/>
        <w:topLinePunct w:val="0"/>
        <w:autoSpaceDE/>
        <w:autoSpaceDN/>
        <w:bidi w:val="0"/>
        <w:snapToGrid/>
        <w:spacing w:line="460" w:lineRule="exact"/>
        <w:ind w:firstLine="480" w:firstLineChars="200"/>
        <w:jc w:val="left"/>
        <w:rPr>
          <w:rFonts w:ascii="宋体" w:hAnsi="宋体"/>
          <w:bCs/>
          <w:sz w:val="24"/>
        </w:rPr>
      </w:pPr>
      <w:r>
        <w:rPr>
          <w:rFonts w:hint="eastAsia" w:ascii="宋体" w:hAnsi="宋体"/>
          <w:bCs/>
          <w:sz w:val="24"/>
        </w:rPr>
        <w:t>3.5明确的请求及主张；</w:t>
      </w:r>
    </w:p>
    <w:p>
      <w:pPr>
        <w:pageBreakBefore w:val="0"/>
        <w:widowControl/>
        <w:kinsoku/>
        <w:wordWrap/>
        <w:overflowPunct/>
        <w:topLinePunct w:val="0"/>
        <w:autoSpaceDE/>
        <w:autoSpaceDN/>
        <w:bidi w:val="0"/>
        <w:snapToGrid/>
        <w:spacing w:line="460" w:lineRule="exact"/>
        <w:ind w:firstLine="480" w:firstLineChars="200"/>
        <w:jc w:val="left"/>
        <w:rPr>
          <w:rFonts w:ascii="宋体" w:hAnsi="宋体"/>
          <w:bCs/>
          <w:sz w:val="24"/>
        </w:rPr>
      </w:pPr>
      <w:r>
        <w:rPr>
          <w:rFonts w:hint="eastAsia" w:ascii="宋体" w:hAnsi="宋体"/>
          <w:bCs/>
          <w:sz w:val="24"/>
        </w:rPr>
        <w:t>3.6提起质疑的日期。</w:t>
      </w:r>
    </w:p>
    <w:p>
      <w:pPr>
        <w:pageBreakBefore w:val="0"/>
        <w:widowControl/>
        <w:kinsoku/>
        <w:wordWrap/>
        <w:overflowPunct/>
        <w:topLinePunct w:val="0"/>
        <w:autoSpaceDE/>
        <w:autoSpaceDN/>
        <w:bidi w:val="0"/>
        <w:snapToGrid/>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pPr>
        <w:pageBreakBefore w:val="0"/>
        <w:widowControl/>
        <w:kinsoku/>
        <w:wordWrap/>
        <w:overflowPunct/>
        <w:topLinePunct w:val="0"/>
        <w:autoSpaceDE/>
        <w:autoSpaceDN/>
        <w:bidi w:val="0"/>
        <w:snapToGrid/>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pPr>
        <w:pageBreakBefore w:val="0"/>
        <w:kinsoku/>
        <w:wordWrap/>
        <w:overflowPunct/>
        <w:topLinePunct w:val="0"/>
        <w:autoSpaceDE/>
        <w:autoSpaceDN/>
        <w:bidi w:val="0"/>
        <w:snapToGrid/>
        <w:spacing w:line="460" w:lineRule="exact"/>
        <w:ind w:firstLine="480" w:firstLineChars="200"/>
        <w:rPr>
          <w:rFonts w:ascii="宋体" w:hAnsi="宋体"/>
          <w:bCs/>
          <w:sz w:val="24"/>
          <w:szCs w:val="24"/>
        </w:rPr>
      </w:pPr>
      <w:r>
        <w:rPr>
          <w:rFonts w:hint="eastAsia" w:ascii="宋体" w:hAnsi="宋体"/>
          <w:bCs/>
          <w:sz w:val="24"/>
          <w:szCs w:val="24"/>
        </w:rPr>
        <w:t>4、有下列情形之一的，不予受理：</w:t>
      </w:r>
    </w:p>
    <w:p>
      <w:pPr>
        <w:pageBreakBefore w:val="0"/>
        <w:widowControl/>
        <w:kinsoku/>
        <w:wordWrap/>
        <w:overflowPunct/>
        <w:topLinePunct w:val="0"/>
        <w:autoSpaceDE/>
        <w:autoSpaceDN/>
        <w:bidi w:val="0"/>
        <w:snapToGrid/>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pPr>
        <w:pageBreakBefore w:val="0"/>
        <w:widowControl/>
        <w:kinsoku/>
        <w:wordWrap/>
        <w:overflowPunct/>
        <w:topLinePunct w:val="0"/>
        <w:autoSpaceDE/>
        <w:autoSpaceDN/>
        <w:bidi w:val="0"/>
        <w:snapToGrid/>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pPr>
        <w:pageBreakBefore w:val="0"/>
        <w:widowControl/>
        <w:kinsoku/>
        <w:wordWrap/>
        <w:overflowPunct/>
        <w:topLinePunct w:val="0"/>
        <w:autoSpaceDE/>
        <w:autoSpaceDN/>
        <w:bidi w:val="0"/>
        <w:snapToGrid/>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pPr>
        <w:pageBreakBefore w:val="0"/>
        <w:widowControl/>
        <w:kinsoku/>
        <w:wordWrap/>
        <w:overflowPunct/>
        <w:topLinePunct w:val="0"/>
        <w:autoSpaceDE/>
        <w:autoSpaceDN/>
        <w:bidi w:val="0"/>
        <w:snapToGrid/>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pPr>
        <w:pageBreakBefore w:val="0"/>
        <w:widowControl/>
        <w:kinsoku/>
        <w:wordWrap/>
        <w:overflowPunct/>
        <w:topLinePunct w:val="0"/>
        <w:autoSpaceDE/>
        <w:autoSpaceDN/>
        <w:bidi w:val="0"/>
        <w:snapToGrid/>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4.5对其他投标供应商的投标文件详细内容质疑，无法提供合法来源渠道的；</w:t>
      </w:r>
    </w:p>
    <w:p>
      <w:pPr>
        <w:pageBreakBefore w:val="0"/>
        <w:widowControl/>
        <w:kinsoku/>
        <w:wordWrap/>
        <w:overflowPunct/>
        <w:topLinePunct w:val="0"/>
        <w:autoSpaceDE/>
        <w:autoSpaceDN/>
        <w:bidi w:val="0"/>
        <w:snapToGrid/>
        <w:spacing w:line="460" w:lineRule="exact"/>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pPr>
        <w:pageBreakBefore w:val="0"/>
        <w:kinsoku/>
        <w:wordWrap/>
        <w:overflowPunct/>
        <w:topLinePunct w:val="0"/>
        <w:autoSpaceDE/>
        <w:autoSpaceDN/>
        <w:bidi w:val="0"/>
        <w:snapToGrid/>
        <w:spacing w:line="460" w:lineRule="exact"/>
        <w:ind w:firstLine="480" w:firstLineChars="200"/>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pPr>
        <w:pageBreakBefore w:val="0"/>
        <w:kinsoku/>
        <w:wordWrap/>
        <w:overflowPunct/>
        <w:topLinePunct w:val="0"/>
        <w:autoSpaceDE/>
        <w:autoSpaceDN/>
        <w:bidi w:val="0"/>
        <w:snapToGrid/>
        <w:spacing w:line="46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pPr>
        <w:pageBreakBefore w:val="0"/>
        <w:kinsoku/>
        <w:wordWrap/>
        <w:overflowPunct/>
        <w:topLinePunct w:val="0"/>
        <w:autoSpaceDE/>
        <w:autoSpaceDN/>
        <w:bidi w:val="0"/>
        <w:snapToGrid/>
        <w:spacing w:line="460" w:lineRule="exact"/>
        <w:ind w:firstLine="480" w:firstLineChars="200"/>
        <w:rPr>
          <w:rFonts w:ascii="宋体" w:hAnsi="宋体"/>
          <w:bCs/>
          <w:sz w:val="24"/>
        </w:rPr>
      </w:pPr>
      <w:r>
        <w:rPr>
          <w:rFonts w:hint="eastAsia" w:ascii="宋体" w:hAnsi="宋体"/>
          <w:bCs/>
          <w:sz w:val="24"/>
        </w:rPr>
        <w:t>质疑人对质疑答复不满意或采购人及采购代理机构未在规定时间内做出答复的，可以在规定期限内向六安市公共资源交易监督管理局提起投诉。</w:t>
      </w:r>
    </w:p>
    <w:p>
      <w:pPr>
        <w:pageBreakBefore w:val="0"/>
        <w:kinsoku/>
        <w:wordWrap/>
        <w:overflowPunct/>
        <w:topLinePunct w:val="0"/>
        <w:autoSpaceDE/>
        <w:autoSpaceDN/>
        <w:bidi w:val="0"/>
        <w:snapToGrid/>
        <w:spacing w:line="460" w:lineRule="exact"/>
        <w:ind w:firstLine="480" w:firstLineChars="200"/>
        <w:rPr>
          <w:rFonts w:ascii="宋体" w:hAnsi="宋体"/>
          <w:bCs/>
          <w:sz w:val="24"/>
        </w:rPr>
      </w:pPr>
      <w:r>
        <w:rPr>
          <w:rFonts w:hint="eastAsia" w:ascii="宋体" w:hAnsi="宋体"/>
          <w:bCs/>
          <w:sz w:val="24"/>
        </w:rPr>
        <w:t>质疑人应在答复期满后十五个工作日内提起投诉。</w:t>
      </w:r>
    </w:p>
    <w:p>
      <w:pPr>
        <w:pStyle w:val="3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Times New Roman"/>
          <w:bCs/>
          <w:kern w:val="2"/>
          <w:sz w:val="24"/>
          <w:szCs w:val="24"/>
          <w:lang w:val="en-US" w:eastAsia="zh-CN" w:bidi="ar-SA"/>
        </w:rPr>
      </w:pPr>
      <w:r>
        <w:rPr>
          <w:rFonts w:hint="eastAsia" w:ascii="宋体" w:hAnsi="宋体"/>
          <w:bCs/>
          <w:sz w:val="24"/>
        </w:rPr>
        <w:t>7、</w:t>
      </w:r>
      <w:bookmarkStart w:id="81" w:name="_Toc216158630"/>
      <w:r>
        <w:rPr>
          <w:rFonts w:hint="eastAsia" w:ascii="宋体" w:hAnsi="宋体" w:eastAsia="宋体" w:cs="Times New Roman"/>
          <w:bCs/>
          <w:kern w:val="2"/>
          <w:sz w:val="24"/>
          <w:szCs w:val="24"/>
          <w:lang w:val="en-US" w:eastAsia="zh-CN" w:bidi="ar-SA"/>
        </w:rPr>
        <w:t>投诉人在全国范围12个月内三次以上投诉查无实据的，由财政部门列入不良行为记录名单。</w:t>
      </w:r>
    </w:p>
    <w:p>
      <w:pPr>
        <w:pStyle w:val="3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投诉人有下列行为之一的，属于虚假、恶意投诉，由财政部门列入不良行为记录名单，禁止其1至3年内参加政府采购活动：</w:t>
      </w:r>
    </w:p>
    <w:p>
      <w:pPr>
        <w:pStyle w:val="3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（一）捏造事实;</w:t>
      </w:r>
    </w:p>
    <w:p>
      <w:pPr>
        <w:pStyle w:val="3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（二）提供虚假材料;</w:t>
      </w:r>
    </w:p>
    <w:p>
      <w:pPr>
        <w:pStyle w:val="3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bCs/>
          <w:sz w:val="24"/>
          <w:szCs w:val="24"/>
        </w:rPr>
      </w:pPr>
      <w:r>
        <w:rPr>
          <w:rFonts w:hint="eastAsia" w:ascii="宋体" w:hAnsi="宋体" w:eastAsia="宋体" w:cs="Times New Roman"/>
          <w:bCs/>
          <w:kern w:val="2"/>
          <w:sz w:val="24"/>
          <w:szCs w:val="24"/>
          <w:lang w:val="en-US" w:eastAsia="zh-CN" w:bidi="ar-SA"/>
        </w:rPr>
        <w:t>（三）以非法手段取得证明材料。证据来源的合法性存在明显疑问，投诉人无法证明其取得方式合法的，视为以非法手段取得证明材料。</w:t>
      </w:r>
    </w:p>
    <w:p>
      <w:pPr>
        <w:spacing w:line="520" w:lineRule="exact"/>
        <w:ind w:firstLine="560" w:firstLineChars="200"/>
        <w:rPr>
          <w:rFonts w:ascii="宋体" w:hAnsi="宋体" w:cs="宋体"/>
          <w:sz w:val="28"/>
          <w:szCs w:val="28"/>
        </w:rPr>
      </w:pPr>
    </w:p>
    <w:p>
      <w:pPr>
        <w:pStyle w:val="3"/>
        <w:spacing w:before="0" w:after="0" w:line="560" w:lineRule="exact"/>
        <w:jc w:val="center"/>
        <w:rPr>
          <w:rFonts w:ascii="宋体" w:hAnsi="宋体" w:eastAsia="宋体" w:cs="宋体"/>
          <w:sz w:val="28"/>
          <w:szCs w:val="28"/>
        </w:rPr>
      </w:pPr>
      <w:bookmarkStart w:id="82" w:name="_Toc22378"/>
    </w:p>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
        <w:spacing w:before="0" w:after="0" w:line="560" w:lineRule="exact"/>
        <w:jc w:val="center"/>
        <w:rPr>
          <w:rFonts w:ascii="宋体" w:hAnsi="宋体" w:eastAsia="宋体" w:cs="宋体"/>
          <w:sz w:val="28"/>
          <w:szCs w:val="28"/>
        </w:rPr>
      </w:pPr>
      <w:r>
        <w:rPr>
          <w:rFonts w:hint="eastAsia" w:ascii="宋体" w:hAnsi="宋体" w:eastAsia="宋体" w:cs="宋体"/>
          <w:sz w:val="28"/>
          <w:szCs w:val="28"/>
        </w:rPr>
        <w:t>二、采购合同</w:t>
      </w:r>
      <w:bookmarkEnd w:id="82"/>
    </w:p>
    <w:bookmarkEnd w:id="81"/>
    <w:p>
      <w:pPr>
        <w:spacing w:line="253" w:lineRule="auto"/>
      </w:pPr>
      <w:bookmarkStart w:id="83" w:name="_Toc363199273"/>
    </w:p>
    <w:p>
      <w:pPr>
        <w:spacing w:before="101" w:line="224" w:lineRule="auto"/>
        <w:jc w:val="center"/>
        <w:rPr>
          <w:rFonts w:hint="eastAsia" w:ascii="宋体" w:hAnsi="宋体" w:eastAsia="宋体" w:cs="宋体"/>
          <w:color w:val="000000"/>
          <w:sz w:val="28"/>
          <w:szCs w:val="28"/>
          <w:lang w:eastAsia="zh-CN"/>
        </w:rPr>
      </w:pPr>
      <w:r>
        <w:rPr>
          <w:rFonts w:hint="eastAsia" w:ascii="宋体" w:hAnsi="宋体" w:cs="宋体"/>
          <w:color w:val="000000"/>
          <w:sz w:val="28"/>
          <w:szCs w:val="28"/>
        </w:rPr>
        <w:t>合  同</w:t>
      </w:r>
      <w:r>
        <w:rPr>
          <w:rFonts w:hint="eastAsia" w:ascii="宋体" w:hAnsi="宋体" w:cs="宋体"/>
          <w:color w:val="000000"/>
          <w:sz w:val="28"/>
          <w:szCs w:val="28"/>
          <w:lang w:eastAsia="zh-CN"/>
        </w:rPr>
        <w:t>（</w:t>
      </w:r>
      <w:r>
        <w:rPr>
          <w:rFonts w:ascii="宋体" w:hAnsi="宋体" w:cs="宋体"/>
          <w:spacing w:val="10"/>
          <w:sz w:val="28"/>
          <w:szCs w:val="28"/>
        </w:rPr>
        <w:t>参考范本</w:t>
      </w:r>
      <w:r>
        <w:rPr>
          <w:rFonts w:hint="eastAsia" w:ascii="宋体" w:hAnsi="宋体" w:cs="宋体"/>
          <w:color w:val="000000"/>
          <w:sz w:val="28"/>
          <w:szCs w:val="28"/>
          <w:lang w:eastAsia="zh-CN"/>
        </w:rPr>
        <w:t>）</w:t>
      </w:r>
    </w:p>
    <w:p>
      <w:pPr>
        <w:rPr>
          <w:rFonts w:hint="eastAsia"/>
          <w:lang w:val="zh-CN"/>
        </w:rPr>
      </w:pPr>
    </w:p>
    <w:p>
      <w:pPr>
        <w:rPr>
          <w:rFonts w:hint="eastAsia"/>
          <w:sz w:val="28"/>
          <w:szCs w:val="28"/>
          <w:highlight w:val="none"/>
        </w:rPr>
      </w:pPr>
      <w:r>
        <w:rPr>
          <w:rFonts w:hint="eastAsia"/>
          <w:sz w:val="28"/>
          <w:szCs w:val="28"/>
          <w:highlight w:val="none"/>
        </w:rPr>
        <w:t>工商监管标志                            合同编号：</w:t>
      </w: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sz w:val="52"/>
          <w:szCs w:val="52"/>
          <w:highlight w:val="none"/>
        </w:rPr>
      </w:pPr>
    </w:p>
    <w:p>
      <w:pPr>
        <w:jc w:val="center"/>
        <w:rPr>
          <w:rFonts w:hint="eastAsia" w:ascii="方正大标宋简体" w:eastAsia="方正大标宋简体"/>
          <w:spacing w:val="20"/>
          <w:sz w:val="52"/>
          <w:szCs w:val="52"/>
          <w:highlight w:val="none"/>
        </w:rPr>
      </w:pPr>
      <w:r>
        <w:rPr>
          <w:rFonts w:hint="eastAsia" w:ascii="方正大标宋简体" w:eastAsia="方正大标宋简体"/>
          <w:spacing w:val="20"/>
          <w:sz w:val="52"/>
          <w:szCs w:val="52"/>
          <w:highlight w:val="none"/>
        </w:rPr>
        <w:t>前期物业服务合同</w:t>
      </w:r>
    </w:p>
    <w:p>
      <w:pPr>
        <w:jc w:val="center"/>
        <w:rPr>
          <w:rFonts w:hint="eastAsia"/>
          <w:sz w:val="32"/>
          <w:szCs w:val="32"/>
          <w:highlight w:val="none"/>
        </w:rPr>
      </w:pPr>
    </w:p>
    <w:p>
      <w:pPr>
        <w:jc w:val="center"/>
        <w:rPr>
          <w:rFonts w:hint="eastAsia"/>
          <w:sz w:val="32"/>
          <w:szCs w:val="32"/>
          <w:highlight w:val="none"/>
        </w:rPr>
      </w:pPr>
    </w:p>
    <w:p>
      <w:pPr>
        <w:jc w:val="center"/>
        <w:rPr>
          <w:rFonts w:hint="eastAsia"/>
          <w:sz w:val="32"/>
          <w:szCs w:val="32"/>
          <w:highlight w:val="none"/>
        </w:rPr>
      </w:pPr>
    </w:p>
    <w:p>
      <w:pPr>
        <w:jc w:val="center"/>
        <w:rPr>
          <w:rFonts w:hint="eastAsia"/>
          <w:sz w:val="32"/>
          <w:szCs w:val="32"/>
          <w:highlight w:val="none"/>
        </w:rPr>
      </w:pPr>
    </w:p>
    <w:p>
      <w:pPr>
        <w:jc w:val="center"/>
        <w:rPr>
          <w:rFonts w:hint="eastAsia"/>
          <w:sz w:val="32"/>
          <w:szCs w:val="32"/>
          <w:highlight w:val="none"/>
        </w:rPr>
      </w:pPr>
    </w:p>
    <w:p>
      <w:pPr>
        <w:jc w:val="center"/>
        <w:rPr>
          <w:rFonts w:hint="eastAsia"/>
          <w:sz w:val="32"/>
          <w:szCs w:val="32"/>
          <w:highlight w:val="none"/>
        </w:rPr>
      </w:pPr>
    </w:p>
    <w:p>
      <w:pPr>
        <w:jc w:val="center"/>
        <w:rPr>
          <w:rFonts w:hint="eastAsia"/>
          <w:sz w:val="32"/>
          <w:szCs w:val="32"/>
          <w:highlight w:val="none"/>
        </w:rPr>
      </w:pPr>
    </w:p>
    <w:p>
      <w:pPr>
        <w:jc w:val="center"/>
        <w:rPr>
          <w:rFonts w:hint="eastAsia"/>
          <w:sz w:val="32"/>
          <w:szCs w:val="32"/>
          <w:highlight w:val="none"/>
        </w:rPr>
      </w:pPr>
    </w:p>
    <w:p>
      <w:pPr>
        <w:jc w:val="center"/>
        <w:rPr>
          <w:rFonts w:hint="eastAsia"/>
          <w:sz w:val="32"/>
          <w:szCs w:val="32"/>
          <w:highlight w:val="none"/>
        </w:rPr>
      </w:pPr>
    </w:p>
    <w:p>
      <w:pPr>
        <w:spacing w:line="500" w:lineRule="exact"/>
        <w:jc w:val="center"/>
        <w:rPr>
          <w:rFonts w:hint="eastAsia"/>
          <w:sz w:val="32"/>
          <w:szCs w:val="32"/>
          <w:highlight w:val="none"/>
        </w:rPr>
      </w:pPr>
      <w:r>
        <w:rPr>
          <w:rFonts w:hint="eastAsia"/>
          <w:sz w:val="32"/>
          <w:szCs w:val="32"/>
          <w:highlight w:val="none"/>
        </w:rPr>
        <w:t>二〇二</w:t>
      </w:r>
      <w:r>
        <w:rPr>
          <w:rFonts w:hint="eastAsia"/>
          <w:sz w:val="32"/>
          <w:szCs w:val="32"/>
          <w:highlight w:val="none"/>
          <w:lang w:val="en-US" w:eastAsia="zh-CN"/>
        </w:rPr>
        <w:t>三</w:t>
      </w:r>
      <w:r>
        <w:rPr>
          <w:rFonts w:hint="eastAsia"/>
          <w:sz w:val="32"/>
          <w:szCs w:val="32"/>
          <w:highlight w:val="none"/>
        </w:rPr>
        <w:t>年</w:t>
      </w:r>
      <w:r>
        <w:rPr>
          <w:rFonts w:hint="eastAsia"/>
          <w:sz w:val="32"/>
          <w:szCs w:val="32"/>
          <w:highlight w:val="none"/>
          <w:lang w:val="en-US" w:eastAsia="zh-CN"/>
        </w:rPr>
        <w:t xml:space="preserve">   </w:t>
      </w:r>
      <w:r>
        <w:rPr>
          <w:rFonts w:hint="eastAsia"/>
          <w:sz w:val="32"/>
          <w:szCs w:val="32"/>
          <w:highlight w:val="none"/>
        </w:rPr>
        <w:t>月</w:t>
      </w:r>
      <w:r>
        <w:rPr>
          <w:rFonts w:hint="eastAsia"/>
          <w:sz w:val="32"/>
          <w:szCs w:val="32"/>
          <w:highlight w:val="none"/>
          <w:lang w:val="en-US" w:eastAsia="zh-CN"/>
        </w:rPr>
        <w:t xml:space="preserve">    </w:t>
      </w:r>
      <w:r>
        <w:rPr>
          <w:rFonts w:hint="eastAsia"/>
          <w:sz w:val="32"/>
          <w:szCs w:val="32"/>
          <w:highlight w:val="none"/>
        </w:rPr>
        <w:t>日</w:t>
      </w:r>
    </w:p>
    <w:p>
      <w:pPr>
        <w:jc w:val="center"/>
        <w:rPr>
          <w:rFonts w:hint="eastAsia"/>
          <w:sz w:val="32"/>
          <w:szCs w:val="32"/>
          <w:highlight w:val="none"/>
        </w:rPr>
      </w:pPr>
    </w:p>
    <w:p>
      <w:pPr>
        <w:jc w:val="center"/>
        <w:rPr>
          <w:rFonts w:hint="eastAsia"/>
          <w:sz w:val="32"/>
          <w:szCs w:val="32"/>
          <w:highlight w:val="none"/>
        </w:rPr>
      </w:pPr>
    </w:p>
    <w:p>
      <w:pPr>
        <w:jc w:val="center"/>
        <w:rPr>
          <w:rFonts w:hint="eastAsia"/>
          <w:sz w:val="32"/>
          <w:szCs w:val="32"/>
          <w:highlight w:val="none"/>
        </w:rPr>
      </w:pPr>
      <w:r>
        <w:rPr>
          <w:rFonts w:hint="eastAsia"/>
          <w:sz w:val="32"/>
          <w:szCs w:val="32"/>
          <w:highlight w:val="none"/>
        </w:rPr>
        <w:t>签约须知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sz w:val="24"/>
          <w:szCs w:val="24"/>
          <w:highlight w:val="none"/>
        </w:rPr>
      </w:pPr>
      <w:r>
        <w:rPr>
          <w:rFonts w:hint="eastAsia"/>
          <w:sz w:val="24"/>
          <w:szCs w:val="24"/>
          <w:highlight w:val="none"/>
        </w:rPr>
        <w:t>一、 本合同适用于六安市物业服务。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highlight w:val="none"/>
        </w:rPr>
      </w:pPr>
      <w:r>
        <w:rPr>
          <w:rFonts w:hint="eastAsia"/>
          <w:sz w:val="24"/>
          <w:szCs w:val="24"/>
          <w:highlight w:val="none"/>
        </w:rPr>
        <w:t>二、本合同适用于甲方完全按规划建设，经过政府相关部门验收合格的物业前期物业服务，如甲方不具备交付条件或不实施物业承接查验工作，乙方有权拒绝进场，由此造成的损失，由甲方负责赔偿。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highlight w:val="none"/>
        </w:rPr>
      </w:pPr>
      <w:r>
        <w:rPr>
          <w:rFonts w:hint="eastAsia"/>
          <w:sz w:val="24"/>
          <w:szCs w:val="24"/>
          <w:highlight w:val="none"/>
        </w:rPr>
        <w:t>三、请用钢笔、水笔等不易退变色且不易擦除的书写工具填写。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highlight w:val="none"/>
        </w:rPr>
      </w:pPr>
      <w:r>
        <w:rPr>
          <w:rFonts w:hint="eastAsia"/>
          <w:sz w:val="24"/>
          <w:szCs w:val="24"/>
          <w:highlight w:val="none"/>
        </w:rPr>
        <w:t>四、本合同的任何涂改、均应由甲乙双方在涂改处签署确认。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highlight w:val="none"/>
        </w:rPr>
      </w:pPr>
      <w:r>
        <w:rPr>
          <w:rFonts w:hint="eastAsia"/>
          <w:sz w:val="24"/>
          <w:szCs w:val="24"/>
          <w:highlight w:val="none"/>
        </w:rPr>
        <w:t>五、本合同条款空白处由买卖双方商定填写完整。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highlight w:val="none"/>
        </w:rPr>
      </w:pPr>
      <w:r>
        <w:rPr>
          <w:rFonts w:hint="eastAsia"/>
          <w:sz w:val="24"/>
          <w:szCs w:val="24"/>
          <w:highlight w:val="none"/>
        </w:rPr>
        <w:t>六、请仔细斟酌条款，以免引发纠纷，以保护自己的合法权益，并以免侵害他人的合法权益。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highlight w:val="none"/>
        </w:rPr>
      </w:pPr>
    </w:p>
    <w:p>
      <w:pPr>
        <w:ind w:firstLine="480" w:firstLineChars="200"/>
        <w:rPr>
          <w:rFonts w:hint="eastAsia"/>
          <w:sz w:val="24"/>
          <w:szCs w:val="24"/>
          <w:highlight w:val="none"/>
        </w:rPr>
      </w:pPr>
    </w:p>
    <w:p>
      <w:pPr>
        <w:ind w:firstLine="480" w:firstLineChars="200"/>
        <w:rPr>
          <w:rFonts w:hint="eastAsia"/>
          <w:sz w:val="24"/>
          <w:szCs w:val="24"/>
          <w:highlight w:val="none"/>
        </w:rPr>
      </w:pPr>
    </w:p>
    <w:p>
      <w:pPr>
        <w:ind w:firstLine="480" w:firstLineChars="200"/>
        <w:rPr>
          <w:rFonts w:hint="eastAsia"/>
          <w:sz w:val="24"/>
          <w:szCs w:val="24"/>
          <w:highlight w:val="none"/>
        </w:rPr>
      </w:pPr>
    </w:p>
    <w:p>
      <w:pPr>
        <w:ind w:firstLine="480" w:firstLineChars="200"/>
        <w:rPr>
          <w:rFonts w:hint="eastAsia"/>
          <w:sz w:val="24"/>
          <w:szCs w:val="24"/>
          <w:highlight w:val="none"/>
        </w:rPr>
      </w:pPr>
    </w:p>
    <w:p>
      <w:pPr>
        <w:ind w:firstLine="480" w:firstLineChars="200"/>
        <w:rPr>
          <w:rFonts w:hint="eastAsia"/>
          <w:sz w:val="24"/>
          <w:szCs w:val="24"/>
          <w:highlight w:val="none"/>
        </w:rPr>
      </w:pPr>
    </w:p>
    <w:p>
      <w:pPr>
        <w:ind w:firstLine="480" w:firstLineChars="200"/>
        <w:rPr>
          <w:rFonts w:hint="eastAsia"/>
          <w:sz w:val="24"/>
          <w:szCs w:val="24"/>
          <w:highlight w:val="none"/>
        </w:rPr>
      </w:pPr>
    </w:p>
    <w:p>
      <w:pPr>
        <w:ind w:firstLine="480" w:firstLineChars="200"/>
        <w:rPr>
          <w:rFonts w:hint="eastAsia"/>
          <w:sz w:val="24"/>
          <w:szCs w:val="24"/>
          <w:highlight w:val="none"/>
        </w:rPr>
      </w:pPr>
    </w:p>
    <w:p>
      <w:pPr>
        <w:widowControl/>
        <w:spacing w:line="288" w:lineRule="auto"/>
        <w:rPr>
          <w:rFonts w:hint="eastAsia" w:ascii="仿宋_GB2312" w:hAnsi="Arial" w:eastAsia="仿宋_GB2312" w:cs="Arial"/>
          <w:color w:val="000000"/>
          <w:kern w:val="0"/>
          <w:sz w:val="24"/>
          <w:szCs w:val="24"/>
          <w:highlight w:val="none"/>
        </w:rPr>
        <w:sectPr>
          <w:footerReference r:id="rId5" w:type="first"/>
          <w:footerReference r:id="rId3" w:type="default"/>
          <w:footerReference r:id="rId4" w:type="even"/>
          <w:pgSz w:w="11906" w:h="16838"/>
          <w:pgMar w:top="1440" w:right="1417" w:bottom="1440" w:left="1417" w:header="851" w:footer="992" w:gutter="0"/>
          <w:pgNumType w:start="1"/>
          <w:cols w:space="720" w:num="1"/>
          <w:docGrid w:type="lines" w:linePitch="312" w:charSpace="0"/>
        </w:sectPr>
      </w:pPr>
    </w:p>
    <w:p>
      <w:pPr>
        <w:widowControl/>
        <w:spacing w:line="288" w:lineRule="auto"/>
        <w:jc w:val="center"/>
        <w:rPr>
          <w:rFonts w:hint="eastAsia" w:ascii="仿宋_GB2312" w:hAnsi="Arial" w:eastAsia="仿宋_GB2312" w:cs="Arial"/>
          <w:color w:val="000000"/>
          <w:kern w:val="0"/>
          <w:sz w:val="24"/>
          <w:szCs w:val="24"/>
          <w:highlight w:val="none"/>
        </w:rPr>
      </w:pPr>
      <w:r>
        <w:rPr>
          <w:rFonts w:hint="eastAsia" w:ascii="宋体" w:hAnsi="宋体" w:eastAsia="宋体" w:cs="宋体"/>
          <w:color w:val="000000"/>
          <w:kern w:val="0"/>
          <w:sz w:val="36"/>
          <w:szCs w:val="36"/>
          <w:highlight w:val="none"/>
        </w:rPr>
        <w:t>六安市前期物业服务合同</w:t>
      </w:r>
    </w:p>
    <w:p>
      <w:pPr>
        <w:widowControl/>
        <w:wordWrap w:val="0"/>
        <w:spacing w:line="288" w:lineRule="auto"/>
        <w:ind w:left="480" w:hanging="360" w:hangingChars="150"/>
        <w:jc w:val="left"/>
        <w:rPr>
          <w:rFonts w:hint="eastAsia" w:ascii="宋体" w:hAnsi="宋体" w:eastAsia="宋体" w:cs="宋体"/>
          <w:b w:val="0"/>
          <w:bCs w:val="0"/>
          <w:color w:val="000000"/>
          <w:kern w:val="0"/>
          <w:sz w:val="24"/>
          <w:szCs w:val="24"/>
          <w:highlight w:val="none"/>
        </w:rPr>
      </w:pPr>
      <w:r>
        <w:rPr>
          <w:rFonts w:hint="eastAsia" w:ascii="仿宋_GB2312" w:hAnsi="Arial" w:eastAsia="仿宋_GB2312" w:cs="Arial"/>
          <w:b w:val="0"/>
          <w:bCs w:val="0"/>
          <w:color w:val="000000"/>
          <w:kern w:val="0"/>
          <w:sz w:val="24"/>
          <w:szCs w:val="24"/>
          <w:highlight w:val="none"/>
        </w:rPr>
        <w:br w:type="textWrapping"/>
      </w:r>
      <w:r>
        <w:rPr>
          <w:rFonts w:hint="eastAsia" w:ascii="宋体" w:hAnsi="宋体" w:eastAsia="宋体" w:cs="宋体"/>
          <w:b w:val="0"/>
          <w:bCs w:val="0"/>
          <w:color w:val="000000"/>
          <w:kern w:val="0"/>
          <w:sz w:val="24"/>
          <w:szCs w:val="24"/>
          <w:highlight w:val="none"/>
        </w:rPr>
        <w:t xml:space="preserve">第一章  </w:t>
      </w:r>
      <w:r>
        <w:rPr>
          <w:rFonts w:hint="eastAsia" w:ascii="宋体" w:hAnsi="宋体" w:cs="宋体"/>
          <w:b w:val="0"/>
          <w:bCs w:val="0"/>
          <w:color w:val="000000"/>
          <w:kern w:val="0"/>
          <w:sz w:val="24"/>
          <w:szCs w:val="24"/>
          <w:highlight w:val="none"/>
          <w:lang w:val="en-US" w:eastAsia="zh-CN"/>
        </w:rPr>
        <w:t xml:space="preserve"> </w:t>
      </w:r>
      <w:r>
        <w:rPr>
          <w:rFonts w:hint="eastAsia" w:ascii="宋体" w:hAnsi="宋体" w:eastAsia="宋体" w:cs="宋体"/>
          <w:b w:val="0"/>
          <w:bCs w:val="0"/>
          <w:color w:val="000000"/>
          <w:kern w:val="0"/>
          <w:sz w:val="24"/>
          <w:szCs w:val="24"/>
          <w:highlight w:val="none"/>
        </w:rPr>
        <w:t>物业基本情况</w:t>
      </w:r>
    </w:p>
    <w:p>
      <w:pPr>
        <w:widowControl/>
        <w:wordWrap w:val="0"/>
        <w:spacing w:line="288" w:lineRule="auto"/>
        <w:ind w:firstLine="360" w:firstLineChars="150"/>
        <w:rPr>
          <w:rFonts w:hint="eastAsia" w:ascii="宋体" w:hAnsi="宋体" w:eastAsia="宋体" w:cs="宋体"/>
          <w:b w:val="0"/>
          <w:bCs w:val="0"/>
          <w:smallCaps/>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第二章   </w:t>
      </w:r>
      <w:r>
        <w:rPr>
          <w:rFonts w:hint="eastAsia" w:ascii="宋体" w:hAnsi="宋体" w:eastAsia="宋体" w:cs="宋体"/>
          <w:b w:val="0"/>
          <w:bCs w:val="0"/>
          <w:smallCaps/>
          <w:color w:val="000000"/>
          <w:kern w:val="0"/>
          <w:sz w:val="24"/>
          <w:szCs w:val="24"/>
          <w:highlight w:val="none"/>
        </w:rPr>
        <w:t>物业服务内容与标准</w:t>
      </w:r>
    </w:p>
    <w:p>
      <w:pPr>
        <w:widowControl/>
        <w:wordWrap w:val="0"/>
        <w:spacing w:line="288" w:lineRule="auto"/>
        <w:ind w:firstLine="352" w:firstLineChars="147"/>
        <w:rPr>
          <w:rFonts w:hint="eastAsia" w:ascii="宋体" w:hAnsi="宋体" w:eastAsia="宋体" w:cs="宋体"/>
          <w:b w:val="0"/>
          <w:bCs w:val="0"/>
          <w:smallCaps/>
          <w:color w:val="000000"/>
          <w:kern w:val="0"/>
          <w:sz w:val="24"/>
          <w:szCs w:val="24"/>
          <w:highlight w:val="none"/>
        </w:rPr>
      </w:pPr>
      <w:r>
        <w:rPr>
          <w:rFonts w:hint="eastAsia" w:ascii="宋体" w:hAnsi="宋体" w:eastAsia="宋体" w:cs="宋体"/>
          <w:b w:val="0"/>
          <w:bCs w:val="0"/>
          <w:smallCaps/>
          <w:color w:val="000000"/>
          <w:kern w:val="0"/>
          <w:sz w:val="24"/>
          <w:szCs w:val="24"/>
          <w:highlight w:val="none"/>
        </w:rPr>
        <w:t>第三章</w:t>
      </w:r>
      <w:r>
        <w:rPr>
          <w:rFonts w:hint="eastAsia" w:ascii="宋体" w:hAnsi="宋体" w:eastAsia="宋体" w:cs="宋体"/>
          <w:b w:val="0"/>
          <w:bCs w:val="0"/>
          <w:smallCaps/>
          <w:color w:val="000000"/>
          <w:kern w:val="0"/>
          <w:sz w:val="24"/>
          <w:szCs w:val="24"/>
          <w:highlight w:val="none"/>
          <w:lang w:val="en-US" w:eastAsia="zh-CN"/>
        </w:rPr>
        <w:t xml:space="preserve">  </w:t>
      </w:r>
      <w:r>
        <w:rPr>
          <w:rFonts w:hint="eastAsia" w:ascii="宋体" w:hAnsi="宋体" w:eastAsia="宋体" w:cs="宋体"/>
          <w:b w:val="0"/>
          <w:bCs w:val="0"/>
          <w:smallCaps/>
          <w:color w:val="000000"/>
          <w:kern w:val="0"/>
          <w:sz w:val="24"/>
          <w:szCs w:val="24"/>
          <w:highlight w:val="none"/>
        </w:rPr>
        <w:t xml:space="preserve"> 物业服务费用</w:t>
      </w:r>
    </w:p>
    <w:p>
      <w:pPr>
        <w:widowControl/>
        <w:wordWrap w:val="0"/>
        <w:spacing w:line="288" w:lineRule="auto"/>
        <w:ind w:firstLine="352" w:firstLineChars="147"/>
        <w:rPr>
          <w:rFonts w:hint="eastAsia" w:ascii="宋体" w:hAnsi="宋体" w:eastAsia="宋体" w:cs="宋体"/>
          <w:b w:val="0"/>
          <w:bCs w:val="0"/>
          <w:smallCaps/>
          <w:color w:val="000000"/>
          <w:kern w:val="0"/>
          <w:sz w:val="24"/>
          <w:szCs w:val="24"/>
          <w:highlight w:val="none"/>
        </w:rPr>
      </w:pPr>
      <w:r>
        <w:rPr>
          <w:rFonts w:hint="eastAsia" w:ascii="宋体" w:hAnsi="宋体" w:eastAsia="宋体" w:cs="宋体"/>
          <w:b w:val="0"/>
          <w:bCs w:val="0"/>
          <w:smallCaps/>
          <w:color w:val="000000"/>
          <w:kern w:val="0"/>
          <w:sz w:val="24"/>
          <w:szCs w:val="24"/>
          <w:highlight w:val="none"/>
        </w:rPr>
        <w:t>第四章</w:t>
      </w:r>
      <w:r>
        <w:rPr>
          <w:rFonts w:hint="eastAsia" w:ascii="宋体" w:hAnsi="宋体" w:eastAsia="宋体" w:cs="宋体"/>
          <w:b w:val="0"/>
          <w:bCs w:val="0"/>
          <w:smallCaps/>
          <w:color w:val="000000"/>
          <w:kern w:val="0"/>
          <w:sz w:val="24"/>
          <w:szCs w:val="24"/>
          <w:highlight w:val="none"/>
          <w:lang w:val="en-US" w:eastAsia="zh-CN"/>
        </w:rPr>
        <w:t xml:space="preserve"> </w:t>
      </w:r>
      <w:r>
        <w:rPr>
          <w:rFonts w:hint="eastAsia" w:ascii="宋体" w:hAnsi="宋体" w:cs="宋体"/>
          <w:b w:val="0"/>
          <w:bCs w:val="0"/>
          <w:smallCaps/>
          <w:color w:val="000000"/>
          <w:kern w:val="0"/>
          <w:sz w:val="24"/>
          <w:szCs w:val="24"/>
          <w:highlight w:val="none"/>
          <w:lang w:val="en-US" w:eastAsia="zh-CN"/>
        </w:rPr>
        <w:t xml:space="preserve"> </w:t>
      </w:r>
      <w:r>
        <w:rPr>
          <w:rFonts w:hint="eastAsia" w:ascii="宋体" w:hAnsi="宋体" w:eastAsia="宋体" w:cs="宋体"/>
          <w:b w:val="0"/>
          <w:bCs w:val="0"/>
          <w:smallCaps/>
          <w:color w:val="000000"/>
          <w:kern w:val="0"/>
          <w:sz w:val="24"/>
          <w:szCs w:val="24"/>
          <w:highlight w:val="none"/>
          <w:lang w:val="en-US" w:eastAsia="zh-CN"/>
        </w:rPr>
        <w:t xml:space="preserve"> </w:t>
      </w:r>
      <w:r>
        <w:rPr>
          <w:rFonts w:hint="eastAsia" w:ascii="宋体" w:hAnsi="宋体" w:eastAsia="宋体" w:cs="宋体"/>
          <w:b w:val="0"/>
          <w:bCs w:val="0"/>
          <w:smallCaps/>
          <w:color w:val="000000"/>
          <w:kern w:val="0"/>
          <w:sz w:val="24"/>
          <w:szCs w:val="24"/>
          <w:highlight w:val="none"/>
        </w:rPr>
        <w:t>物业的经营与管理</w:t>
      </w:r>
    </w:p>
    <w:p>
      <w:pPr>
        <w:widowControl/>
        <w:wordWrap w:val="0"/>
        <w:spacing w:line="288" w:lineRule="auto"/>
        <w:ind w:firstLine="352" w:firstLineChars="147"/>
        <w:rPr>
          <w:rFonts w:hint="eastAsia" w:ascii="宋体" w:hAnsi="宋体" w:eastAsia="宋体" w:cs="宋体"/>
          <w:b w:val="0"/>
          <w:bCs w:val="0"/>
          <w:smallCaps/>
          <w:color w:val="000000"/>
          <w:kern w:val="0"/>
          <w:sz w:val="24"/>
          <w:szCs w:val="24"/>
          <w:highlight w:val="none"/>
        </w:rPr>
      </w:pPr>
      <w:r>
        <w:rPr>
          <w:rFonts w:hint="eastAsia" w:ascii="宋体" w:hAnsi="宋体" w:eastAsia="宋体" w:cs="宋体"/>
          <w:b w:val="0"/>
          <w:bCs w:val="0"/>
          <w:smallCaps/>
          <w:color w:val="000000"/>
          <w:kern w:val="0"/>
          <w:sz w:val="24"/>
          <w:szCs w:val="24"/>
          <w:highlight w:val="none"/>
        </w:rPr>
        <w:t>第五章   物业的承接查验</w:t>
      </w:r>
    </w:p>
    <w:p>
      <w:pPr>
        <w:widowControl/>
        <w:wordWrap w:val="0"/>
        <w:spacing w:line="288" w:lineRule="auto"/>
        <w:ind w:firstLine="352" w:firstLineChars="147"/>
        <w:rPr>
          <w:rFonts w:hint="eastAsia" w:ascii="宋体" w:hAnsi="宋体" w:eastAsia="宋体" w:cs="宋体"/>
          <w:b w:val="0"/>
          <w:bCs w:val="0"/>
          <w:smallCaps/>
          <w:color w:val="000000"/>
          <w:kern w:val="0"/>
          <w:sz w:val="24"/>
          <w:szCs w:val="24"/>
          <w:highlight w:val="none"/>
        </w:rPr>
      </w:pPr>
      <w:r>
        <w:rPr>
          <w:rFonts w:hint="eastAsia" w:ascii="宋体" w:hAnsi="宋体" w:eastAsia="宋体" w:cs="宋体"/>
          <w:b w:val="0"/>
          <w:bCs w:val="0"/>
          <w:smallCaps/>
          <w:color w:val="000000"/>
          <w:kern w:val="0"/>
          <w:sz w:val="24"/>
          <w:szCs w:val="24"/>
          <w:highlight w:val="none"/>
        </w:rPr>
        <w:t>第六章   物业的使用与维护</w:t>
      </w:r>
    </w:p>
    <w:p>
      <w:pPr>
        <w:widowControl/>
        <w:wordWrap w:val="0"/>
        <w:spacing w:line="288" w:lineRule="auto"/>
        <w:ind w:firstLine="352" w:firstLineChars="147"/>
        <w:rPr>
          <w:rFonts w:hint="eastAsia" w:ascii="宋体" w:hAnsi="宋体" w:eastAsia="宋体" w:cs="宋体"/>
          <w:b w:val="0"/>
          <w:bCs w:val="0"/>
          <w:smallCaps/>
          <w:color w:val="000000"/>
          <w:kern w:val="0"/>
          <w:sz w:val="24"/>
          <w:szCs w:val="24"/>
          <w:highlight w:val="none"/>
        </w:rPr>
      </w:pPr>
      <w:r>
        <w:rPr>
          <w:rFonts w:hint="eastAsia" w:ascii="宋体" w:hAnsi="宋体" w:eastAsia="宋体" w:cs="宋体"/>
          <w:b w:val="0"/>
          <w:bCs w:val="0"/>
          <w:smallCaps/>
          <w:color w:val="000000"/>
          <w:kern w:val="0"/>
          <w:sz w:val="24"/>
          <w:szCs w:val="24"/>
          <w:highlight w:val="none"/>
        </w:rPr>
        <w:t>第七章   违约责任</w:t>
      </w:r>
    </w:p>
    <w:p>
      <w:pPr>
        <w:widowControl/>
        <w:wordWrap w:val="0"/>
        <w:spacing w:line="288" w:lineRule="auto"/>
        <w:ind w:firstLine="352" w:firstLineChars="147"/>
        <w:rPr>
          <w:rFonts w:hint="eastAsia" w:ascii="宋体" w:hAnsi="宋体" w:eastAsia="宋体" w:cs="宋体"/>
          <w:b w:val="0"/>
          <w:bCs w:val="0"/>
          <w:smallCaps/>
          <w:color w:val="000000"/>
          <w:kern w:val="0"/>
          <w:sz w:val="24"/>
          <w:szCs w:val="24"/>
          <w:highlight w:val="none"/>
        </w:rPr>
      </w:pPr>
      <w:r>
        <w:rPr>
          <w:rFonts w:hint="eastAsia" w:ascii="宋体" w:hAnsi="宋体" w:eastAsia="宋体" w:cs="宋体"/>
          <w:b w:val="0"/>
          <w:bCs w:val="0"/>
          <w:smallCaps/>
          <w:color w:val="000000"/>
          <w:kern w:val="0"/>
          <w:sz w:val="24"/>
          <w:szCs w:val="24"/>
          <w:highlight w:val="none"/>
        </w:rPr>
        <w:t>第八章   其他事项</w:t>
      </w:r>
    </w:p>
    <w:p>
      <w:pPr>
        <w:widowControl/>
        <w:wordWrap w:val="0"/>
        <w:spacing w:line="288"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br w:type="textWrapping"/>
      </w:r>
    </w:p>
    <w:p>
      <w:pPr>
        <w:widowControl/>
        <w:wordWrap w:val="0"/>
        <w:spacing w:line="288" w:lineRule="auto"/>
        <w:jc w:val="left"/>
        <w:rPr>
          <w:rFonts w:hint="eastAsia" w:ascii="宋体" w:hAnsi="宋体" w:eastAsia="宋体" w:cs="宋体"/>
          <w:color w:val="000000"/>
          <w:kern w:val="0"/>
          <w:sz w:val="24"/>
          <w:szCs w:val="24"/>
          <w:highlight w:val="none"/>
        </w:rPr>
      </w:pPr>
    </w:p>
    <w:p>
      <w:pPr>
        <w:widowControl/>
        <w:wordWrap w:val="0"/>
        <w:spacing w:line="288" w:lineRule="auto"/>
        <w:jc w:val="left"/>
        <w:rPr>
          <w:rFonts w:hint="eastAsia" w:ascii="宋体" w:hAnsi="宋体" w:eastAsia="宋体" w:cs="宋体"/>
          <w:color w:val="000000"/>
          <w:kern w:val="0"/>
          <w:sz w:val="24"/>
          <w:szCs w:val="24"/>
          <w:highlight w:val="none"/>
        </w:rPr>
      </w:pPr>
    </w:p>
    <w:p>
      <w:pPr>
        <w:widowControl/>
        <w:wordWrap w:val="0"/>
        <w:spacing w:line="288" w:lineRule="auto"/>
        <w:jc w:val="left"/>
        <w:rPr>
          <w:rFonts w:hint="eastAsia" w:ascii="宋体" w:hAnsi="宋体" w:eastAsia="宋体" w:cs="宋体"/>
          <w:color w:val="000000"/>
          <w:kern w:val="0"/>
          <w:sz w:val="24"/>
          <w:szCs w:val="24"/>
          <w:highlight w:val="none"/>
        </w:rPr>
      </w:pPr>
    </w:p>
    <w:p>
      <w:pPr>
        <w:widowControl/>
        <w:wordWrap w:val="0"/>
        <w:spacing w:line="288" w:lineRule="auto"/>
        <w:jc w:val="left"/>
        <w:rPr>
          <w:rFonts w:hint="eastAsia" w:ascii="宋体" w:hAnsi="宋体" w:eastAsia="宋体" w:cs="宋体"/>
          <w:color w:val="000000"/>
          <w:kern w:val="0"/>
          <w:sz w:val="24"/>
          <w:szCs w:val="24"/>
          <w:highlight w:val="none"/>
        </w:rPr>
      </w:pPr>
    </w:p>
    <w:p>
      <w:pPr>
        <w:widowControl/>
        <w:wordWrap w:val="0"/>
        <w:spacing w:line="288" w:lineRule="auto"/>
        <w:jc w:val="left"/>
        <w:rPr>
          <w:rFonts w:hint="eastAsia" w:ascii="宋体" w:hAnsi="宋体" w:eastAsia="宋体" w:cs="宋体"/>
          <w:color w:val="000000"/>
          <w:kern w:val="0"/>
          <w:sz w:val="24"/>
          <w:szCs w:val="24"/>
          <w:highlight w:val="none"/>
        </w:rPr>
      </w:pPr>
    </w:p>
    <w:p>
      <w:pPr>
        <w:widowControl/>
        <w:wordWrap w:val="0"/>
        <w:spacing w:line="288" w:lineRule="auto"/>
        <w:jc w:val="left"/>
        <w:rPr>
          <w:rFonts w:hint="eastAsia" w:ascii="宋体" w:hAnsi="宋体" w:eastAsia="宋体" w:cs="宋体"/>
          <w:color w:val="000000"/>
          <w:kern w:val="0"/>
          <w:sz w:val="24"/>
          <w:szCs w:val="24"/>
          <w:highlight w:val="none"/>
        </w:rPr>
      </w:pPr>
    </w:p>
    <w:p>
      <w:pPr>
        <w:widowControl/>
        <w:wordWrap w:val="0"/>
        <w:spacing w:line="288" w:lineRule="auto"/>
        <w:jc w:val="left"/>
        <w:rPr>
          <w:rFonts w:hint="eastAsia" w:ascii="宋体" w:hAnsi="宋体" w:eastAsia="宋体" w:cs="宋体"/>
          <w:color w:val="000000"/>
          <w:kern w:val="0"/>
          <w:sz w:val="24"/>
          <w:szCs w:val="24"/>
          <w:highlight w:val="none"/>
        </w:rPr>
      </w:pPr>
    </w:p>
    <w:p>
      <w:pPr>
        <w:widowControl/>
        <w:wordWrap w:val="0"/>
        <w:spacing w:line="288" w:lineRule="auto"/>
        <w:jc w:val="left"/>
        <w:rPr>
          <w:rFonts w:hint="eastAsia" w:ascii="宋体" w:hAnsi="宋体" w:eastAsia="宋体" w:cs="宋体"/>
          <w:color w:val="000000"/>
          <w:kern w:val="0"/>
          <w:sz w:val="24"/>
          <w:szCs w:val="24"/>
          <w:highlight w:val="none"/>
        </w:rPr>
      </w:pPr>
    </w:p>
    <w:p>
      <w:pPr>
        <w:widowControl/>
        <w:wordWrap w:val="0"/>
        <w:spacing w:line="288" w:lineRule="auto"/>
        <w:jc w:val="left"/>
        <w:rPr>
          <w:rFonts w:hint="eastAsia" w:ascii="宋体" w:hAnsi="宋体" w:eastAsia="宋体" w:cs="宋体"/>
          <w:color w:val="000000"/>
          <w:kern w:val="0"/>
          <w:sz w:val="24"/>
          <w:szCs w:val="24"/>
          <w:highlight w:val="none"/>
        </w:rPr>
      </w:pPr>
    </w:p>
    <w:p>
      <w:pPr>
        <w:widowControl/>
        <w:wordWrap w:val="0"/>
        <w:spacing w:line="288" w:lineRule="auto"/>
        <w:jc w:val="left"/>
        <w:rPr>
          <w:rFonts w:hint="eastAsia" w:ascii="宋体" w:hAnsi="宋体" w:eastAsia="宋体" w:cs="宋体"/>
          <w:color w:val="000000"/>
          <w:kern w:val="0"/>
          <w:sz w:val="24"/>
          <w:szCs w:val="24"/>
          <w:highlight w:val="none"/>
        </w:rPr>
      </w:pPr>
    </w:p>
    <w:p>
      <w:pPr>
        <w:widowControl/>
        <w:wordWrap w:val="0"/>
        <w:spacing w:line="288" w:lineRule="auto"/>
        <w:jc w:val="left"/>
        <w:rPr>
          <w:rFonts w:hint="eastAsia" w:ascii="宋体" w:hAnsi="宋体" w:eastAsia="宋体" w:cs="宋体"/>
          <w:color w:val="000000"/>
          <w:kern w:val="0"/>
          <w:sz w:val="24"/>
          <w:szCs w:val="24"/>
          <w:highlight w:val="none"/>
        </w:rPr>
      </w:pPr>
    </w:p>
    <w:p>
      <w:pPr>
        <w:widowControl/>
        <w:wordWrap w:val="0"/>
        <w:spacing w:line="288" w:lineRule="auto"/>
        <w:jc w:val="left"/>
        <w:rPr>
          <w:rFonts w:hint="eastAsia" w:ascii="宋体" w:hAnsi="宋体" w:eastAsia="宋体" w:cs="宋体"/>
          <w:color w:val="000000"/>
          <w:kern w:val="0"/>
          <w:sz w:val="24"/>
          <w:szCs w:val="24"/>
          <w:highlight w:val="none"/>
        </w:rPr>
      </w:pPr>
    </w:p>
    <w:p>
      <w:pPr>
        <w:widowControl/>
        <w:wordWrap w:val="0"/>
        <w:spacing w:line="288" w:lineRule="auto"/>
        <w:jc w:val="left"/>
        <w:rPr>
          <w:rFonts w:hint="eastAsia" w:ascii="宋体" w:hAnsi="宋体" w:eastAsia="宋体" w:cs="宋体"/>
          <w:color w:val="000000"/>
          <w:kern w:val="0"/>
          <w:sz w:val="24"/>
          <w:szCs w:val="24"/>
          <w:highlight w:val="none"/>
        </w:rPr>
      </w:pPr>
    </w:p>
    <w:p>
      <w:pPr>
        <w:widowControl/>
        <w:wordWrap w:val="0"/>
        <w:spacing w:line="288" w:lineRule="auto"/>
        <w:jc w:val="left"/>
        <w:rPr>
          <w:rFonts w:hint="eastAsia" w:ascii="宋体" w:hAnsi="宋体" w:eastAsia="宋体" w:cs="宋体"/>
          <w:color w:val="000000"/>
          <w:kern w:val="0"/>
          <w:sz w:val="24"/>
          <w:szCs w:val="24"/>
          <w:highlight w:val="none"/>
        </w:rPr>
      </w:pPr>
    </w:p>
    <w:p>
      <w:pPr>
        <w:widowControl/>
        <w:wordWrap w:val="0"/>
        <w:spacing w:line="288" w:lineRule="auto"/>
        <w:jc w:val="left"/>
        <w:rPr>
          <w:rFonts w:hint="eastAsia" w:ascii="宋体" w:hAnsi="宋体" w:eastAsia="宋体" w:cs="宋体"/>
          <w:color w:val="000000"/>
          <w:kern w:val="0"/>
          <w:sz w:val="24"/>
          <w:szCs w:val="24"/>
          <w:highlight w:val="none"/>
        </w:rPr>
      </w:pPr>
    </w:p>
    <w:p>
      <w:pPr>
        <w:widowControl/>
        <w:wordWrap w:val="0"/>
        <w:spacing w:line="288" w:lineRule="auto"/>
        <w:jc w:val="left"/>
        <w:rPr>
          <w:rFonts w:hint="eastAsia" w:ascii="宋体" w:hAnsi="宋体" w:eastAsia="宋体" w:cs="宋体"/>
          <w:color w:val="000000"/>
          <w:kern w:val="0"/>
          <w:sz w:val="24"/>
          <w:szCs w:val="24"/>
          <w:highlight w:val="none"/>
        </w:rPr>
      </w:pPr>
    </w:p>
    <w:p>
      <w:pPr>
        <w:widowControl/>
        <w:wordWrap w:val="0"/>
        <w:spacing w:line="288" w:lineRule="auto"/>
        <w:jc w:val="left"/>
        <w:rPr>
          <w:rFonts w:hint="eastAsia" w:ascii="宋体" w:hAnsi="宋体" w:eastAsia="宋体" w:cs="宋体"/>
          <w:color w:val="000000"/>
          <w:kern w:val="0"/>
          <w:sz w:val="24"/>
          <w:szCs w:val="24"/>
          <w:highlight w:val="none"/>
        </w:rPr>
      </w:pPr>
    </w:p>
    <w:p>
      <w:pPr>
        <w:widowControl/>
        <w:wordWrap w:val="0"/>
        <w:spacing w:line="288" w:lineRule="auto"/>
        <w:jc w:val="left"/>
        <w:rPr>
          <w:rFonts w:hint="eastAsia" w:ascii="宋体" w:hAnsi="宋体" w:eastAsia="宋体" w:cs="宋体"/>
          <w:color w:val="000000"/>
          <w:kern w:val="0"/>
          <w:sz w:val="24"/>
          <w:szCs w:val="24"/>
          <w:highlight w:val="none"/>
        </w:rPr>
      </w:pPr>
    </w:p>
    <w:p>
      <w:pPr>
        <w:widowControl/>
        <w:wordWrap w:val="0"/>
        <w:spacing w:line="288" w:lineRule="auto"/>
        <w:jc w:val="left"/>
        <w:rPr>
          <w:rFonts w:hint="eastAsia" w:ascii="宋体" w:hAnsi="宋体" w:eastAsia="宋体" w:cs="宋体"/>
          <w:color w:val="000000"/>
          <w:kern w:val="0"/>
          <w:sz w:val="24"/>
          <w:szCs w:val="24"/>
          <w:highlight w:val="none"/>
        </w:rPr>
      </w:pPr>
    </w:p>
    <w:p>
      <w:pPr>
        <w:widowControl/>
        <w:wordWrap w:val="0"/>
        <w:spacing w:line="288" w:lineRule="auto"/>
        <w:jc w:val="left"/>
        <w:rPr>
          <w:rFonts w:hint="eastAsia" w:ascii="宋体" w:hAnsi="宋体" w:eastAsia="宋体" w:cs="宋体"/>
          <w:color w:val="000000"/>
          <w:kern w:val="0"/>
          <w:sz w:val="24"/>
          <w:szCs w:val="24"/>
          <w:highlight w:val="none"/>
        </w:rPr>
      </w:pPr>
    </w:p>
    <w:p>
      <w:pPr>
        <w:widowControl/>
        <w:wordWrap w:val="0"/>
        <w:spacing w:line="288" w:lineRule="auto"/>
        <w:jc w:val="left"/>
        <w:rPr>
          <w:rFonts w:hint="eastAsia" w:ascii="宋体" w:hAnsi="宋体" w:eastAsia="宋体" w:cs="宋体"/>
          <w:color w:val="000000"/>
          <w:kern w:val="0"/>
          <w:sz w:val="24"/>
          <w:szCs w:val="24"/>
          <w:highlight w:val="none"/>
        </w:rPr>
      </w:pPr>
    </w:p>
    <w:p>
      <w:pPr>
        <w:widowControl/>
        <w:wordWrap w:val="0"/>
        <w:spacing w:line="288" w:lineRule="auto"/>
        <w:jc w:val="left"/>
        <w:rPr>
          <w:rFonts w:hint="eastAsia" w:ascii="宋体" w:hAnsi="宋体" w:eastAsia="宋体" w:cs="宋体"/>
          <w:color w:val="000000"/>
          <w:kern w:val="0"/>
          <w:sz w:val="24"/>
          <w:szCs w:val="24"/>
          <w:highlight w:val="none"/>
        </w:rPr>
      </w:pPr>
    </w:p>
    <w:p>
      <w:pPr>
        <w:widowControl/>
        <w:wordWrap w:val="0"/>
        <w:spacing w:line="288" w:lineRule="auto"/>
        <w:jc w:val="left"/>
        <w:rPr>
          <w:rFonts w:hint="eastAsia" w:ascii="宋体" w:hAnsi="宋体" w:eastAsia="宋体" w:cs="宋体"/>
          <w:color w:val="000000"/>
          <w:kern w:val="0"/>
          <w:sz w:val="24"/>
          <w:szCs w:val="24"/>
          <w:highlight w:val="none"/>
        </w:rPr>
      </w:pPr>
    </w:p>
    <w:p>
      <w:pPr>
        <w:widowControl/>
        <w:wordWrap w:val="0"/>
        <w:spacing w:line="288" w:lineRule="auto"/>
        <w:jc w:val="left"/>
        <w:rPr>
          <w:rFonts w:hint="eastAsia" w:ascii="宋体" w:hAnsi="宋体" w:eastAsia="宋体" w:cs="宋体"/>
          <w:color w:val="000000"/>
          <w:kern w:val="0"/>
          <w:sz w:val="24"/>
          <w:szCs w:val="24"/>
          <w:highlight w:val="none"/>
        </w:rPr>
      </w:pPr>
    </w:p>
    <w:p>
      <w:pPr>
        <w:widowControl/>
        <w:wordWrap w:val="0"/>
        <w:spacing w:line="288" w:lineRule="auto"/>
        <w:jc w:val="left"/>
        <w:rPr>
          <w:rFonts w:hint="eastAsia" w:ascii="宋体" w:hAnsi="宋体" w:eastAsia="宋体" w:cs="宋体"/>
          <w:color w:val="000000"/>
          <w:kern w:val="0"/>
          <w:sz w:val="24"/>
          <w:szCs w:val="24"/>
          <w:highlight w:val="none"/>
        </w:rPr>
      </w:pPr>
    </w:p>
    <w:p>
      <w:pPr>
        <w:widowControl/>
        <w:wordWrap w:val="0"/>
        <w:spacing w:line="288" w:lineRule="auto"/>
        <w:jc w:val="left"/>
        <w:rPr>
          <w:rFonts w:hint="eastAsia" w:ascii="宋体" w:hAnsi="宋体" w:eastAsia="宋体" w:cs="宋体"/>
          <w:color w:val="000000"/>
          <w:kern w:val="0"/>
          <w:sz w:val="24"/>
          <w:szCs w:val="24"/>
          <w:highlight w:val="none"/>
        </w:rPr>
      </w:pPr>
    </w:p>
    <w:p>
      <w:pPr>
        <w:widowControl/>
        <w:wordWrap w:val="0"/>
        <w:spacing w:line="288" w:lineRule="auto"/>
        <w:ind w:firstLine="480" w:firstLineChars="200"/>
        <w:jc w:val="left"/>
        <w:rPr>
          <w:rFonts w:hint="eastAsia" w:ascii="宋体" w:hAnsi="宋体" w:cs="宋体"/>
          <w:color w:val="000000"/>
          <w:kern w:val="0"/>
          <w:sz w:val="24"/>
          <w:szCs w:val="24"/>
          <w:u w:val="single"/>
          <w:lang w:val="en-US" w:eastAsia="zh-CN"/>
        </w:rPr>
      </w:pPr>
      <w:r>
        <w:rPr>
          <w:rFonts w:hint="eastAsia" w:ascii="宋体" w:hAnsi="宋体" w:cs="宋体"/>
          <w:color w:val="000000"/>
          <w:kern w:val="0"/>
          <w:sz w:val="24"/>
          <w:szCs w:val="24"/>
        </w:rPr>
        <w:t>建设单位（以下简称甲方）：</w:t>
      </w:r>
      <w:r>
        <w:rPr>
          <w:rFonts w:hint="eastAsia" w:ascii="宋体" w:hAnsi="宋体" w:cs="宋体"/>
          <w:color w:val="000000"/>
          <w:kern w:val="0"/>
          <w:sz w:val="24"/>
          <w:szCs w:val="24"/>
          <w:u w:val="single"/>
          <w:lang w:val="en-US" w:eastAsia="zh-CN"/>
        </w:rPr>
        <w:t xml:space="preserve">                      </w:t>
      </w:r>
    </w:p>
    <w:p>
      <w:pPr>
        <w:widowControl/>
        <w:wordWrap w:val="0"/>
        <w:spacing w:line="288" w:lineRule="auto"/>
        <w:ind w:firstLine="480" w:firstLineChars="200"/>
        <w:jc w:val="left"/>
        <w:rPr>
          <w:rFonts w:hint="default" w:ascii="宋体" w:hAnsi="宋体" w:eastAsia="宋体" w:cs="宋体"/>
          <w:color w:val="000000"/>
          <w:kern w:val="0"/>
          <w:sz w:val="24"/>
          <w:szCs w:val="24"/>
          <w:u w:val="single"/>
          <w:lang w:val="en-US" w:eastAsia="zh-CN"/>
        </w:rPr>
      </w:pPr>
      <w:r>
        <w:rPr>
          <w:rFonts w:hint="eastAsia" w:ascii="宋体" w:hAnsi="宋体" w:cs="宋体"/>
          <w:color w:val="000000"/>
          <w:kern w:val="0"/>
          <w:sz w:val="24"/>
          <w:szCs w:val="24"/>
        </w:rPr>
        <w:t>法定代表人：</w:t>
      </w:r>
      <w:r>
        <w:rPr>
          <w:rFonts w:hint="eastAsia" w:ascii="宋体" w:hAnsi="宋体" w:cs="宋体"/>
          <w:color w:val="000000"/>
          <w:kern w:val="0"/>
          <w:sz w:val="24"/>
          <w:szCs w:val="24"/>
          <w:u w:val="single"/>
        </w:rPr>
        <w:t xml:space="preserve">    /    </w:t>
      </w:r>
      <w:r>
        <w:rPr>
          <w:rFonts w:hint="eastAsia" w:ascii="宋体" w:hAnsi="宋体" w:cs="宋体"/>
          <w:color w:val="000000"/>
          <w:kern w:val="0"/>
          <w:sz w:val="24"/>
          <w:szCs w:val="24"/>
          <w:u w:val="single"/>
        </w:rPr>
        <w:br w:type="textWrapping"/>
      </w:r>
      <w:r>
        <w:rPr>
          <w:rFonts w:hint="eastAsia" w:ascii="宋体" w:hAnsi="宋体" w:cs="宋体"/>
          <w:color w:val="000000"/>
          <w:kern w:val="0"/>
          <w:sz w:val="24"/>
          <w:szCs w:val="24"/>
        </w:rPr>
        <w:t>　　注册地：</w:t>
      </w:r>
      <w:r>
        <w:rPr>
          <w:rFonts w:hint="eastAsia" w:ascii="宋体" w:hAnsi="宋体" w:cs="宋体"/>
          <w:color w:val="000000"/>
          <w:kern w:val="0"/>
          <w:sz w:val="24"/>
          <w:szCs w:val="24"/>
          <w:u w:val="single"/>
          <w:lang w:val="en-US" w:eastAsia="zh-CN"/>
        </w:rPr>
        <w:t xml:space="preserve">                              </w:t>
      </w:r>
    </w:p>
    <w:p>
      <w:pPr>
        <w:widowControl/>
        <w:wordWrap w:val="0"/>
        <w:spacing w:line="288" w:lineRule="auto"/>
        <w:ind w:firstLine="480" w:firstLineChars="200"/>
        <w:jc w:val="left"/>
        <w:rPr>
          <w:rFonts w:hint="default" w:ascii="宋体" w:hAnsi="宋体" w:eastAsia="宋体" w:cs="宋体"/>
          <w:color w:val="000000"/>
          <w:kern w:val="0"/>
          <w:sz w:val="24"/>
          <w:szCs w:val="24"/>
          <w:u w:val="single"/>
          <w:lang w:val="en-US" w:eastAsia="zh-CN"/>
        </w:rPr>
      </w:pPr>
      <w:r>
        <w:rPr>
          <w:rFonts w:hint="eastAsia" w:ascii="宋体" w:hAnsi="宋体" w:cs="宋体"/>
          <w:color w:val="000000"/>
          <w:kern w:val="0"/>
          <w:sz w:val="24"/>
          <w:szCs w:val="24"/>
        </w:rPr>
        <w:t>住所地：</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rPr>
        <w:t xml:space="preserve"> </w:t>
      </w:r>
      <w:r>
        <w:rPr>
          <w:rFonts w:hint="eastAsia" w:ascii="宋体" w:hAnsi="宋体" w:cs="宋体"/>
          <w:color w:val="000000"/>
          <w:kern w:val="0"/>
          <w:sz w:val="24"/>
          <w:szCs w:val="24"/>
          <w:u w:val="single"/>
        </w:rPr>
        <w:br w:type="textWrapping"/>
      </w:r>
      <w:r>
        <w:rPr>
          <w:rFonts w:hint="eastAsia" w:ascii="宋体" w:hAnsi="宋体" w:cs="宋体"/>
          <w:color w:val="000000"/>
          <w:kern w:val="0"/>
          <w:sz w:val="24"/>
          <w:szCs w:val="24"/>
        </w:rPr>
        <w:t>　　邮编：</w:t>
      </w:r>
      <w:r>
        <w:rPr>
          <w:rFonts w:hint="eastAsia" w:ascii="宋体" w:hAnsi="宋体" w:cs="宋体"/>
          <w:color w:val="000000"/>
          <w:kern w:val="0"/>
          <w:sz w:val="24"/>
          <w:szCs w:val="24"/>
          <w:u w:val="single"/>
          <w:lang w:val="en-US" w:eastAsia="zh-CN"/>
        </w:rPr>
        <w:t xml:space="preserve">            </w:t>
      </w:r>
    </w:p>
    <w:p>
      <w:pPr>
        <w:widowControl/>
        <w:wordWrap w:val="0"/>
        <w:spacing w:line="288" w:lineRule="auto"/>
        <w:ind w:firstLine="480" w:firstLineChars="200"/>
        <w:jc w:val="left"/>
        <w:rPr>
          <w:rFonts w:hint="default" w:ascii="宋体" w:hAnsi="宋体" w:eastAsia="宋体" w:cs="宋体"/>
          <w:color w:val="000000"/>
          <w:kern w:val="0"/>
          <w:sz w:val="24"/>
          <w:szCs w:val="24"/>
          <w:u w:val="single"/>
          <w:lang w:val="en-US" w:eastAsia="zh-CN"/>
        </w:rPr>
      </w:pPr>
      <w:r>
        <w:rPr>
          <w:rFonts w:hint="eastAsia" w:ascii="宋体" w:hAnsi="宋体" w:cs="宋体"/>
          <w:color w:val="000000"/>
          <w:kern w:val="0"/>
          <w:sz w:val="24"/>
          <w:szCs w:val="24"/>
        </w:rPr>
        <w:t>联系电话：</w:t>
      </w:r>
      <w:r>
        <w:rPr>
          <w:rFonts w:hint="eastAsia" w:ascii="宋体" w:hAnsi="宋体" w:cs="宋体"/>
          <w:color w:val="000000"/>
          <w:kern w:val="0"/>
          <w:sz w:val="24"/>
          <w:szCs w:val="24"/>
          <w:u w:val="single"/>
          <w:lang w:val="en-US" w:eastAsia="zh-CN"/>
        </w:rPr>
        <w:t xml:space="preserve">               </w:t>
      </w:r>
    </w:p>
    <w:p>
      <w:pPr>
        <w:widowControl/>
        <w:wordWrap w:val="0"/>
        <w:spacing w:line="288" w:lineRule="auto"/>
        <w:jc w:val="left"/>
        <w:rPr>
          <w:rFonts w:ascii="宋体" w:hAnsi="宋体" w:cs="宋体"/>
          <w:color w:val="000000"/>
          <w:kern w:val="0"/>
          <w:sz w:val="24"/>
          <w:szCs w:val="24"/>
        </w:rPr>
      </w:pPr>
    </w:p>
    <w:p>
      <w:pPr>
        <w:widowControl/>
        <w:wordWrap w:val="0"/>
        <w:spacing w:line="288" w:lineRule="auto"/>
        <w:ind w:firstLine="480" w:firstLineChars="200"/>
        <w:jc w:val="left"/>
        <w:rPr>
          <w:rFonts w:ascii="宋体" w:hAnsi="宋体" w:cs="宋体"/>
          <w:color w:val="000000"/>
          <w:kern w:val="0"/>
          <w:sz w:val="24"/>
          <w:szCs w:val="24"/>
          <w:u w:val="single"/>
        </w:rPr>
      </w:pPr>
      <w:r>
        <w:rPr>
          <w:rFonts w:hint="eastAsia" w:ascii="宋体" w:hAnsi="宋体" w:cs="宋体"/>
          <w:color w:val="000000"/>
          <w:kern w:val="0"/>
          <w:sz w:val="24"/>
          <w:szCs w:val="24"/>
        </w:rPr>
        <w:t>物业服务企业（以下简称乙方）：</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法定代表人：</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u w:val="single"/>
        </w:rPr>
        <w:br w:type="textWrapping"/>
      </w:r>
      <w:r>
        <w:rPr>
          <w:rFonts w:hint="eastAsia" w:ascii="宋体" w:hAnsi="宋体" w:cs="宋体"/>
          <w:color w:val="000000"/>
          <w:kern w:val="0"/>
          <w:sz w:val="24"/>
          <w:szCs w:val="24"/>
        </w:rPr>
        <w:t>　　注册地：</w:t>
      </w:r>
      <w:r>
        <w:rPr>
          <w:rFonts w:hint="eastAsia" w:ascii="宋体" w:hAnsi="宋体" w:cs="宋体"/>
          <w:color w:val="000000"/>
          <w:kern w:val="0"/>
          <w:sz w:val="24"/>
          <w:szCs w:val="24"/>
          <w:u w:val="single"/>
        </w:rPr>
        <w:t xml:space="preserve">                     </w:t>
      </w:r>
    </w:p>
    <w:p>
      <w:pPr>
        <w:widowControl/>
        <w:wordWrap w:val="0"/>
        <w:spacing w:line="288" w:lineRule="auto"/>
        <w:ind w:firstLine="480" w:firstLineChars="200"/>
        <w:jc w:val="left"/>
        <w:rPr>
          <w:rFonts w:ascii="宋体" w:hAnsi="宋体" w:cs="宋体"/>
          <w:color w:val="auto"/>
          <w:kern w:val="0"/>
          <w:sz w:val="24"/>
          <w:szCs w:val="24"/>
        </w:rPr>
      </w:pPr>
      <w:r>
        <w:rPr>
          <w:rFonts w:hint="eastAsia" w:ascii="宋体" w:hAnsi="宋体" w:cs="宋体"/>
          <w:color w:val="000000"/>
          <w:kern w:val="0"/>
          <w:sz w:val="24"/>
          <w:szCs w:val="24"/>
        </w:rPr>
        <w:t>住所地：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邮编：</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根据《物业管理条例》和</w:t>
      </w:r>
      <w:r>
        <w:rPr>
          <w:rFonts w:hint="eastAsia" w:ascii="宋体" w:hAnsi="宋体" w:cs="宋体"/>
          <w:color w:val="auto"/>
          <w:kern w:val="0"/>
          <w:sz w:val="24"/>
          <w:szCs w:val="24"/>
        </w:rPr>
        <w:t>《安徽省物业管理条例》及相关法律、法规、政策，甲乙双方在自愿、平等、协商一致的基础上，就甲方通过招投标的方式选聘乙方对</w:t>
      </w:r>
      <w:r>
        <w:rPr>
          <w:rFonts w:hint="eastAsia" w:ascii="宋体" w:hAnsi="宋体" w:cs="宋体"/>
          <w:color w:val="auto"/>
          <w:kern w:val="0"/>
          <w:sz w:val="24"/>
          <w:szCs w:val="24"/>
          <w:u w:val="single"/>
          <w:lang w:eastAsia="zh-CN"/>
        </w:rPr>
        <w:t>华强壹号院一、二期</w:t>
      </w:r>
      <w:r>
        <w:rPr>
          <w:rFonts w:hint="eastAsia" w:ascii="宋体" w:hAnsi="宋体" w:cs="宋体"/>
          <w:color w:val="auto"/>
          <w:kern w:val="0"/>
          <w:sz w:val="24"/>
          <w:szCs w:val="24"/>
        </w:rPr>
        <w:t>（物业名称）提供前期物业服务事宜，订立本合同。</w:t>
      </w:r>
    </w:p>
    <w:p>
      <w:pPr>
        <w:widowControl/>
        <w:wordWrap w:val="0"/>
        <w:spacing w:line="288" w:lineRule="auto"/>
        <w:jc w:val="center"/>
        <w:rPr>
          <w:rFonts w:ascii="宋体" w:hAnsi="宋体" w:cs="宋体"/>
          <w:b/>
          <w:bCs/>
          <w:smallCaps/>
          <w:color w:val="auto"/>
          <w:kern w:val="0"/>
          <w:sz w:val="24"/>
          <w:szCs w:val="24"/>
        </w:rPr>
      </w:pPr>
    </w:p>
    <w:p>
      <w:pPr>
        <w:widowControl/>
        <w:wordWrap w:val="0"/>
        <w:spacing w:line="288" w:lineRule="auto"/>
        <w:jc w:val="center"/>
        <w:rPr>
          <w:rFonts w:ascii="宋体" w:hAnsi="宋体" w:cs="宋体"/>
          <w:b/>
          <w:bCs/>
          <w:smallCaps/>
          <w:color w:val="auto"/>
          <w:kern w:val="0"/>
          <w:sz w:val="24"/>
          <w:szCs w:val="24"/>
        </w:rPr>
      </w:pPr>
      <w:r>
        <w:rPr>
          <w:rFonts w:hint="eastAsia" w:ascii="宋体" w:hAnsi="宋体" w:cs="宋体"/>
          <w:b/>
          <w:bCs/>
          <w:smallCaps/>
          <w:color w:val="auto"/>
          <w:kern w:val="0"/>
          <w:sz w:val="24"/>
          <w:szCs w:val="24"/>
        </w:rPr>
        <w:t>第一章　物业基本情况</w:t>
      </w:r>
    </w:p>
    <w:p>
      <w:pPr>
        <w:widowControl/>
        <w:wordWrap w:val="0"/>
        <w:spacing w:line="288" w:lineRule="auto"/>
        <w:ind w:firstLine="361" w:firstLineChars="150"/>
        <w:jc w:val="left"/>
        <w:rPr>
          <w:rFonts w:ascii="宋体" w:hAnsi="宋体" w:cs="宋体"/>
          <w:color w:val="000000"/>
          <w:kern w:val="0"/>
          <w:sz w:val="24"/>
          <w:szCs w:val="24"/>
        </w:rPr>
      </w:pPr>
      <w:bookmarkStart w:id="84" w:name="1"/>
      <w:r>
        <w:rPr>
          <w:rFonts w:hint="eastAsia" w:ascii="宋体" w:hAnsi="宋体" w:cs="宋体"/>
          <w:b/>
          <w:bCs/>
          <w:smallCaps/>
          <w:color w:val="000000"/>
          <w:kern w:val="0"/>
          <w:sz w:val="24"/>
          <w:szCs w:val="24"/>
        </w:rPr>
        <w:t>第一条</w:t>
      </w:r>
      <w:bookmarkEnd w:id="84"/>
      <w:r>
        <w:rPr>
          <w:rFonts w:hint="eastAsia" w:ascii="宋体" w:hAnsi="宋体" w:cs="宋体"/>
          <w:color w:val="000000"/>
          <w:kern w:val="0"/>
          <w:sz w:val="24"/>
          <w:szCs w:val="24"/>
        </w:rPr>
        <w:t>　物业基本情况：</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物业名称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物业类型</w:t>
      </w:r>
      <w:r>
        <w:rPr>
          <w:rFonts w:hint="eastAsia" w:ascii="宋体" w:hAnsi="宋体" w:cs="宋体"/>
          <w:color w:val="000000"/>
          <w:kern w:val="0"/>
          <w:sz w:val="24"/>
          <w:szCs w:val="24"/>
          <w:u w:val="single"/>
        </w:rPr>
        <w:t>商住</w:t>
      </w:r>
      <w:r>
        <w:rPr>
          <w:rFonts w:hint="eastAsia" w:ascii="宋体" w:hAnsi="宋体" w:cs="宋体"/>
          <w:color w:val="000000"/>
          <w:kern w:val="0"/>
          <w:sz w:val="24"/>
          <w:szCs w:val="24"/>
        </w:rPr>
        <w:t>；</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座落位置</w:t>
      </w:r>
      <w:r>
        <w:rPr>
          <w:rFonts w:hint="eastAsia" w:ascii="宋体" w:hAnsi="宋体" w:cs="宋体"/>
          <w:color w:val="000000"/>
          <w:kern w:val="0"/>
          <w:sz w:val="24"/>
          <w:szCs w:val="24"/>
          <w:u w:val="single"/>
        </w:rPr>
        <w:t xml:space="preserve"> 安园大道西侧、淠源渠东侧、红源大道北侧</w:t>
      </w:r>
      <w:r>
        <w:rPr>
          <w:rFonts w:hint="eastAsia" w:ascii="宋体" w:hAnsi="宋体" w:cs="宋体"/>
          <w:color w:val="000000"/>
          <w:kern w:val="0"/>
          <w:sz w:val="24"/>
          <w:szCs w:val="24"/>
        </w:rPr>
        <w:t>；</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建筑面积约</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u w:val="single"/>
        </w:rPr>
        <w:t>万平米</w:t>
      </w:r>
      <w:r>
        <w:rPr>
          <w:rFonts w:hint="eastAsia" w:ascii="宋体" w:hAnsi="宋体" w:cs="宋体"/>
          <w:color w:val="000000"/>
          <w:kern w:val="0"/>
          <w:sz w:val="24"/>
          <w:szCs w:val="24"/>
        </w:rPr>
        <w:t>。</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物业管理区域四至：</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东至</w:t>
      </w:r>
      <w:r>
        <w:rPr>
          <w:rFonts w:hint="eastAsia" w:ascii="宋体" w:hAnsi="宋体" w:cs="宋体"/>
          <w:color w:val="000000"/>
          <w:kern w:val="0"/>
          <w:sz w:val="24"/>
          <w:szCs w:val="24"/>
          <w:u w:val="single"/>
        </w:rPr>
        <w:t>安园大道</w:t>
      </w:r>
      <w:r>
        <w:rPr>
          <w:rFonts w:hint="eastAsia" w:ascii="宋体" w:hAnsi="宋体" w:cs="宋体"/>
          <w:color w:val="000000"/>
          <w:kern w:val="0"/>
          <w:sz w:val="24"/>
          <w:szCs w:val="24"/>
        </w:rPr>
        <w:t>；</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南至</w:t>
      </w:r>
      <w:r>
        <w:rPr>
          <w:rFonts w:hint="eastAsia" w:ascii="宋体" w:hAnsi="宋体" w:cs="宋体"/>
          <w:color w:val="000000"/>
          <w:kern w:val="0"/>
          <w:sz w:val="24"/>
          <w:szCs w:val="24"/>
          <w:u w:val="single"/>
        </w:rPr>
        <w:t>淠源渠</w:t>
      </w:r>
      <w:r>
        <w:rPr>
          <w:rFonts w:hint="eastAsia" w:ascii="宋体" w:hAnsi="宋体" w:cs="宋体"/>
          <w:color w:val="000000"/>
          <w:kern w:val="0"/>
          <w:sz w:val="24"/>
          <w:szCs w:val="24"/>
        </w:rPr>
        <w:t>；</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西至</w:t>
      </w:r>
      <w:r>
        <w:rPr>
          <w:rFonts w:hint="eastAsia" w:ascii="宋体" w:hAnsi="宋体" w:cs="宋体"/>
          <w:color w:val="000000"/>
          <w:kern w:val="0"/>
          <w:sz w:val="24"/>
          <w:szCs w:val="24"/>
          <w:u w:val="single"/>
        </w:rPr>
        <w:t>淠源渠</w:t>
      </w:r>
      <w:r>
        <w:rPr>
          <w:rFonts w:hint="eastAsia" w:ascii="宋体" w:hAnsi="宋体" w:cs="宋体"/>
          <w:color w:val="000000"/>
          <w:kern w:val="0"/>
          <w:sz w:val="24"/>
          <w:szCs w:val="24"/>
        </w:rPr>
        <w:t>；</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北至</w:t>
      </w:r>
      <w:r>
        <w:rPr>
          <w:rFonts w:hint="eastAsia" w:ascii="宋体" w:hAnsi="宋体" w:cs="宋体"/>
          <w:color w:val="000000"/>
          <w:kern w:val="0"/>
          <w:sz w:val="24"/>
          <w:szCs w:val="24"/>
          <w:u w:val="single"/>
        </w:rPr>
        <w:t>红源大道</w:t>
      </w:r>
      <w:r>
        <w:rPr>
          <w:rFonts w:hint="eastAsia" w:ascii="宋体" w:hAnsi="宋体" w:cs="宋体"/>
          <w:color w:val="000000"/>
          <w:kern w:val="0"/>
          <w:sz w:val="24"/>
          <w:szCs w:val="24"/>
        </w:rPr>
        <w:t>。</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（规划平面图见附件一，物业构成明细见附件二）。</w:t>
      </w:r>
    </w:p>
    <w:p>
      <w:pPr>
        <w:widowControl/>
        <w:wordWrap w:val="0"/>
        <w:spacing w:line="288" w:lineRule="auto"/>
        <w:jc w:val="center"/>
        <w:rPr>
          <w:rFonts w:ascii="宋体" w:hAnsi="宋体" w:cs="宋体"/>
          <w:b/>
          <w:bCs/>
          <w:smallCaps/>
          <w:color w:val="000000"/>
          <w:kern w:val="0"/>
          <w:sz w:val="24"/>
          <w:szCs w:val="24"/>
        </w:rPr>
      </w:pPr>
      <w:r>
        <w:rPr>
          <w:rFonts w:hint="eastAsia" w:ascii="宋体" w:hAnsi="宋体" w:cs="宋体"/>
          <w:b/>
          <w:bCs/>
          <w:smallCaps/>
          <w:color w:val="000000"/>
          <w:kern w:val="0"/>
          <w:sz w:val="24"/>
          <w:szCs w:val="24"/>
        </w:rPr>
        <w:t>第二章　物业服务内容与标准</w:t>
      </w:r>
    </w:p>
    <w:p>
      <w:pPr>
        <w:widowControl/>
        <w:wordWrap w:val="0"/>
        <w:spacing w:line="288" w:lineRule="auto"/>
        <w:ind w:firstLine="361" w:firstLineChars="150"/>
        <w:jc w:val="left"/>
        <w:rPr>
          <w:rFonts w:ascii="宋体" w:hAnsi="宋体" w:cs="宋体"/>
          <w:color w:val="000000"/>
          <w:kern w:val="0"/>
          <w:sz w:val="24"/>
          <w:szCs w:val="24"/>
        </w:rPr>
      </w:pPr>
      <w:bookmarkStart w:id="85" w:name="2"/>
      <w:r>
        <w:rPr>
          <w:rFonts w:hint="eastAsia" w:ascii="宋体" w:hAnsi="宋体" w:cs="宋体"/>
          <w:b/>
          <w:bCs/>
          <w:smallCaps/>
          <w:color w:val="000000"/>
          <w:kern w:val="0"/>
          <w:sz w:val="24"/>
          <w:szCs w:val="24"/>
        </w:rPr>
        <w:t>第二条</w:t>
      </w:r>
      <w:bookmarkEnd w:id="85"/>
      <w:r>
        <w:rPr>
          <w:rFonts w:hint="eastAsia" w:ascii="宋体" w:hAnsi="宋体" w:cs="宋体"/>
          <w:color w:val="000000"/>
          <w:kern w:val="0"/>
          <w:sz w:val="24"/>
          <w:szCs w:val="24"/>
        </w:rPr>
        <w:t>　在物业管理区域内，乙方提供的前期物业服务包括以下内容：</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1、物业共用部位的维修、养护和管理（物业共用部位明细见附件一）；</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2、物业共用设施设备的运行、维修、养护和管理（物业共用设施设备明细见附件三）；</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3、物业共用部位和相关场地的清洁卫生，垃圾的收集、清运及雨、污水管道的疏通；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4、公共绿化的养护和管理；</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5、车辆停放管理；</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6、公共秩序维护、安全防范等事项的协助管理；</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7、装饰装修管理服务；</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8、物业档案资料管理。</w:t>
      </w:r>
    </w:p>
    <w:p>
      <w:pPr>
        <w:widowControl/>
        <w:wordWrap w:val="0"/>
        <w:spacing w:line="288" w:lineRule="auto"/>
        <w:jc w:val="left"/>
        <w:rPr>
          <w:rFonts w:ascii="宋体" w:hAnsi="宋体" w:cs="宋体"/>
          <w:color w:val="000000"/>
          <w:kern w:val="0"/>
          <w:sz w:val="24"/>
          <w:szCs w:val="24"/>
        </w:rPr>
      </w:pPr>
      <w:bookmarkStart w:id="86" w:name="3"/>
      <w:r>
        <w:rPr>
          <w:rFonts w:hint="eastAsia" w:ascii="宋体" w:hAnsi="宋体" w:cs="宋体"/>
          <w:b/>
          <w:bCs/>
          <w:smallCaps/>
          <w:color w:val="000000"/>
          <w:kern w:val="0"/>
          <w:sz w:val="24"/>
          <w:szCs w:val="24"/>
        </w:rPr>
        <w:t>　　第三条</w:t>
      </w:r>
      <w:bookmarkEnd w:id="86"/>
      <w:r>
        <w:rPr>
          <w:rFonts w:hint="eastAsia" w:ascii="宋体" w:hAnsi="宋体" w:cs="宋体"/>
          <w:color w:val="000000"/>
          <w:kern w:val="0"/>
          <w:sz w:val="24"/>
          <w:szCs w:val="24"/>
        </w:rPr>
        <w:t>　在物业管理区域内，乙方提供的其他服务包括以下事项：</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1、</w:t>
      </w:r>
      <w:r>
        <w:rPr>
          <w:rFonts w:hint="eastAsia" w:ascii="宋体" w:hAnsi="宋体" w:cs="宋体"/>
          <w:color w:val="000000"/>
          <w:kern w:val="0"/>
          <w:sz w:val="24"/>
          <w:szCs w:val="24"/>
          <w:u w:val="single"/>
        </w:rPr>
        <w:t>装潢服务</w:t>
      </w:r>
      <w:r>
        <w:rPr>
          <w:rFonts w:hint="eastAsia" w:ascii="宋体" w:hAnsi="宋体" w:cs="宋体"/>
          <w:color w:val="000000"/>
          <w:kern w:val="0"/>
          <w:sz w:val="24"/>
          <w:szCs w:val="24"/>
        </w:rPr>
        <w:t>；</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2、</w:t>
      </w:r>
      <w:r>
        <w:rPr>
          <w:rFonts w:hint="eastAsia" w:ascii="宋体" w:hAnsi="宋体" w:cs="宋体"/>
          <w:color w:val="000000"/>
          <w:kern w:val="0"/>
          <w:sz w:val="24"/>
          <w:szCs w:val="24"/>
          <w:u w:val="single"/>
        </w:rPr>
        <w:t>家政服务</w:t>
      </w:r>
      <w:r>
        <w:rPr>
          <w:rFonts w:hint="eastAsia" w:ascii="宋体" w:hAnsi="宋体" w:cs="宋体"/>
          <w:color w:val="000000"/>
          <w:kern w:val="0"/>
          <w:sz w:val="24"/>
          <w:szCs w:val="24"/>
        </w:rPr>
        <w:t>；</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3、</w:t>
      </w:r>
      <w:r>
        <w:rPr>
          <w:rFonts w:hint="eastAsia" w:ascii="宋体" w:hAnsi="宋体" w:cs="宋体"/>
          <w:color w:val="000000"/>
          <w:kern w:val="0"/>
          <w:sz w:val="24"/>
          <w:szCs w:val="24"/>
          <w:u w:val="single"/>
        </w:rPr>
        <w:t>物业租售服务</w:t>
      </w:r>
      <w:r>
        <w:rPr>
          <w:rFonts w:hint="eastAsia" w:ascii="宋体" w:hAnsi="宋体" w:cs="宋体"/>
          <w:color w:val="000000"/>
          <w:kern w:val="0"/>
          <w:sz w:val="24"/>
          <w:szCs w:val="24"/>
        </w:rPr>
        <w:t>。</w:t>
      </w:r>
    </w:p>
    <w:p>
      <w:pPr>
        <w:widowControl/>
        <w:wordWrap w:val="0"/>
        <w:spacing w:line="288" w:lineRule="auto"/>
        <w:jc w:val="left"/>
        <w:rPr>
          <w:rFonts w:ascii="宋体" w:hAnsi="宋体" w:cs="宋体"/>
          <w:color w:val="000000"/>
          <w:kern w:val="0"/>
          <w:sz w:val="24"/>
          <w:szCs w:val="24"/>
        </w:rPr>
      </w:pPr>
      <w:bookmarkStart w:id="87" w:name="4"/>
      <w:r>
        <w:rPr>
          <w:rFonts w:hint="eastAsia" w:ascii="宋体" w:hAnsi="宋体" w:cs="宋体"/>
          <w:b/>
          <w:bCs/>
          <w:smallCaps/>
          <w:color w:val="000000"/>
          <w:kern w:val="0"/>
          <w:sz w:val="24"/>
          <w:szCs w:val="24"/>
        </w:rPr>
        <w:t>　　第四条</w:t>
      </w:r>
      <w:bookmarkEnd w:id="87"/>
      <w:r>
        <w:rPr>
          <w:rFonts w:hint="eastAsia" w:ascii="宋体" w:hAnsi="宋体" w:cs="宋体"/>
          <w:color w:val="000000"/>
          <w:kern w:val="0"/>
          <w:sz w:val="24"/>
          <w:szCs w:val="24"/>
        </w:rPr>
        <w:t>　乙方提供的前期物业服务应达到《六安城区物业服务分等定级标准》</w:t>
      </w:r>
      <w:r>
        <w:rPr>
          <w:rFonts w:hint="eastAsia" w:ascii="宋体" w:hAnsi="宋体" w:cs="宋体"/>
          <w:color w:val="000000"/>
          <w:kern w:val="0"/>
          <w:sz w:val="24"/>
          <w:szCs w:val="24"/>
          <w:u w:val="single"/>
        </w:rPr>
        <w:t>一</w:t>
      </w:r>
      <w:r>
        <w:rPr>
          <w:rFonts w:hint="eastAsia" w:ascii="宋体" w:hAnsi="宋体" w:cs="宋体"/>
          <w:color w:val="000000"/>
          <w:kern w:val="0"/>
          <w:sz w:val="24"/>
          <w:szCs w:val="24"/>
          <w:u w:val="single"/>
          <w:lang w:eastAsia="zh-CN"/>
        </w:rPr>
        <w:t>（</w:t>
      </w:r>
      <w:r>
        <w:rPr>
          <w:rFonts w:hint="eastAsia" w:ascii="宋体" w:hAnsi="宋体" w:cs="宋体"/>
          <w:color w:val="000000"/>
          <w:kern w:val="0"/>
          <w:sz w:val="24"/>
          <w:szCs w:val="24"/>
          <w:u w:val="single"/>
          <w:lang w:val="en-US" w:eastAsia="zh-CN"/>
        </w:rPr>
        <w:t>A</w:t>
      </w:r>
      <w:r>
        <w:rPr>
          <w:rFonts w:hint="eastAsia" w:ascii="宋体" w:hAnsi="宋体" w:cs="宋体"/>
          <w:color w:val="000000"/>
          <w:kern w:val="0"/>
          <w:sz w:val="24"/>
          <w:szCs w:val="24"/>
          <w:u w:val="single"/>
          <w:lang w:eastAsia="zh-CN"/>
        </w:rPr>
        <w:t>）</w:t>
      </w:r>
      <w:r>
        <w:rPr>
          <w:rFonts w:hint="eastAsia" w:ascii="宋体" w:hAnsi="宋体" w:cs="宋体"/>
          <w:color w:val="000000"/>
          <w:kern w:val="0"/>
          <w:sz w:val="24"/>
          <w:szCs w:val="24"/>
        </w:rPr>
        <w:t>级服务标准（具体服务标准见附件四）。</w:t>
      </w:r>
    </w:p>
    <w:p>
      <w:pPr>
        <w:widowControl/>
        <w:wordWrap w:val="0"/>
        <w:spacing w:line="288" w:lineRule="auto"/>
        <w:jc w:val="left"/>
        <w:rPr>
          <w:rFonts w:ascii="宋体" w:hAnsi="宋体" w:cs="宋体"/>
          <w:color w:val="000000"/>
          <w:kern w:val="0"/>
          <w:sz w:val="24"/>
          <w:szCs w:val="24"/>
        </w:rPr>
      </w:pPr>
      <w:bookmarkStart w:id="88" w:name="5"/>
      <w:r>
        <w:rPr>
          <w:rFonts w:hint="eastAsia" w:ascii="宋体" w:hAnsi="宋体" w:cs="宋体"/>
          <w:b/>
          <w:bCs/>
          <w:smallCaps/>
          <w:color w:val="000000"/>
          <w:kern w:val="0"/>
          <w:sz w:val="24"/>
          <w:szCs w:val="24"/>
        </w:rPr>
        <w:t>　　第五条</w:t>
      </w:r>
      <w:bookmarkEnd w:id="88"/>
      <w:r>
        <w:rPr>
          <w:rFonts w:hint="eastAsia" w:ascii="宋体" w:hAnsi="宋体" w:cs="宋体"/>
          <w:color w:val="000000"/>
          <w:kern w:val="0"/>
          <w:sz w:val="24"/>
          <w:szCs w:val="24"/>
        </w:rPr>
        <w:t xml:space="preserve">　乙方可以根据业主的委托提供物业服务合同约定以外的服务项目，服务报酬由双方约定。 </w:t>
      </w:r>
    </w:p>
    <w:p>
      <w:pPr>
        <w:widowControl/>
        <w:wordWrap w:val="0"/>
        <w:spacing w:line="288" w:lineRule="auto"/>
        <w:jc w:val="center"/>
        <w:rPr>
          <w:rFonts w:ascii="宋体" w:hAnsi="宋体" w:cs="宋体"/>
          <w:b/>
          <w:bCs/>
          <w:smallCaps/>
          <w:color w:val="000000"/>
          <w:kern w:val="0"/>
          <w:sz w:val="24"/>
          <w:szCs w:val="24"/>
        </w:rPr>
      </w:pPr>
      <w:r>
        <w:rPr>
          <w:rFonts w:hint="eastAsia" w:ascii="宋体" w:hAnsi="宋体" w:cs="宋体"/>
          <w:b/>
          <w:bCs/>
          <w:smallCaps/>
          <w:color w:val="000000"/>
          <w:kern w:val="0"/>
          <w:sz w:val="24"/>
          <w:szCs w:val="24"/>
        </w:rPr>
        <w:t>第三章　物业服务费用</w:t>
      </w:r>
    </w:p>
    <w:p>
      <w:pPr>
        <w:widowControl/>
        <w:wordWrap w:val="0"/>
        <w:spacing w:line="288" w:lineRule="auto"/>
        <w:ind w:firstLine="482" w:firstLineChars="200"/>
        <w:jc w:val="left"/>
        <w:rPr>
          <w:rFonts w:ascii="宋体" w:hAnsi="宋体" w:cs="宋体"/>
          <w:color w:val="000000"/>
          <w:kern w:val="0"/>
          <w:sz w:val="24"/>
          <w:szCs w:val="24"/>
        </w:rPr>
      </w:pPr>
      <w:bookmarkStart w:id="89" w:name="6"/>
      <w:r>
        <w:rPr>
          <w:rFonts w:hint="eastAsia" w:ascii="宋体" w:hAnsi="宋体" w:cs="宋体"/>
          <w:b/>
          <w:bCs/>
          <w:smallCaps/>
          <w:color w:val="000000"/>
          <w:kern w:val="0"/>
          <w:sz w:val="24"/>
          <w:szCs w:val="24"/>
        </w:rPr>
        <w:t>第六条</w:t>
      </w:r>
      <w:bookmarkEnd w:id="89"/>
      <w:r>
        <w:rPr>
          <w:rFonts w:hint="eastAsia" w:ascii="宋体" w:hAnsi="宋体" w:cs="宋体"/>
          <w:color w:val="000000"/>
          <w:kern w:val="0"/>
          <w:sz w:val="24"/>
          <w:szCs w:val="24"/>
        </w:rPr>
        <w:t>　自签字合同生效时甲方一次性付给乙方开办费用</w:t>
      </w:r>
      <w:r>
        <w:rPr>
          <w:rFonts w:hint="eastAsia" w:ascii="宋体" w:hAnsi="宋体" w:cs="宋体"/>
          <w:color w:val="000000"/>
          <w:kern w:val="0"/>
          <w:sz w:val="24"/>
          <w:szCs w:val="24"/>
          <w:u w:val="single"/>
        </w:rPr>
        <w:t>零</w:t>
      </w:r>
      <w:r>
        <w:rPr>
          <w:rFonts w:hint="eastAsia" w:ascii="宋体" w:hAnsi="宋体" w:cs="宋体"/>
          <w:color w:val="000000"/>
          <w:kern w:val="0"/>
          <w:sz w:val="24"/>
          <w:szCs w:val="24"/>
        </w:rPr>
        <w:t>元。</w:t>
      </w:r>
    </w:p>
    <w:p>
      <w:pPr>
        <w:widowControl/>
        <w:wordWrap w:val="0"/>
        <w:spacing w:line="288" w:lineRule="auto"/>
        <w:ind w:firstLine="482" w:firstLineChars="200"/>
        <w:jc w:val="left"/>
        <w:rPr>
          <w:rFonts w:ascii="宋体" w:hAnsi="宋体" w:cs="宋体"/>
          <w:color w:val="000000"/>
          <w:kern w:val="0"/>
          <w:sz w:val="24"/>
          <w:szCs w:val="24"/>
        </w:rPr>
      </w:pPr>
      <w:r>
        <w:rPr>
          <w:rFonts w:hint="eastAsia" w:ascii="宋体" w:hAnsi="宋体" w:cs="宋体"/>
          <w:b/>
          <w:color w:val="000000"/>
          <w:kern w:val="0"/>
          <w:sz w:val="24"/>
          <w:szCs w:val="24"/>
        </w:rPr>
        <w:t>第七条</w:t>
      </w:r>
      <w:r>
        <w:rPr>
          <w:rFonts w:hint="eastAsia" w:ascii="宋体" w:hAnsi="宋体" w:cs="宋体"/>
          <w:color w:val="000000"/>
          <w:kern w:val="0"/>
          <w:sz w:val="24"/>
          <w:szCs w:val="24"/>
        </w:rPr>
        <w:t xml:space="preserve">  本物业管理区域物业服务收费选择以下第</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种方式：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1、包干制</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物业服务费用由业主按其拥有物业的建筑面积交纳，具体标准如下：</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多层住宅：</w:t>
      </w:r>
      <w:r>
        <w:rPr>
          <w:rFonts w:hint="eastAsia" w:ascii="宋体" w:hAnsi="宋体" w:cs="宋体"/>
          <w:color w:val="000000"/>
          <w:kern w:val="0"/>
          <w:sz w:val="24"/>
          <w:szCs w:val="24"/>
          <w:u w:val="single"/>
        </w:rPr>
        <w:t>/</w:t>
      </w:r>
      <w:r>
        <w:rPr>
          <w:rFonts w:hint="eastAsia" w:ascii="宋体" w:hAnsi="宋体" w:cs="宋体"/>
          <w:color w:val="000000"/>
          <w:kern w:val="0"/>
          <w:sz w:val="24"/>
          <w:szCs w:val="24"/>
        </w:rPr>
        <w:t>元/月.平方米；</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高层住宅：</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元/月.平方米；</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别墅（联排、类独）：</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元/月.平方米；</w:t>
      </w:r>
    </w:p>
    <w:p>
      <w:pPr>
        <w:widowControl/>
        <w:wordWrap w:val="0"/>
        <w:spacing w:line="288"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叠墅：</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元/月.平方米；</w:t>
      </w:r>
    </w:p>
    <w:p>
      <w:pPr>
        <w:widowControl/>
        <w:wordWrap w:val="0"/>
        <w:spacing w:line="288"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洋房：</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元/月.平方米；</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商业物业：</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元/月.平方米；</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w:t>
      </w:r>
      <w:r>
        <w:rPr>
          <w:rFonts w:hint="eastAsia" w:ascii="宋体" w:hAnsi="宋体" w:cs="宋体"/>
          <w:color w:val="000000"/>
          <w:kern w:val="0"/>
          <w:sz w:val="24"/>
          <w:szCs w:val="24"/>
          <w:u w:val="single"/>
        </w:rPr>
        <w:t xml:space="preserve">   /   </w:t>
      </w:r>
      <w:r>
        <w:rPr>
          <w:rFonts w:hint="eastAsia" w:ascii="宋体" w:hAnsi="宋体" w:cs="宋体"/>
          <w:color w:val="000000"/>
          <w:kern w:val="0"/>
          <w:sz w:val="24"/>
          <w:szCs w:val="24"/>
        </w:rPr>
        <w:t>物业：</w:t>
      </w:r>
      <w:r>
        <w:rPr>
          <w:rFonts w:hint="eastAsia" w:ascii="宋体" w:hAnsi="宋体" w:cs="宋体"/>
          <w:color w:val="000000"/>
          <w:kern w:val="0"/>
          <w:sz w:val="24"/>
          <w:szCs w:val="24"/>
          <w:u w:val="single"/>
        </w:rPr>
        <w:t xml:space="preserve">  /  </w:t>
      </w:r>
      <w:r>
        <w:rPr>
          <w:rFonts w:hint="eastAsia" w:ascii="宋体" w:hAnsi="宋体" w:cs="宋体"/>
          <w:color w:val="000000"/>
          <w:kern w:val="0"/>
          <w:sz w:val="24"/>
          <w:szCs w:val="24"/>
        </w:rPr>
        <w:t>元/月.平方米。</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物业服务费用主要用于以下开支：</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（1）管理服务人员的工资、社会保险和按规定提取的福利费等；</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（2）物业共用部位、共用设施设备的日常运行、维护费用；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（3）物业管理区域清洁卫生费用；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（4）物业管理区域绿化养护费用；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（5）物业管理区域秩序维护费用；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（6）办公费用；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（7）物业服务企业固定资产折旧；</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（8）物业共用部位、共用设施设备及公众责任保险费用；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（9）法定税费；</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（10）物业服务企业的利润；</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（11）</w:t>
      </w:r>
      <w:r>
        <w:rPr>
          <w:rFonts w:hint="eastAsia" w:ascii="宋体" w:hAnsi="宋体" w:cs="宋体"/>
          <w:color w:val="000000"/>
          <w:kern w:val="0"/>
          <w:sz w:val="24"/>
          <w:szCs w:val="24"/>
          <w:u w:val="single"/>
        </w:rPr>
        <w:t>/</w:t>
      </w:r>
      <w:r>
        <w:rPr>
          <w:rFonts w:hint="eastAsia" w:ascii="宋体" w:hAnsi="宋体" w:cs="宋体"/>
          <w:color w:val="000000"/>
          <w:kern w:val="0"/>
          <w:sz w:val="24"/>
          <w:szCs w:val="24"/>
        </w:rPr>
        <w:t>。</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乙方按照上述标准收取物业服务费用，并按本合同约定的服务内容和质量标准提供服务，盈余或亏损由乙方享有或承担。</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2、酬金制</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物业服务资金由业主按其拥有物业的建筑面积预先交纳，具体标准如下：</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多层住宅：</w:t>
      </w:r>
      <w:r>
        <w:rPr>
          <w:rFonts w:hint="eastAsia" w:ascii="宋体" w:hAnsi="宋体" w:cs="宋体"/>
          <w:color w:val="000000"/>
          <w:kern w:val="0"/>
          <w:sz w:val="24"/>
          <w:szCs w:val="24"/>
          <w:u w:val="single"/>
        </w:rPr>
        <w:t>/</w:t>
      </w:r>
      <w:r>
        <w:rPr>
          <w:rFonts w:hint="eastAsia" w:ascii="宋体" w:hAnsi="宋体" w:cs="宋体"/>
          <w:color w:val="000000"/>
          <w:kern w:val="0"/>
          <w:sz w:val="24"/>
          <w:szCs w:val="24"/>
        </w:rPr>
        <w:t>元/月.平方米；</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高层住宅：</w:t>
      </w:r>
      <w:r>
        <w:rPr>
          <w:rFonts w:hint="eastAsia" w:ascii="宋体" w:hAnsi="宋体" w:cs="宋体"/>
          <w:color w:val="000000"/>
          <w:kern w:val="0"/>
          <w:sz w:val="24"/>
          <w:szCs w:val="24"/>
          <w:u w:val="single"/>
        </w:rPr>
        <w:t>/</w:t>
      </w:r>
      <w:r>
        <w:rPr>
          <w:rFonts w:hint="eastAsia" w:ascii="宋体" w:hAnsi="宋体" w:cs="宋体"/>
          <w:color w:val="000000"/>
          <w:kern w:val="0"/>
          <w:sz w:val="24"/>
          <w:szCs w:val="24"/>
        </w:rPr>
        <w:t>元/月.平方米；</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别墅：</w:t>
      </w:r>
      <w:r>
        <w:rPr>
          <w:rFonts w:hint="eastAsia" w:ascii="宋体" w:hAnsi="宋体" w:cs="宋体"/>
          <w:color w:val="000000"/>
          <w:kern w:val="0"/>
          <w:sz w:val="24"/>
          <w:szCs w:val="24"/>
          <w:u w:val="single"/>
        </w:rPr>
        <w:t>/</w:t>
      </w:r>
      <w:r>
        <w:rPr>
          <w:rFonts w:hint="eastAsia" w:ascii="宋体" w:hAnsi="宋体" w:cs="宋体"/>
          <w:color w:val="000000"/>
          <w:kern w:val="0"/>
          <w:sz w:val="24"/>
          <w:szCs w:val="24"/>
        </w:rPr>
        <w:t>元/月.平方米；</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办公楼：</w:t>
      </w:r>
      <w:r>
        <w:rPr>
          <w:rFonts w:hint="eastAsia" w:ascii="宋体" w:hAnsi="宋体" w:cs="宋体"/>
          <w:color w:val="000000"/>
          <w:kern w:val="0"/>
          <w:sz w:val="24"/>
          <w:szCs w:val="24"/>
          <w:u w:val="single"/>
        </w:rPr>
        <w:t>/</w:t>
      </w:r>
      <w:r>
        <w:rPr>
          <w:rFonts w:hint="eastAsia" w:ascii="宋体" w:hAnsi="宋体" w:cs="宋体"/>
          <w:color w:val="000000"/>
          <w:kern w:val="0"/>
          <w:sz w:val="24"/>
          <w:szCs w:val="24"/>
        </w:rPr>
        <w:t>元/月.平方米；</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商业物业：</w:t>
      </w:r>
      <w:r>
        <w:rPr>
          <w:rFonts w:hint="eastAsia" w:ascii="宋体" w:hAnsi="宋体" w:cs="宋体"/>
          <w:color w:val="000000"/>
          <w:kern w:val="0"/>
          <w:sz w:val="24"/>
          <w:szCs w:val="24"/>
          <w:u w:val="single"/>
        </w:rPr>
        <w:t>/</w:t>
      </w:r>
      <w:r>
        <w:rPr>
          <w:rFonts w:hint="eastAsia" w:ascii="宋体" w:hAnsi="宋体" w:cs="宋体"/>
          <w:color w:val="000000"/>
          <w:kern w:val="0"/>
          <w:sz w:val="24"/>
          <w:szCs w:val="24"/>
        </w:rPr>
        <w:t>元/月.平方米；</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物业：</w:t>
      </w:r>
      <w:r>
        <w:rPr>
          <w:rFonts w:hint="eastAsia" w:ascii="宋体" w:hAnsi="宋体" w:cs="宋体"/>
          <w:color w:val="000000"/>
          <w:kern w:val="0"/>
          <w:sz w:val="24"/>
          <w:szCs w:val="24"/>
          <w:u w:val="single"/>
        </w:rPr>
        <w:t>/</w:t>
      </w:r>
      <w:r>
        <w:rPr>
          <w:rFonts w:hint="eastAsia" w:ascii="宋体" w:hAnsi="宋体" w:cs="宋体"/>
          <w:color w:val="000000"/>
          <w:kern w:val="0"/>
          <w:sz w:val="24"/>
          <w:szCs w:val="24"/>
        </w:rPr>
        <w:t>元/月.平方米。</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预收的物业服务资金由物业服务支出和乙方的酬金构成。</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物业服务支出为所交纳的业主所有，由乙方代管，主要用于以下开支：</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（1）管理服务人员的工资、社会保险和按规定提取的福利费等；</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（2）物业共用部位、共用设施设备的日常运行、维护费用；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（3）物业管理区域清洁卫生费用；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（4）物业管理区域绿化养护费用；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（5）物业管理区域秩序维护费用；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（6）办公费用；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（7）物业服务企业固定资产折旧；</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（8）物业共用部位、共用设施设备及公众责任保险费用；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（9）</w:t>
      </w:r>
      <w:r>
        <w:rPr>
          <w:rFonts w:hint="eastAsia" w:ascii="宋体" w:hAnsi="宋体" w:cs="宋体"/>
          <w:color w:val="000000"/>
          <w:kern w:val="0"/>
          <w:sz w:val="24"/>
          <w:szCs w:val="24"/>
          <w:u w:val="single"/>
        </w:rPr>
        <w:t>/</w:t>
      </w:r>
      <w:r>
        <w:rPr>
          <w:rFonts w:hint="eastAsia" w:ascii="宋体" w:hAnsi="宋体" w:cs="宋体"/>
          <w:color w:val="000000"/>
          <w:kern w:val="0"/>
          <w:sz w:val="24"/>
          <w:szCs w:val="24"/>
        </w:rPr>
        <w:t>。</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乙方采取以下第</w:t>
      </w:r>
      <w:r>
        <w:rPr>
          <w:rFonts w:hint="eastAsia" w:ascii="宋体" w:hAnsi="宋体" w:cs="宋体"/>
          <w:color w:val="000000"/>
          <w:kern w:val="0"/>
          <w:sz w:val="24"/>
          <w:szCs w:val="24"/>
          <w:u w:val="single"/>
        </w:rPr>
        <w:t>/</w:t>
      </w:r>
      <w:r>
        <w:rPr>
          <w:rFonts w:hint="eastAsia" w:ascii="宋体" w:hAnsi="宋体" w:cs="宋体"/>
          <w:color w:val="000000"/>
          <w:kern w:val="0"/>
          <w:sz w:val="24"/>
          <w:szCs w:val="24"/>
        </w:rPr>
        <w:t>种方式提取酬金：</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（1）乙方按</w:t>
      </w:r>
      <w:r>
        <w:rPr>
          <w:rFonts w:hint="eastAsia" w:ascii="宋体" w:hAnsi="宋体" w:cs="宋体"/>
          <w:color w:val="000000"/>
          <w:kern w:val="0"/>
          <w:sz w:val="24"/>
          <w:szCs w:val="24"/>
          <w:u w:val="single"/>
        </w:rPr>
        <w:t xml:space="preserve">     /    </w:t>
      </w:r>
      <w:r>
        <w:rPr>
          <w:rFonts w:hint="eastAsia" w:ascii="宋体" w:hAnsi="宋体" w:cs="宋体"/>
          <w:color w:val="000000"/>
          <w:kern w:val="0"/>
          <w:sz w:val="24"/>
          <w:szCs w:val="24"/>
        </w:rPr>
        <w:t>（每月/每季/每年）＿＿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元的标准从预收的物业服务资金中提取。</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（2）乙方</w:t>
      </w:r>
      <w:r>
        <w:rPr>
          <w:rFonts w:hint="eastAsia" w:ascii="宋体" w:hAnsi="宋体" w:cs="宋体"/>
          <w:color w:val="000000"/>
          <w:kern w:val="0"/>
          <w:sz w:val="24"/>
          <w:szCs w:val="24"/>
          <w:u w:val="single"/>
        </w:rPr>
        <w:t xml:space="preserve">   /  </w:t>
      </w:r>
      <w:r>
        <w:rPr>
          <w:rFonts w:hint="eastAsia" w:ascii="宋体" w:hAnsi="宋体" w:cs="宋体"/>
          <w:color w:val="000000"/>
          <w:kern w:val="0"/>
          <w:sz w:val="24"/>
          <w:szCs w:val="24"/>
        </w:rPr>
        <w:t>（每月/每季/每年）按应收的物业服务资金</w:t>
      </w:r>
      <w:r>
        <w:rPr>
          <w:rFonts w:hint="eastAsia" w:ascii="宋体" w:hAnsi="宋体" w:cs="宋体"/>
          <w:color w:val="000000"/>
          <w:kern w:val="0"/>
          <w:sz w:val="24"/>
          <w:szCs w:val="24"/>
          <w:u w:val="single"/>
        </w:rPr>
        <w:t xml:space="preserve">     /    </w:t>
      </w:r>
      <w:r>
        <w:rPr>
          <w:rFonts w:hint="eastAsia" w:ascii="宋体" w:hAnsi="宋体" w:cs="宋体"/>
          <w:color w:val="000000"/>
          <w:kern w:val="0"/>
          <w:sz w:val="24"/>
          <w:szCs w:val="24"/>
        </w:rPr>
        <w:t>%的比例提取。</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物业服务支出应全部用于本合同约定的支出。物业服务支出年度结算后结余部分，转入下一年度继续使用；物业服务支出年度结算后不足部分，由全体业主承担。</w:t>
      </w:r>
    </w:p>
    <w:p>
      <w:pPr>
        <w:widowControl/>
        <w:wordWrap w:val="0"/>
        <w:spacing w:line="288" w:lineRule="auto"/>
        <w:jc w:val="left"/>
        <w:rPr>
          <w:rFonts w:ascii="宋体" w:hAnsi="宋体" w:cs="宋体"/>
          <w:color w:val="000000"/>
          <w:kern w:val="0"/>
          <w:sz w:val="24"/>
          <w:szCs w:val="24"/>
        </w:rPr>
      </w:pPr>
      <w:bookmarkStart w:id="90" w:name="7"/>
      <w:r>
        <w:rPr>
          <w:rFonts w:hint="eastAsia" w:ascii="宋体" w:hAnsi="宋体" w:cs="宋体"/>
          <w:b/>
          <w:bCs/>
          <w:smallCaps/>
          <w:color w:val="000000"/>
          <w:kern w:val="0"/>
          <w:sz w:val="24"/>
          <w:szCs w:val="24"/>
        </w:rPr>
        <w:t>　　第八条</w:t>
      </w:r>
      <w:bookmarkEnd w:id="90"/>
      <w:r>
        <w:rPr>
          <w:rFonts w:hint="eastAsia" w:ascii="宋体" w:hAnsi="宋体" w:cs="宋体"/>
          <w:color w:val="000000"/>
          <w:kern w:val="0"/>
          <w:sz w:val="24"/>
          <w:szCs w:val="24"/>
        </w:rPr>
        <w:t>　业主应于</w:t>
      </w:r>
      <w:r>
        <w:rPr>
          <w:rFonts w:hint="eastAsia" w:ascii="宋体" w:hAnsi="宋体" w:cs="宋体"/>
          <w:color w:val="000000"/>
          <w:kern w:val="0"/>
          <w:sz w:val="24"/>
          <w:szCs w:val="24"/>
          <w:u w:val="single"/>
        </w:rPr>
        <w:t xml:space="preserve">    /    </w:t>
      </w:r>
      <w:r>
        <w:rPr>
          <w:rFonts w:hint="eastAsia" w:ascii="宋体" w:hAnsi="宋体" w:cs="宋体"/>
          <w:color w:val="000000"/>
          <w:kern w:val="0"/>
          <w:sz w:val="24"/>
          <w:szCs w:val="24"/>
        </w:rPr>
        <w:t>之日起交纳物业服务费用（物业服务资金）。</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纳入物业管理范围的已竣工但尚未出售，或者因甲方原因未能按时交给物业买受人的物业，其物业服务费用（物业服务资金）由甲方全额交纳。</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业主与物业使用人约定由物业使用人交纳物业服务费用（物业服务资金）的，从其约定，业主负连带交纳责任。业主与物业使用人之间的交费约定，业主应及时书面告知乙方。</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物业服务费用（物业服务资金）按</w:t>
      </w:r>
      <w:r>
        <w:rPr>
          <w:rFonts w:hint="eastAsia" w:ascii="宋体" w:hAnsi="宋体" w:cs="宋体"/>
          <w:color w:val="000000"/>
          <w:kern w:val="0"/>
          <w:sz w:val="24"/>
          <w:szCs w:val="24"/>
          <w:u w:val="single"/>
        </w:rPr>
        <w:t xml:space="preserve">  /  </w:t>
      </w:r>
      <w:r>
        <w:rPr>
          <w:rFonts w:hint="eastAsia" w:ascii="宋体" w:hAnsi="宋体" w:cs="宋体"/>
          <w:color w:val="000000"/>
          <w:kern w:val="0"/>
          <w:sz w:val="24"/>
          <w:szCs w:val="24"/>
        </w:rPr>
        <w:t>（年/季/月）交纳，业主或物业使用人应在</w:t>
      </w:r>
      <w:r>
        <w:rPr>
          <w:rFonts w:hint="eastAsia" w:ascii="宋体" w:hAnsi="宋体" w:cs="宋体"/>
          <w:color w:val="000000"/>
          <w:kern w:val="0"/>
          <w:sz w:val="24"/>
          <w:szCs w:val="24"/>
          <w:u w:val="single"/>
        </w:rPr>
        <w:t xml:space="preserve">   /  </w:t>
      </w:r>
      <w:r>
        <w:rPr>
          <w:rFonts w:hint="eastAsia" w:ascii="宋体" w:hAnsi="宋体" w:cs="宋体"/>
          <w:color w:val="000000"/>
          <w:kern w:val="0"/>
          <w:sz w:val="24"/>
          <w:szCs w:val="24"/>
        </w:rPr>
        <w:t>（每次缴费的具体时间）履行交纳义务。</w:t>
      </w:r>
    </w:p>
    <w:p>
      <w:pPr>
        <w:widowControl/>
        <w:wordWrap w:val="0"/>
        <w:spacing w:line="288" w:lineRule="auto"/>
        <w:jc w:val="left"/>
        <w:rPr>
          <w:rFonts w:ascii="宋体" w:hAnsi="宋体" w:cs="宋体"/>
          <w:color w:val="000000"/>
          <w:kern w:val="0"/>
          <w:sz w:val="24"/>
          <w:szCs w:val="24"/>
        </w:rPr>
      </w:pPr>
      <w:bookmarkStart w:id="91" w:name="8"/>
      <w:r>
        <w:rPr>
          <w:rFonts w:hint="eastAsia" w:ascii="宋体" w:hAnsi="宋体" w:cs="宋体"/>
          <w:b/>
          <w:bCs/>
          <w:smallCaps/>
          <w:color w:val="000000"/>
          <w:kern w:val="0"/>
          <w:sz w:val="24"/>
          <w:szCs w:val="24"/>
        </w:rPr>
        <w:t>　　第九条</w:t>
      </w:r>
      <w:bookmarkEnd w:id="91"/>
      <w:r>
        <w:rPr>
          <w:rFonts w:hint="eastAsia" w:ascii="宋体" w:hAnsi="宋体" w:cs="宋体"/>
          <w:color w:val="000000"/>
          <w:kern w:val="0"/>
          <w:sz w:val="24"/>
          <w:szCs w:val="24"/>
        </w:rPr>
        <w:t>　物业服务费用实行酬金制方式计费的，乙方应向全体业主公布物业管理年度计划和物业服务资金年度预决算，并每年</w:t>
      </w:r>
      <w:r>
        <w:rPr>
          <w:rFonts w:hint="eastAsia" w:ascii="宋体" w:hAnsi="宋体" w:cs="宋体"/>
          <w:color w:val="000000"/>
          <w:kern w:val="0"/>
          <w:sz w:val="24"/>
          <w:szCs w:val="24"/>
          <w:u w:val="single"/>
        </w:rPr>
        <w:t xml:space="preserve">  /  </w:t>
      </w:r>
      <w:r>
        <w:rPr>
          <w:rFonts w:hint="eastAsia" w:ascii="宋体" w:hAnsi="宋体" w:cs="宋体"/>
          <w:color w:val="000000"/>
          <w:kern w:val="0"/>
          <w:sz w:val="24"/>
          <w:szCs w:val="24"/>
        </w:rPr>
        <w:t>次向全体业主公布物业服务资金的收支情况。</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对物业服务资金收支情况有争议的，甲乙双方同意采取以下方式解决：</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1、</w:t>
      </w:r>
      <w:r>
        <w:rPr>
          <w:rFonts w:hint="eastAsia" w:ascii="宋体" w:hAnsi="宋体" w:cs="宋体"/>
          <w:color w:val="000000"/>
          <w:kern w:val="0"/>
          <w:sz w:val="24"/>
          <w:szCs w:val="24"/>
          <w:u w:val="single"/>
        </w:rPr>
        <w:t>建设单位、物业服务单位、业主三方协商解决</w:t>
      </w:r>
      <w:r>
        <w:rPr>
          <w:rFonts w:hint="eastAsia" w:ascii="宋体" w:hAnsi="宋体" w:cs="宋体"/>
          <w:color w:val="000000"/>
          <w:kern w:val="0"/>
          <w:sz w:val="24"/>
          <w:szCs w:val="24"/>
        </w:rPr>
        <w:t>；</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2、</w:t>
      </w:r>
      <w:r>
        <w:rPr>
          <w:rFonts w:hint="eastAsia" w:ascii="宋体" w:hAnsi="宋体" w:cs="宋体"/>
          <w:color w:val="000000"/>
          <w:kern w:val="0"/>
          <w:sz w:val="24"/>
          <w:szCs w:val="24"/>
          <w:u w:val="single"/>
        </w:rPr>
        <w:t>召开临时业主大会</w:t>
      </w:r>
      <w:r>
        <w:rPr>
          <w:rFonts w:hint="eastAsia" w:ascii="宋体" w:hAnsi="宋体" w:cs="宋体"/>
          <w:color w:val="000000"/>
          <w:kern w:val="0"/>
          <w:sz w:val="24"/>
          <w:szCs w:val="24"/>
        </w:rPr>
        <w:t>。</w:t>
      </w:r>
    </w:p>
    <w:p>
      <w:pPr>
        <w:widowControl/>
        <w:wordWrap w:val="0"/>
        <w:spacing w:line="288" w:lineRule="auto"/>
        <w:jc w:val="center"/>
        <w:rPr>
          <w:rFonts w:ascii="宋体" w:hAnsi="宋体" w:cs="宋体"/>
          <w:b/>
          <w:bCs/>
          <w:smallCaps/>
          <w:color w:val="000000"/>
          <w:kern w:val="0"/>
          <w:sz w:val="24"/>
          <w:szCs w:val="24"/>
        </w:rPr>
      </w:pPr>
    </w:p>
    <w:p>
      <w:pPr>
        <w:widowControl/>
        <w:wordWrap w:val="0"/>
        <w:spacing w:line="288" w:lineRule="auto"/>
        <w:jc w:val="center"/>
        <w:rPr>
          <w:rFonts w:ascii="宋体" w:hAnsi="宋体" w:cs="宋体"/>
          <w:b/>
          <w:bCs/>
          <w:smallCaps/>
          <w:color w:val="000000"/>
          <w:kern w:val="0"/>
          <w:sz w:val="24"/>
          <w:szCs w:val="24"/>
        </w:rPr>
      </w:pPr>
    </w:p>
    <w:p>
      <w:pPr>
        <w:widowControl/>
        <w:wordWrap w:val="0"/>
        <w:spacing w:line="288" w:lineRule="auto"/>
        <w:jc w:val="center"/>
        <w:rPr>
          <w:rFonts w:ascii="宋体" w:hAnsi="宋体" w:cs="宋体"/>
          <w:b/>
          <w:bCs/>
          <w:smallCaps/>
          <w:color w:val="000000"/>
          <w:kern w:val="0"/>
          <w:sz w:val="24"/>
          <w:szCs w:val="24"/>
        </w:rPr>
      </w:pPr>
    </w:p>
    <w:p>
      <w:pPr>
        <w:widowControl/>
        <w:wordWrap w:val="0"/>
        <w:spacing w:line="288" w:lineRule="auto"/>
        <w:jc w:val="center"/>
        <w:rPr>
          <w:rFonts w:ascii="宋体" w:hAnsi="宋体" w:cs="宋体"/>
          <w:b/>
          <w:bCs/>
          <w:smallCaps/>
          <w:color w:val="000000"/>
          <w:kern w:val="0"/>
          <w:sz w:val="24"/>
          <w:szCs w:val="24"/>
        </w:rPr>
      </w:pPr>
    </w:p>
    <w:p>
      <w:pPr>
        <w:widowControl/>
        <w:wordWrap w:val="0"/>
        <w:spacing w:line="288" w:lineRule="auto"/>
        <w:jc w:val="center"/>
        <w:rPr>
          <w:rFonts w:ascii="宋体" w:hAnsi="宋体" w:cs="宋体"/>
          <w:b/>
          <w:bCs/>
          <w:smallCaps/>
          <w:color w:val="000000"/>
          <w:kern w:val="0"/>
          <w:sz w:val="24"/>
          <w:szCs w:val="24"/>
        </w:rPr>
      </w:pPr>
    </w:p>
    <w:p>
      <w:pPr>
        <w:widowControl/>
        <w:wordWrap w:val="0"/>
        <w:spacing w:line="288" w:lineRule="auto"/>
        <w:jc w:val="center"/>
        <w:rPr>
          <w:rFonts w:ascii="宋体" w:hAnsi="宋体" w:cs="宋体"/>
          <w:b/>
          <w:bCs/>
          <w:smallCaps/>
          <w:color w:val="000000"/>
          <w:kern w:val="0"/>
          <w:sz w:val="24"/>
          <w:szCs w:val="24"/>
        </w:rPr>
      </w:pPr>
      <w:r>
        <w:rPr>
          <w:rFonts w:hint="eastAsia" w:ascii="宋体" w:hAnsi="宋体" w:cs="宋体"/>
          <w:b/>
          <w:bCs/>
          <w:smallCaps/>
          <w:color w:val="000000"/>
          <w:kern w:val="0"/>
          <w:sz w:val="24"/>
          <w:szCs w:val="24"/>
        </w:rPr>
        <w:t>第四章　物业的经营与管理</w:t>
      </w:r>
    </w:p>
    <w:p>
      <w:pPr>
        <w:widowControl/>
        <w:wordWrap w:val="0"/>
        <w:spacing w:line="288" w:lineRule="auto"/>
        <w:ind w:right="-218" w:rightChars="-104" w:firstLine="354" w:firstLineChars="147"/>
        <w:jc w:val="left"/>
        <w:rPr>
          <w:rFonts w:ascii="宋体" w:hAnsi="宋体" w:cs="宋体"/>
          <w:color w:val="000000"/>
          <w:kern w:val="0"/>
          <w:sz w:val="24"/>
          <w:szCs w:val="24"/>
        </w:rPr>
      </w:pPr>
      <w:bookmarkStart w:id="92" w:name="9"/>
      <w:r>
        <w:rPr>
          <w:rFonts w:hint="eastAsia" w:ascii="宋体" w:hAnsi="宋体" w:cs="宋体"/>
          <w:b/>
          <w:bCs/>
          <w:smallCaps/>
          <w:color w:val="000000"/>
          <w:kern w:val="0"/>
          <w:sz w:val="24"/>
          <w:szCs w:val="24"/>
        </w:rPr>
        <w:t>第十条</w:t>
      </w:r>
      <w:bookmarkEnd w:id="92"/>
      <w:r>
        <w:rPr>
          <w:rFonts w:hint="eastAsia" w:ascii="宋体" w:hAnsi="宋体" w:cs="宋体"/>
          <w:color w:val="000000"/>
          <w:kern w:val="0"/>
          <w:sz w:val="24"/>
          <w:szCs w:val="24"/>
        </w:rPr>
        <w:t>　停车场收费分别采取以下方式：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1、停车场属于全体业主共有的，车位使用人应按露天车位</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元/个·月、车库车位</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元/个·月的标准向乙方交纳停车费。</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乙方从停车费中按露天车位</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元/个·月、车库车位</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元/个·月的标准提取停车管理服务费。</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2、停车场属于甲方所有、委托乙方管理的，业主和物业使用人有优先使用权，车位使用人应按露天车位</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元/个·月、车库车位</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元/个·月的标准向乙方交纳停车费。</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乙方从停车费中按露天车位</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元/个·月、车库车位</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元/个·月的标准提取停车管理服务费。</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3、停车场车位所有权或使用权由业主购置的，车位使用人应按露天车位</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元/个·月、车库车位</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元/个·月的标准向乙方交纳停车管理服务费。</w:t>
      </w:r>
    </w:p>
    <w:p>
      <w:pPr>
        <w:widowControl/>
        <w:wordWrap w:val="0"/>
        <w:spacing w:line="288" w:lineRule="auto"/>
        <w:jc w:val="left"/>
        <w:rPr>
          <w:rFonts w:ascii="宋体" w:hAnsi="宋体" w:cs="宋体"/>
          <w:color w:val="000000"/>
          <w:kern w:val="0"/>
          <w:sz w:val="24"/>
          <w:szCs w:val="24"/>
        </w:rPr>
      </w:pPr>
      <w:bookmarkStart w:id="93" w:name="10"/>
      <w:r>
        <w:rPr>
          <w:rFonts w:hint="eastAsia" w:ascii="宋体" w:hAnsi="宋体" w:cs="宋体"/>
          <w:b/>
          <w:bCs/>
          <w:smallCaps/>
          <w:color w:val="000000"/>
          <w:kern w:val="0"/>
          <w:sz w:val="24"/>
          <w:szCs w:val="24"/>
        </w:rPr>
        <w:t>　　第十一条</w:t>
      </w:r>
      <w:bookmarkEnd w:id="93"/>
      <w:r>
        <w:rPr>
          <w:rFonts w:hint="eastAsia" w:ascii="宋体" w:hAnsi="宋体" w:cs="宋体"/>
          <w:color w:val="000000"/>
          <w:kern w:val="0"/>
          <w:sz w:val="24"/>
          <w:szCs w:val="24"/>
        </w:rPr>
        <w:t>　乙方应与停车场车位使用人签订书面的停车管理服务协议，明确双方在车位使用及停车管理服务等方面的权利义务。</w:t>
      </w:r>
    </w:p>
    <w:p>
      <w:pPr>
        <w:widowControl/>
        <w:wordWrap w:val="0"/>
        <w:spacing w:line="288" w:lineRule="auto"/>
        <w:jc w:val="left"/>
        <w:rPr>
          <w:rFonts w:ascii="宋体" w:hAnsi="宋体" w:cs="宋体"/>
          <w:color w:val="auto"/>
          <w:kern w:val="0"/>
          <w:sz w:val="24"/>
          <w:szCs w:val="24"/>
        </w:rPr>
      </w:pPr>
      <w:bookmarkStart w:id="94" w:name="11"/>
      <w:r>
        <w:rPr>
          <w:rFonts w:hint="eastAsia" w:ascii="宋体" w:hAnsi="宋体" w:cs="宋体"/>
          <w:b/>
          <w:bCs/>
          <w:smallCaps/>
          <w:color w:val="000000"/>
          <w:kern w:val="0"/>
          <w:sz w:val="24"/>
          <w:szCs w:val="24"/>
        </w:rPr>
        <w:t>　　第十二条</w:t>
      </w:r>
      <w:bookmarkEnd w:id="94"/>
      <w:r>
        <w:rPr>
          <w:rFonts w:hint="eastAsia" w:ascii="宋体" w:hAnsi="宋体" w:cs="宋体"/>
          <w:color w:val="000000"/>
          <w:kern w:val="0"/>
          <w:sz w:val="24"/>
          <w:szCs w:val="24"/>
        </w:rPr>
        <w:t>　本物业管理区域内的会所属</w:t>
      </w:r>
      <w:r>
        <w:rPr>
          <w:rFonts w:hint="eastAsia" w:ascii="宋体" w:hAnsi="宋体" w:cs="宋体"/>
          <w:color w:val="000000"/>
          <w:kern w:val="0"/>
          <w:sz w:val="24"/>
          <w:szCs w:val="24"/>
          <w:u w:val="single"/>
        </w:rPr>
        <w:t>甲方</w:t>
      </w:r>
      <w:r>
        <w:rPr>
          <w:rFonts w:hint="eastAsia" w:ascii="宋体" w:hAnsi="宋体" w:cs="宋体"/>
          <w:color w:val="000000"/>
          <w:kern w:val="0"/>
          <w:sz w:val="24"/>
          <w:szCs w:val="24"/>
        </w:rPr>
        <w:t>（全体业主/甲方）所有。</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会所委托乙方经营管理的，乙方按下列标准向使用会所的业主或物业使用人收取费用：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1、</w:t>
      </w:r>
      <w:r>
        <w:rPr>
          <w:rFonts w:hint="eastAsia" w:ascii="宋体" w:hAnsi="宋体" w:cs="宋体"/>
          <w:color w:val="auto"/>
          <w:kern w:val="0"/>
          <w:sz w:val="24"/>
          <w:szCs w:val="24"/>
          <w:u w:val="single"/>
        </w:rPr>
        <w:t>按商业物业服务收费标准收费</w:t>
      </w:r>
      <w:r>
        <w:rPr>
          <w:rFonts w:hint="eastAsia" w:ascii="宋体" w:hAnsi="宋体" w:cs="宋体"/>
          <w:color w:val="auto"/>
          <w:kern w:val="0"/>
          <w:sz w:val="24"/>
          <w:szCs w:val="24"/>
        </w:rPr>
        <w:t>；</w:t>
      </w:r>
      <w:r>
        <w:rPr>
          <w:rFonts w:hint="eastAsia" w:ascii="宋体" w:hAnsi="宋体" w:cs="宋体"/>
          <w:color w:val="auto"/>
          <w:kern w:val="0"/>
          <w:sz w:val="24"/>
          <w:szCs w:val="24"/>
        </w:rPr>
        <w:br w:type="textWrapping"/>
      </w:r>
      <w:r>
        <w:rPr>
          <w:rFonts w:hint="eastAsia" w:ascii="宋体" w:hAnsi="宋体" w:cs="宋体"/>
          <w:color w:val="auto"/>
          <w:kern w:val="0"/>
          <w:sz w:val="24"/>
          <w:szCs w:val="24"/>
        </w:rPr>
        <w:t>　　2、</w:t>
      </w:r>
      <w:r>
        <w:rPr>
          <w:rFonts w:hint="eastAsia" w:ascii="宋体" w:hAnsi="宋体" w:cs="宋体"/>
          <w:color w:val="auto"/>
          <w:kern w:val="0"/>
          <w:sz w:val="24"/>
          <w:szCs w:val="24"/>
          <w:u w:val="single"/>
        </w:rPr>
        <w:t>按本</w:t>
      </w:r>
      <w:r>
        <w:rPr>
          <w:rFonts w:hint="eastAsia" w:ascii="宋体" w:hAnsi="宋体" w:cs="宋体"/>
          <w:color w:val="auto"/>
          <w:kern w:val="0"/>
          <w:sz w:val="24"/>
          <w:szCs w:val="24"/>
          <w:u w:val="single"/>
          <w:lang w:eastAsia="zh-CN"/>
        </w:rPr>
        <w:t>华强壹号院一、二期</w:t>
      </w:r>
      <w:r>
        <w:rPr>
          <w:rFonts w:hint="eastAsia" w:ascii="宋体" w:hAnsi="宋体" w:cs="宋体"/>
          <w:color w:val="auto"/>
          <w:kern w:val="0"/>
          <w:sz w:val="24"/>
          <w:szCs w:val="24"/>
          <w:u w:val="single"/>
        </w:rPr>
        <w:t>车辆管理服务费标准收费</w:t>
      </w:r>
      <w:r>
        <w:rPr>
          <w:rFonts w:hint="eastAsia" w:ascii="宋体" w:hAnsi="宋体" w:cs="宋体"/>
          <w:color w:val="auto"/>
          <w:kern w:val="0"/>
          <w:sz w:val="24"/>
          <w:szCs w:val="24"/>
        </w:rPr>
        <w:t>。</w:t>
      </w:r>
    </w:p>
    <w:p>
      <w:pPr>
        <w:widowControl/>
        <w:wordWrap w:val="0"/>
        <w:spacing w:line="288" w:lineRule="auto"/>
        <w:jc w:val="left"/>
        <w:rPr>
          <w:rFonts w:ascii="宋体" w:hAnsi="宋体" w:cs="宋体"/>
          <w:color w:val="000000"/>
          <w:kern w:val="0"/>
          <w:sz w:val="24"/>
          <w:szCs w:val="24"/>
        </w:rPr>
      </w:pPr>
      <w:bookmarkStart w:id="95" w:name="12"/>
      <w:r>
        <w:rPr>
          <w:rFonts w:hint="eastAsia" w:ascii="宋体" w:hAnsi="宋体" w:cs="宋体"/>
          <w:b/>
          <w:bCs/>
          <w:smallCaps/>
          <w:color w:val="auto"/>
          <w:kern w:val="0"/>
          <w:sz w:val="24"/>
          <w:szCs w:val="24"/>
        </w:rPr>
        <w:t>　　第十三条</w:t>
      </w:r>
      <w:bookmarkEnd w:id="95"/>
      <w:r>
        <w:rPr>
          <w:rFonts w:hint="eastAsia" w:ascii="宋体" w:hAnsi="宋体" w:cs="宋体"/>
          <w:color w:val="auto"/>
          <w:kern w:val="0"/>
          <w:sz w:val="24"/>
          <w:szCs w:val="24"/>
        </w:rPr>
        <w:t>　本物业管理区域内属于全体业主所有的停车场、会所及其他物业共用部位、共用设施设备统一委托乙方经营，经营收入按下列约定分配：</w:t>
      </w:r>
      <w:r>
        <w:rPr>
          <w:rFonts w:hint="eastAsia" w:ascii="宋体" w:hAnsi="宋体" w:cs="宋体"/>
          <w:color w:val="auto"/>
          <w:kern w:val="0"/>
          <w:sz w:val="24"/>
          <w:szCs w:val="24"/>
        </w:rPr>
        <w:br w:type="textWrapping"/>
      </w:r>
      <w:r>
        <w:rPr>
          <w:rFonts w:hint="eastAsia" w:ascii="宋体" w:hAnsi="宋体" w:cs="宋体"/>
          <w:color w:val="auto"/>
          <w:kern w:val="0"/>
          <w:sz w:val="24"/>
          <w:szCs w:val="24"/>
        </w:rPr>
        <w:t>　　1、</w:t>
      </w:r>
      <w:r>
        <w:rPr>
          <w:rFonts w:hint="eastAsia" w:ascii="宋体" w:hAnsi="宋体" w:cs="宋体"/>
          <w:color w:val="auto"/>
          <w:kern w:val="0"/>
          <w:sz w:val="24"/>
          <w:szCs w:val="24"/>
          <w:u w:val="single"/>
        </w:rPr>
        <w:t>纳入专项维修基金</w:t>
      </w:r>
      <w:r>
        <w:rPr>
          <w:rFonts w:hint="eastAsia" w:ascii="宋体" w:hAnsi="宋体" w:cs="宋体"/>
          <w:color w:val="auto"/>
          <w:kern w:val="0"/>
          <w:sz w:val="24"/>
          <w:szCs w:val="24"/>
        </w:rPr>
        <w:t>；</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2、</w:t>
      </w:r>
      <w:r>
        <w:rPr>
          <w:rFonts w:hint="eastAsia" w:ascii="宋体" w:hAnsi="宋体" w:cs="宋体"/>
          <w:color w:val="000000"/>
          <w:kern w:val="0"/>
          <w:sz w:val="24"/>
          <w:szCs w:val="24"/>
          <w:u w:val="single"/>
        </w:rPr>
        <w:t>补助物业服务项目</w:t>
      </w:r>
      <w:r>
        <w:rPr>
          <w:rFonts w:hint="eastAsia" w:ascii="宋体" w:hAnsi="宋体" w:cs="宋体"/>
          <w:color w:val="000000"/>
          <w:kern w:val="0"/>
          <w:sz w:val="24"/>
          <w:szCs w:val="24"/>
        </w:rPr>
        <w:t>。</w:t>
      </w:r>
    </w:p>
    <w:p>
      <w:pPr>
        <w:widowControl/>
        <w:wordWrap w:val="0"/>
        <w:spacing w:line="288" w:lineRule="auto"/>
        <w:jc w:val="center"/>
        <w:rPr>
          <w:rFonts w:ascii="宋体" w:hAnsi="宋体" w:cs="宋体"/>
          <w:b/>
          <w:bCs/>
          <w:smallCaps/>
          <w:color w:val="000000"/>
          <w:kern w:val="0"/>
          <w:sz w:val="24"/>
          <w:szCs w:val="24"/>
        </w:rPr>
      </w:pPr>
    </w:p>
    <w:p>
      <w:pPr>
        <w:widowControl/>
        <w:wordWrap w:val="0"/>
        <w:spacing w:line="288" w:lineRule="auto"/>
        <w:jc w:val="center"/>
        <w:rPr>
          <w:rFonts w:ascii="宋体" w:hAnsi="宋体" w:cs="宋体"/>
          <w:b/>
          <w:bCs/>
          <w:smallCaps/>
          <w:color w:val="000000"/>
          <w:kern w:val="0"/>
          <w:sz w:val="24"/>
          <w:szCs w:val="24"/>
        </w:rPr>
      </w:pPr>
    </w:p>
    <w:p>
      <w:pPr>
        <w:widowControl/>
        <w:wordWrap w:val="0"/>
        <w:spacing w:line="288" w:lineRule="auto"/>
        <w:jc w:val="center"/>
        <w:rPr>
          <w:rFonts w:ascii="宋体" w:hAnsi="宋体" w:cs="宋体"/>
          <w:b/>
          <w:bCs/>
          <w:smallCaps/>
          <w:color w:val="000000"/>
          <w:kern w:val="0"/>
          <w:sz w:val="24"/>
          <w:szCs w:val="24"/>
        </w:rPr>
      </w:pPr>
    </w:p>
    <w:p>
      <w:pPr>
        <w:widowControl/>
        <w:wordWrap w:val="0"/>
        <w:spacing w:line="288" w:lineRule="auto"/>
        <w:jc w:val="center"/>
        <w:rPr>
          <w:rFonts w:ascii="宋体" w:hAnsi="宋体" w:cs="宋体"/>
          <w:b/>
          <w:bCs/>
          <w:smallCaps/>
          <w:color w:val="000000"/>
          <w:kern w:val="0"/>
          <w:sz w:val="24"/>
          <w:szCs w:val="24"/>
        </w:rPr>
      </w:pPr>
      <w:r>
        <w:rPr>
          <w:rFonts w:hint="eastAsia" w:ascii="宋体" w:hAnsi="宋体" w:cs="宋体"/>
          <w:b/>
          <w:bCs/>
          <w:smallCaps/>
          <w:color w:val="000000"/>
          <w:kern w:val="0"/>
          <w:sz w:val="24"/>
          <w:szCs w:val="24"/>
        </w:rPr>
        <w:t>第五章　物业的承接查验</w:t>
      </w:r>
    </w:p>
    <w:p>
      <w:pPr>
        <w:widowControl/>
        <w:wordWrap w:val="0"/>
        <w:spacing w:line="288" w:lineRule="auto"/>
        <w:ind w:firstLine="482" w:firstLineChars="200"/>
        <w:jc w:val="left"/>
        <w:rPr>
          <w:rFonts w:ascii="宋体" w:hAnsi="宋体" w:cs="宋体"/>
          <w:color w:val="000000"/>
          <w:kern w:val="0"/>
          <w:sz w:val="24"/>
          <w:szCs w:val="24"/>
        </w:rPr>
      </w:pPr>
      <w:bookmarkStart w:id="96" w:name="13"/>
      <w:r>
        <w:rPr>
          <w:rFonts w:hint="eastAsia" w:ascii="宋体" w:hAnsi="宋体" w:cs="宋体"/>
          <w:b/>
          <w:bCs/>
          <w:smallCaps/>
          <w:color w:val="000000"/>
          <w:kern w:val="0"/>
          <w:sz w:val="24"/>
          <w:szCs w:val="24"/>
        </w:rPr>
        <w:t>第十四条</w:t>
      </w:r>
      <w:bookmarkEnd w:id="96"/>
      <w:r>
        <w:rPr>
          <w:rFonts w:hint="eastAsia" w:ascii="宋体" w:hAnsi="宋体" w:cs="宋体"/>
          <w:color w:val="000000"/>
          <w:kern w:val="0"/>
          <w:sz w:val="24"/>
          <w:szCs w:val="24"/>
        </w:rPr>
        <w:t>　乙方承接物业时，甲方应配合乙方对以下物业共用部位、共用设施设备进行查验：</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1、</w:t>
      </w:r>
      <w:r>
        <w:rPr>
          <w:rFonts w:hint="eastAsia" w:ascii="宋体" w:hAnsi="宋体" w:cs="宋体"/>
          <w:color w:val="000000"/>
          <w:kern w:val="0"/>
          <w:sz w:val="24"/>
          <w:szCs w:val="24"/>
          <w:u w:val="single"/>
        </w:rPr>
        <w:t>共用部位：一般包括建筑物的基础、承重墙体、柱、梁、楼板、屋顶以及外墙、门厅、楼梯间、走廊、楼道、扶手、护栏、电梯井道、架空层及设备间等</w:t>
      </w:r>
      <w:r>
        <w:rPr>
          <w:rFonts w:hint="eastAsia" w:ascii="宋体" w:hAnsi="宋体" w:cs="宋体"/>
          <w:color w:val="000000"/>
          <w:kern w:val="0"/>
          <w:sz w:val="24"/>
          <w:szCs w:val="24"/>
        </w:rPr>
        <w:t>；</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2、</w:t>
      </w:r>
      <w:r>
        <w:rPr>
          <w:rFonts w:hint="eastAsia" w:ascii="宋体" w:hAnsi="宋体" w:cs="宋体"/>
          <w:color w:val="000000"/>
          <w:kern w:val="0"/>
          <w:sz w:val="24"/>
          <w:szCs w:val="24"/>
          <w:u w:val="single"/>
        </w:rPr>
        <w:t>共用设备：一般包括电梯、水泵、水箱、避雷设施、消防设备、楼道灯、电视天线、发电机、变配电设备、给排水管线、电线、供暖及空调设备等</w:t>
      </w:r>
      <w:r>
        <w:rPr>
          <w:rFonts w:hint="eastAsia" w:ascii="宋体" w:hAnsi="宋体" w:cs="宋体"/>
          <w:color w:val="000000"/>
          <w:kern w:val="0"/>
          <w:sz w:val="24"/>
          <w:szCs w:val="24"/>
        </w:rPr>
        <w:t>；</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3、</w:t>
      </w:r>
      <w:r>
        <w:rPr>
          <w:rFonts w:hint="eastAsia" w:ascii="宋体" w:hAnsi="宋体" w:cs="宋体"/>
          <w:color w:val="000000"/>
          <w:kern w:val="0"/>
          <w:sz w:val="24"/>
          <w:szCs w:val="24"/>
          <w:u w:val="single"/>
        </w:rPr>
        <w:t>共用设施：一般包括道路、绿地、人造景观、围墙、大门、信报箱、宣传栏、路灯、排水沟、渠、池、污水井、化粪池、垃圾容器、污水处理设施、机动车（非机动车）停车设施、休闲娱乐设施、消防设施、安防监控设施、人防设施、垃圾转运设施以及物业服务用房等</w:t>
      </w:r>
      <w:r>
        <w:rPr>
          <w:rFonts w:hint="eastAsia" w:ascii="宋体" w:hAnsi="宋体" w:cs="宋体"/>
          <w:color w:val="000000"/>
          <w:kern w:val="0"/>
          <w:sz w:val="24"/>
          <w:szCs w:val="24"/>
        </w:rPr>
        <w:t>。</w:t>
      </w:r>
    </w:p>
    <w:p>
      <w:pPr>
        <w:widowControl/>
        <w:wordWrap w:val="0"/>
        <w:spacing w:line="288" w:lineRule="auto"/>
        <w:jc w:val="left"/>
        <w:rPr>
          <w:rFonts w:ascii="宋体" w:hAnsi="宋体" w:cs="宋体"/>
          <w:color w:val="000000"/>
          <w:kern w:val="0"/>
          <w:sz w:val="24"/>
          <w:szCs w:val="24"/>
        </w:rPr>
      </w:pPr>
      <w:bookmarkStart w:id="97" w:name="14"/>
      <w:r>
        <w:rPr>
          <w:rFonts w:hint="eastAsia" w:ascii="宋体" w:hAnsi="宋体" w:cs="宋体"/>
          <w:b/>
          <w:bCs/>
          <w:smallCaps/>
          <w:color w:val="000000"/>
          <w:kern w:val="0"/>
          <w:sz w:val="24"/>
          <w:szCs w:val="24"/>
        </w:rPr>
        <w:t>　　第十五条</w:t>
      </w:r>
      <w:bookmarkEnd w:id="97"/>
      <w:r>
        <w:rPr>
          <w:rFonts w:hint="eastAsia" w:ascii="宋体" w:hAnsi="宋体" w:cs="宋体"/>
          <w:color w:val="000000"/>
          <w:kern w:val="0"/>
          <w:sz w:val="24"/>
          <w:szCs w:val="24"/>
        </w:rPr>
        <w:t>　甲乙双方确认查验过的物业共用部位、共用设施设备存在以下问题：</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1、</w:t>
      </w:r>
      <w:r>
        <w:rPr>
          <w:rFonts w:hint="eastAsia" w:ascii="宋体" w:hAnsi="宋体" w:cs="宋体"/>
          <w:color w:val="000000"/>
          <w:kern w:val="0"/>
          <w:sz w:val="24"/>
          <w:szCs w:val="24"/>
          <w:u w:val="single"/>
        </w:rPr>
        <w:t>门厅、楼道间墙面有空鼓</w:t>
      </w:r>
      <w:r>
        <w:rPr>
          <w:rFonts w:hint="eastAsia" w:ascii="宋体" w:hAnsi="宋体" w:cs="宋体"/>
          <w:color w:val="000000"/>
          <w:kern w:val="0"/>
          <w:sz w:val="24"/>
          <w:szCs w:val="24"/>
        </w:rPr>
        <w:t>；</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2、</w:t>
      </w:r>
      <w:r>
        <w:rPr>
          <w:rFonts w:hint="eastAsia" w:ascii="宋体" w:hAnsi="宋体" w:cs="宋体"/>
          <w:color w:val="000000"/>
          <w:kern w:val="0"/>
          <w:sz w:val="24"/>
          <w:szCs w:val="24"/>
          <w:u w:val="single"/>
        </w:rPr>
        <w:t>设施设备使用功能有故障，不能正常使用</w:t>
      </w:r>
      <w:r>
        <w:rPr>
          <w:rFonts w:hint="eastAsia" w:ascii="宋体" w:hAnsi="宋体" w:cs="宋体"/>
          <w:color w:val="000000"/>
          <w:kern w:val="0"/>
          <w:sz w:val="24"/>
          <w:szCs w:val="24"/>
        </w:rPr>
        <w:t>；</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3、</w:t>
      </w:r>
      <w:r>
        <w:rPr>
          <w:rFonts w:hint="eastAsia" w:ascii="宋体" w:hAnsi="宋体" w:cs="宋体"/>
          <w:color w:val="000000"/>
          <w:kern w:val="0"/>
          <w:sz w:val="24"/>
          <w:szCs w:val="24"/>
          <w:u w:val="single"/>
        </w:rPr>
        <w:t>宣传栏、路灯有损坏的</w:t>
      </w:r>
      <w:r>
        <w:rPr>
          <w:rFonts w:hint="eastAsia" w:ascii="宋体" w:hAnsi="宋体" w:cs="宋体"/>
          <w:color w:val="000000"/>
          <w:kern w:val="0"/>
          <w:sz w:val="24"/>
          <w:szCs w:val="24"/>
        </w:rPr>
        <w:t>。</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甲方应承担解决以上问题的责任，解决办法如下：</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1、</w:t>
      </w:r>
      <w:r>
        <w:rPr>
          <w:rFonts w:hint="eastAsia" w:ascii="宋体" w:hAnsi="宋体" w:cs="宋体"/>
          <w:color w:val="000000"/>
          <w:kern w:val="0"/>
          <w:sz w:val="24"/>
          <w:szCs w:val="24"/>
          <w:u w:val="single"/>
        </w:rPr>
        <w:t>督促施工单位定期整改完成</w:t>
      </w:r>
      <w:r>
        <w:rPr>
          <w:rFonts w:hint="eastAsia" w:ascii="宋体" w:hAnsi="宋体" w:cs="宋体"/>
          <w:color w:val="000000"/>
          <w:kern w:val="0"/>
          <w:sz w:val="24"/>
          <w:szCs w:val="24"/>
        </w:rPr>
        <w:t>；</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2、</w:t>
      </w:r>
      <w:r>
        <w:rPr>
          <w:rFonts w:hint="eastAsia" w:ascii="宋体" w:hAnsi="宋体" w:cs="宋体"/>
          <w:color w:val="000000"/>
          <w:kern w:val="0"/>
          <w:sz w:val="24"/>
          <w:szCs w:val="24"/>
          <w:u w:val="single"/>
        </w:rPr>
        <w:t>督促生产厂家和安装方定期重新安装、达到最终使用功能</w:t>
      </w:r>
      <w:r>
        <w:rPr>
          <w:rFonts w:hint="eastAsia" w:ascii="宋体" w:hAnsi="宋体" w:cs="宋体"/>
          <w:color w:val="000000"/>
          <w:kern w:val="0"/>
          <w:sz w:val="24"/>
          <w:szCs w:val="24"/>
        </w:rPr>
        <w:t>；</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3、</w:t>
      </w:r>
      <w:r>
        <w:rPr>
          <w:rFonts w:hint="eastAsia" w:ascii="宋体" w:hAnsi="宋体" w:cs="宋体"/>
          <w:color w:val="000000"/>
          <w:kern w:val="0"/>
          <w:sz w:val="24"/>
          <w:szCs w:val="24"/>
          <w:u w:val="single"/>
        </w:rPr>
        <w:t>督促相关部门整改完成</w:t>
      </w:r>
      <w:r>
        <w:rPr>
          <w:rFonts w:hint="eastAsia" w:ascii="宋体" w:hAnsi="宋体" w:cs="宋体"/>
          <w:color w:val="000000"/>
          <w:kern w:val="0"/>
          <w:sz w:val="24"/>
          <w:szCs w:val="24"/>
        </w:rPr>
        <w:t>。</w:t>
      </w:r>
    </w:p>
    <w:p>
      <w:pPr>
        <w:widowControl/>
        <w:wordWrap w:val="0"/>
        <w:spacing w:line="288" w:lineRule="auto"/>
        <w:jc w:val="left"/>
        <w:rPr>
          <w:rFonts w:ascii="宋体" w:hAnsi="宋体" w:cs="宋体"/>
          <w:color w:val="000000"/>
          <w:kern w:val="0"/>
          <w:sz w:val="24"/>
          <w:szCs w:val="24"/>
        </w:rPr>
      </w:pPr>
      <w:bookmarkStart w:id="98" w:name="15"/>
      <w:r>
        <w:rPr>
          <w:rFonts w:hint="eastAsia" w:ascii="宋体" w:hAnsi="宋体" w:cs="宋体"/>
          <w:b/>
          <w:bCs/>
          <w:smallCaps/>
          <w:color w:val="000000"/>
          <w:kern w:val="0"/>
          <w:sz w:val="24"/>
          <w:szCs w:val="24"/>
        </w:rPr>
        <w:t>　　第十六条</w:t>
      </w:r>
      <w:bookmarkEnd w:id="98"/>
      <w:r>
        <w:rPr>
          <w:rFonts w:hint="eastAsia" w:ascii="宋体" w:hAnsi="宋体" w:cs="宋体"/>
          <w:color w:val="000000"/>
          <w:kern w:val="0"/>
          <w:sz w:val="24"/>
          <w:szCs w:val="24"/>
        </w:rPr>
        <w:t>　对于本合同签订后承接的物业共用部位、共用设施设备，甲乙双方应按照前条规定进行查验并签订物业承接查验协议，作为界定各自在开发建设和物业管理方面承担责任的依据。</w:t>
      </w:r>
    </w:p>
    <w:p>
      <w:pPr>
        <w:widowControl/>
        <w:wordWrap w:val="0"/>
        <w:spacing w:line="288" w:lineRule="auto"/>
        <w:ind w:firstLine="525"/>
        <w:jc w:val="left"/>
        <w:rPr>
          <w:rFonts w:ascii="宋体" w:hAnsi="宋体" w:cs="宋体"/>
          <w:color w:val="000000"/>
          <w:kern w:val="0"/>
          <w:sz w:val="24"/>
          <w:szCs w:val="24"/>
        </w:rPr>
      </w:pPr>
      <w:bookmarkStart w:id="99" w:name="16"/>
      <w:r>
        <w:rPr>
          <w:rFonts w:hint="eastAsia" w:ascii="宋体" w:hAnsi="宋体" w:cs="宋体"/>
          <w:b/>
          <w:bCs/>
          <w:smallCaps/>
          <w:color w:val="000000"/>
          <w:kern w:val="0"/>
          <w:sz w:val="24"/>
          <w:szCs w:val="24"/>
        </w:rPr>
        <w:t>第十七条</w:t>
      </w:r>
      <w:bookmarkEnd w:id="99"/>
      <w:r>
        <w:rPr>
          <w:rFonts w:hint="eastAsia" w:ascii="宋体" w:hAnsi="宋体" w:cs="宋体"/>
          <w:color w:val="000000"/>
          <w:kern w:val="0"/>
          <w:sz w:val="24"/>
          <w:szCs w:val="24"/>
        </w:rPr>
        <w:t>　乙方承接物业时，甲方应向乙方移交下列资料：</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1、竣工总平面图，单体建筑、结构、设备竣工图，配套设施、地下管网工程竣工图等竣工验收资料；</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2、共用设施设备清单及其安装、使用和维护保养等技术资料；</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3、供水、供电、供气、供热、通信、有线电视等准许使用文件；</w:t>
      </w:r>
    </w:p>
    <w:p>
      <w:pPr>
        <w:widowControl/>
        <w:wordWrap w:val="0"/>
        <w:spacing w:line="288" w:lineRule="auto"/>
        <w:ind w:firstLine="513" w:firstLineChars="214"/>
        <w:jc w:val="left"/>
        <w:rPr>
          <w:rFonts w:ascii="宋体" w:hAnsi="宋体" w:cs="宋体"/>
          <w:color w:val="000000"/>
          <w:kern w:val="0"/>
          <w:sz w:val="24"/>
          <w:szCs w:val="24"/>
        </w:rPr>
      </w:pPr>
      <w:r>
        <w:rPr>
          <w:rFonts w:hint="eastAsia" w:ascii="宋体" w:hAnsi="宋体" w:cs="宋体"/>
          <w:color w:val="000000"/>
          <w:kern w:val="0"/>
          <w:sz w:val="24"/>
          <w:szCs w:val="24"/>
        </w:rPr>
        <w:t>4、物业质量保修文件和物业使用说明文件；</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5、承接查验所必需的其他资料。</w:t>
      </w:r>
    </w:p>
    <w:p>
      <w:pPr>
        <w:widowControl/>
        <w:wordWrap w:val="0"/>
        <w:spacing w:line="288" w:lineRule="auto"/>
        <w:ind w:firstLine="513" w:firstLineChars="214"/>
        <w:jc w:val="left"/>
        <w:rPr>
          <w:rFonts w:ascii="宋体" w:hAnsi="宋体" w:cs="宋体"/>
          <w:color w:val="000000"/>
          <w:kern w:val="0"/>
          <w:sz w:val="24"/>
          <w:szCs w:val="24"/>
        </w:rPr>
      </w:pPr>
      <w:r>
        <w:rPr>
          <w:rFonts w:hint="eastAsia" w:ascii="宋体" w:hAnsi="宋体" w:cs="宋体"/>
          <w:color w:val="000000"/>
          <w:kern w:val="0"/>
          <w:sz w:val="24"/>
          <w:szCs w:val="24"/>
        </w:rPr>
        <w:t>未能全部移交前款所列资料的，建设单位应当列出未移交资料的详细清单并书面承诺补交的具体时限。</w:t>
      </w:r>
    </w:p>
    <w:p>
      <w:pPr>
        <w:widowControl/>
        <w:wordWrap w:val="0"/>
        <w:spacing w:line="288" w:lineRule="auto"/>
        <w:jc w:val="left"/>
        <w:rPr>
          <w:rFonts w:ascii="宋体" w:hAnsi="宋体" w:cs="宋体"/>
          <w:color w:val="000000"/>
          <w:kern w:val="0"/>
          <w:sz w:val="24"/>
          <w:szCs w:val="24"/>
        </w:rPr>
      </w:pPr>
      <w:bookmarkStart w:id="100" w:name="17"/>
      <w:r>
        <w:rPr>
          <w:rFonts w:hint="eastAsia" w:ascii="宋体" w:hAnsi="宋体" w:cs="宋体"/>
          <w:b/>
          <w:bCs/>
          <w:smallCaps/>
          <w:color w:val="000000"/>
          <w:kern w:val="0"/>
          <w:sz w:val="24"/>
          <w:szCs w:val="24"/>
        </w:rPr>
        <w:t>　　第十八条</w:t>
      </w:r>
      <w:bookmarkEnd w:id="100"/>
      <w:r>
        <w:rPr>
          <w:rFonts w:hint="eastAsia" w:ascii="宋体" w:hAnsi="宋体" w:cs="宋体"/>
          <w:color w:val="000000"/>
          <w:kern w:val="0"/>
          <w:sz w:val="24"/>
          <w:szCs w:val="24"/>
        </w:rPr>
        <w:t>　甲方保证交付使用的物业符合国家规定的验收标准，按照国家规定的保修期限和保修范围承担物业的保修责任。</w:t>
      </w:r>
    </w:p>
    <w:p>
      <w:pPr>
        <w:widowControl/>
        <w:wordWrap w:val="0"/>
        <w:spacing w:line="288" w:lineRule="auto"/>
        <w:jc w:val="center"/>
        <w:rPr>
          <w:rFonts w:ascii="宋体" w:hAnsi="宋体" w:cs="宋体"/>
          <w:b/>
          <w:bCs/>
          <w:smallCaps/>
          <w:color w:val="000000"/>
          <w:kern w:val="0"/>
          <w:sz w:val="24"/>
          <w:szCs w:val="24"/>
        </w:rPr>
      </w:pPr>
    </w:p>
    <w:p>
      <w:pPr>
        <w:widowControl/>
        <w:wordWrap w:val="0"/>
        <w:spacing w:line="288" w:lineRule="auto"/>
        <w:jc w:val="center"/>
        <w:rPr>
          <w:rFonts w:ascii="宋体" w:hAnsi="宋体" w:cs="宋体"/>
          <w:b/>
          <w:bCs/>
          <w:smallCaps/>
          <w:color w:val="000000"/>
          <w:kern w:val="0"/>
          <w:sz w:val="24"/>
          <w:szCs w:val="24"/>
        </w:rPr>
      </w:pPr>
      <w:r>
        <w:rPr>
          <w:rFonts w:hint="eastAsia" w:ascii="宋体" w:hAnsi="宋体" w:cs="宋体"/>
          <w:b/>
          <w:bCs/>
          <w:smallCaps/>
          <w:color w:val="000000"/>
          <w:kern w:val="0"/>
          <w:sz w:val="24"/>
          <w:szCs w:val="24"/>
        </w:rPr>
        <w:t>第六章　物业的使用与维护</w:t>
      </w:r>
    </w:p>
    <w:p>
      <w:pPr>
        <w:widowControl/>
        <w:wordWrap w:val="0"/>
        <w:spacing w:line="288" w:lineRule="auto"/>
        <w:ind w:firstLine="482" w:firstLineChars="200"/>
        <w:jc w:val="left"/>
        <w:rPr>
          <w:rFonts w:ascii="宋体" w:hAnsi="宋体" w:cs="宋体"/>
          <w:color w:val="000000"/>
          <w:kern w:val="0"/>
          <w:sz w:val="24"/>
          <w:szCs w:val="24"/>
        </w:rPr>
      </w:pPr>
      <w:bookmarkStart w:id="101" w:name="18"/>
      <w:r>
        <w:rPr>
          <w:rFonts w:hint="eastAsia" w:ascii="宋体" w:hAnsi="宋体" w:cs="宋体"/>
          <w:b/>
          <w:bCs/>
          <w:smallCaps/>
          <w:color w:val="000000"/>
          <w:kern w:val="0"/>
          <w:sz w:val="24"/>
          <w:szCs w:val="24"/>
        </w:rPr>
        <w:t>第十九条</w:t>
      </w:r>
      <w:bookmarkEnd w:id="101"/>
      <w:r>
        <w:rPr>
          <w:rFonts w:hint="eastAsia" w:ascii="宋体" w:hAnsi="宋体" w:cs="宋体"/>
          <w:color w:val="000000"/>
          <w:kern w:val="0"/>
          <w:sz w:val="24"/>
          <w:szCs w:val="24"/>
        </w:rPr>
        <w:t>　乙方应配合甲方制定本物业管理区域内物业共用部位和共用设施设备的使用、公共秩序和环境卫生的维护等方面的规章制度。</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业主依法享有的物业共用部位、共用设施设备的所有权或者使用权，甲、乙方不得擅自处分。</w:t>
      </w:r>
    </w:p>
    <w:p>
      <w:pPr>
        <w:widowControl/>
        <w:wordWrap w:val="0"/>
        <w:spacing w:line="288"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乙方根据规章制度提供管理服务时，甲方、业主和物业使用人应给予必要配合。</w:t>
      </w:r>
    </w:p>
    <w:p>
      <w:pPr>
        <w:widowControl/>
        <w:wordWrap w:val="0"/>
        <w:spacing w:line="288" w:lineRule="auto"/>
        <w:jc w:val="left"/>
        <w:rPr>
          <w:rFonts w:ascii="宋体" w:hAnsi="宋体" w:cs="宋体"/>
          <w:color w:val="000000"/>
          <w:kern w:val="0"/>
          <w:sz w:val="24"/>
          <w:szCs w:val="24"/>
        </w:rPr>
      </w:pPr>
      <w:bookmarkStart w:id="102" w:name="19"/>
      <w:r>
        <w:rPr>
          <w:rFonts w:hint="eastAsia" w:ascii="宋体" w:hAnsi="宋体" w:cs="宋体"/>
          <w:b/>
          <w:bCs/>
          <w:smallCaps/>
          <w:color w:val="000000"/>
          <w:kern w:val="0"/>
          <w:sz w:val="24"/>
          <w:szCs w:val="24"/>
        </w:rPr>
        <w:t>　　第二十条</w:t>
      </w:r>
      <w:bookmarkEnd w:id="102"/>
      <w:r>
        <w:rPr>
          <w:rFonts w:hint="eastAsia" w:ascii="宋体" w:hAnsi="宋体" w:cs="宋体"/>
          <w:color w:val="000000"/>
          <w:kern w:val="0"/>
          <w:sz w:val="24"/>
          <w:szCs w:val="24"/>
        </w:rPr>
        <w:t>　乙方可采取</w:t>
      </w:r>
      <w:r>
        <w:rPr>
          <w:rFonts w:hint="eastAsia" w:ascii="宋体" w:hAnsi="宋体" w:cs="宋体"/>
          <w:color w:val="000000"/>
          <w:kern w:val="0"/>
          <w:sz w:val="24"/>
          <w:szCs w:val="24"/>
          <w:u w:val="single"/>
        </w:rPr>
        <w:t>规劝</w:t>
      </w:r>
      <w:r>
        <w:rPr>
          <w:rFonts w:hint="eastAsia" w:ascii="宋体" w:hAnsi="宋体" w:cs="宋体"/>
          <w:color w:val="000000"/>
          <w:kern w:val="0"/>
          <w:sz w:val="24"/>
          <w:szCs w:val="24"/>
        </w:rPr>
        <w:t>、</w:t>
      </w:r>
      <w:r>
        <w:rPr>
          <w:rFonts w:hint="eastAsia" w:ascii="宋体" w:hAnsi="宋体" w:cs="宋体"/>
          <w:color w:val="000000"/>
          <w:kern w:val="0"/>
          <w:sz w:val="24"/>
          <w:szCs w:val="24"/>
          <w:u w:val="single"/>
        </w:rPr>
        <w:t>教育</w:t>
      </w:r>
      <w:r>
        <w:rPr>
          <w:rFonts w:hint="eastAsia" w:ascii="宋体" w:hAnsi="宋体" w:cs="宋体"/>
          <w:color w:val="000000"/>
          <w:kern w:val="0"/>
          <w:sz w:val="24"/>
          <w:szCs w:val="24"/>
        </w:rPr>
        <w:t>、</w:t>
      </w:r>
      <w:r>
        <w:rPr>
          <w:rFonts w:hint="eastAsia" w:ascii="宋体" w:hAnsi="宋体" w:cs="宋体"/>
          <w:color w:val="000000"/>
          <w:kern w:val="0"/>
          <w:sz w:val="24"/>
          <w:szCs w:val="24"/>
          <w:u w:val="single"/>
        </w:rPr>
        <w:t>上报国家行政部门</w:t>
      </w:r>
      <w:r>
        <w:rPr>
          <w:rFonts w:hint="eastAsia" w:ascii="宋体" w:hAnsi="宋体" w:cs="宋体"/>
          <w:color w:val="000000"/>
          <w:kern w:val="0"/>
          <w:sz w:val="24"/>
          <w:szCs w:val="24"/>
        </w:rPr>
        <w:t>等必要措施，制止业主、物业使用人违反本物业临时管理规约和物业管理区域内物业管理规章制度的行为。</w:t>
      </w:r>
    </w:p>
    <w:p>
      <w:pPr>
        <w:widowControl/>
        <w:wordWrap w:val="0"/>
        <w:spacing w:line="288" w:lineRule="auto"/>
        <w:jc w:val="left"/>
        <w:rPr>
          <w:rFonts w:ascii="宋体" w:hAnsi="宋体" w:cs="宋体"/>
          <w:color w:val="000000"/>
          <w:kern w:val="0"/>
          <w:sz w:val="24"/>
          <w:szCs w:val="24"/>
        </w:rPr>
      </w:pPr>
      <w:bookmarkStart w:id="103" w:name="20"/>
      <w:r>
        <w:rPr>
          <w:rFonts w:hint="eastAsia" w:ascii="宋体" w:hAnsi="宋体" w:cs="宋体"/>
          <w:b/>
          <w:bCs/>
          <w:smallCaps/>
          <w:color w:val="000000"/>
          <w:kern w:val="0"/>
          <w:sz w:val="24"/>
          <w:szCs w:val="24"/>
        </w:rPr>
        <w:t>　　第二十一条</w:t>
      </w:r>
      <w:bookmarkEnd w:id="103"/>
      <w:r>
        <w:rPr>
          <w:rFonts w:hint="eastAsia" w:ascii="宋体" w:hAnsi="宋体" w:cs="宋体"/>
          <w:color w:val="000000"/>
          <w:kern w:val="0"/>
          <w:sz w:val="24"/>
          <w:szCs w:val="24"/>
        </w:rPr>
        <w:t>　乙方应及时向全体业主通告本物业管理区域内有关物业管理的重大事项，及时处理业主和物业使用人的投诉，接受甲方、业主和物业使用人的监督。</w:t>
      </w:r>
    </w:p>
    <w:p>
      <w:pPr>
        <w:widowControl/>
        <w:wordWrap w:val="0"/>
        <w:spacing w:line="288" w:lineRule="auto"/>
        <w:jc w:val="left"/>
        <w:rPr>
          <w:rFonts w:ascii="宋体" w:hAnsi="宋体" w:cs="宋体"/>
          <w:color w:val="000000"/>
          <w:kern w:val="0"/>
          <w:sz w:val="24"/>
          <w:szCs w:val="24"/>
        </w:rPr>
      </w:pPr>
      <w:bookmarkStart w:id="104" w:name="21"/>
      <w:r>
        <w:rPr>
          <w:rFonts w:hint="eastAsia" w:ascii="宋体" w:hAnsi="宋体" w:cs="宋体"/>
          <w:b/>
          <w:bCs/>
          <w:smallCaps/>
          <w:color w:val="000000"/>
          <w:kern w:val="0"/>
          <w:sz w:val="24"/>
          <w:szCs w:val="24"/>
        </w:rPr>
        <w:t>　　第二十二条</w:t>
      </w:r>
      <w:bookmarkEnd w:id="104"/>
      <w:r>
        <w:rPr>
          <w:rFonts w:hint="eastAsia" w:ascii="宋体" w:hAnsi="宋体" w:cs="宋体"/>
          <w:color w:val="000000"/>
          <w:kern w:val="0"/>
          <w:sz w:val="24"/>
          <w:szCs w:val="24"/>
        </w:rPr>
        <w:t>　因维修物业或者公共利益，甲方确需临时占用、挖掘本物业管理区域内道路、场地的，应征得相关业主和乙方的同意；乙方确需临时占用、挖掘本物业管理区域内道路、场地的，应征得相关业主和甲方的同意。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临时占用、挖掘本物业管理区域内道路、场地的，应在约定期限内恢复原状。</w:t>
      </w:r>
    </w:p>
    <w:p>
      <w:pPr>
        <w:widowControl/>
        <w:wordWrap w:val="0"/>
        <w:spacing w:line="288" w:lineRule="auto"/>
        <w:jc w:val="left"/>
        <w:rPr>
          <w:rFonts w:ascii="宋体" w:hAnsi="宋体" w:cs="宋体"/>
          <w:color w:val="000000"/>
          <w:kern w:val="0"/>
          <w:sz w:val="24"/>
          <w:szCs w:val="24"/>
        </w:rPr>
      </w:pPr>
      <w:bookmarkStart w:id="105" w:name="22"/>
      <w:r>
        <w:rPr>
          <w:rFonts w:hint="eastAsia" w:ascii="宋体" w:hAnsi="宋体" w:cs="宋体"/>
          <w:b/>
          <w:bCs/>
          <w:smallCaps/>
          <w:color w:val="000000"/>
          <w:kern w:val="0"/>
          <w:sz w:val="24"/>
          <w:szCs w:val="24"/>
        </w:rPr>
        <w:t>　　第二十三条</w:t>
      </w:r>
      <w:bookmarkEnd w:id="105"/>
      <w:r>
        <w:rPr>
          <w:rFonts w:hint="eastAsia" w:ascii="宋体" w:hAnsi="宋体" w:cs="宋体"/>
          <w:color w:val="000000"/>
          <w:kern w:val="0"/>
          <w:sz w:val="24"/>
          <w:szCs w:val="24"/>
        </w:rPr>
        <w:t>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widowControl/>
        <w:wordWrap w:val="0"/>
        <w:spacing w:line="288" w:lineRule="auto"/>
        <w:jc w:val="left"/>
        <w:rPr>
          <w:rFonts w:ascii="宋体" w:hAnsi="宋体" w:cs="宋体"/>
          <w:color w:val="000000"/>
          <w:kern w:val="0"/>
          <w:sz w:val="24"/>
          <w:szCs w:val="24"/>
        </w:rPr>
      </w:pPr>
      <w:bookmarkStart w:id="106" w:name="23"/>
      <w:r>
        <w:rPr>
          <w:rFonts w:hint="eastAsia" w:ascii="宋体" w:hAnsi="宋体" w:cs="宋体"/>
          <w:b/>
          <w:bCs/>
          <w:smallCaps/>
          <w:color w:val="000000"/>
          <w:kern w:val="0"/>
          <w:sz w:val="24"/>
          <w:szCs w:val="24"/>
        </w:rPr>
        <w:t>　　第二十四条</w:t>
      </w:r>
      <w:bookmarkEnd w:id="106"/>
      <w:r>
        <w:rPr>
          <w:rFonts w:hint="eastAsia" w:ascii="宋体" w:hAnsi="宋体" w:cs="宋体"/>
          <w:color w:val="000000"/>
          <w:kern w:val="0"/>
          <w:sz w:val="24"/>
          <w:szCs w:val="24"/>
        </w:rPr>
        <w:t>　甲方应于</w:t>
      </w:r>
      <w:r>
        <w:rPr>
          <w:rFonts w:hint="eastAsia" w:ascii="宋体" w:hAnsi="宋体" w:cs="宋体"/>
          <w:color w:val="000000"/>
          <w:kern w:val="0"/>
          <w:sz w:val="24"/>
          <w:szCs w:val="24"/>
          <w:u w:val="single"/>
        </w:rPr>
        <w:t>交房前三个月</w:t>
      </w:r>
      <w:r>
        <w:rPr>
          <w:rFonts w:hint="eastAsia" w:ascii="宋体" w:hAnsi="宋体" w:cs="宋体"/>
          <w:color w:val="000000"/>
          <w:kern w:val="0"/>
          <w:sz w:val="24"/>
          <w:szCs w:val="24"/>
        </w:rPr>
        <w:t>（具体时间）按有关规定向乙方提供能够直接投入使用的物业服务用房。</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物业服务用房建筑面积约</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rPr>
        <w:t>平方米，其中：办公用</w:t>
      </w:r>
      <w:r>
        <w:rPr>
          <w:rFonts w:hint="eastAsia" w:ascii="宋体" w:hAnsi="宋体" w:cs="宋体"/>
          <w:color w:val="auto"/>
          <w:kern w:val="0"/>
          <w:sz w:val="24"/>
          <w:szCs w:val="24"/>
          <w:u w:val="single"/>
        </w:rPr>
        <w:t xml:space="preserve">   /  </w:t>
      </w:r>
      <w:r>
        <w:rPr>
          <w:rFonts w:hint="eastAsia" w:ascii="宋体" w:hAnsi="宋体" w:cs="宋体"/>
          <w:color w:val="auto"/>
          <w:kern w:val="0"/>
          <w:sz w:val="24"/>
          <w:szCs w:val="24"/>
        </w:rPr>
        <w:t>平方米，位于</w:t>
      </w:r>
      <w:r>
        <w:rPr>
          <w:rFonts w:hint="eastAsia" w:ascii="宋体" w:hAnsi="宋体" w:cs="宋体"/>
          <w:color w:val="auto"/>
          <w:kern w:val="0"/>
          <w:sz w:val="24"/>
          <w:szCs w:val="24"/>
          <w:u w:val="single"/>
        </w:rPr>
        <w:t xml:space="preserve">   /  </w:t>
      </w:r>
      <w:r>
        <w:rPr>
          <w:rFonts w:hint="eastAsia" w:ascii="宋体" w:hAnsi="宋体" w:cs="宋体"/>
          <w:color w:val="auto"/>
          <w:kern w:val="0"/>
          <w:sz w:val="24"/>
          <w:szCs w:val="24"/>
        </w:rPr>
        <w:t>；</w:t>
      </w:r>
      <w:r>
        <w:rPr>
          <w:rFonts w:hint="eastAsia" w:ascii="宋体" w:hAnsi="宋体" w:cs="宋体"/>
          <w:color w:val="auto"/>
          <w:kern w:val="0"/>
          <w:sz w:val="24"/>
          <w:szCs w:val="24"/>
          <w:u w:val="single"/>
        </w:rPr>
        <w:t xml:space="preserve">            / </w:t>
      </w:r>
      <w:r>
        <w:rPr>
          <w:rFonts w:hint="eastAsia" w:ascii="宋体" w:hAnsi="宋体" w:cs="宋体"/>
          <w:color w:val="auto"/>
          <w:kern w:val="0"/>
          <w:sz w:val="24"/>
          <w:szCs w:val="24"/>
        </w:rPr>
        <w:t>用房</w:t>
      </w:r>
      <w:r>
        <w:rPr>
          <w:rFonts w:hint="eastAsia" w:ascii="宋体" w:hAnsi="宋体" w:cs="宋体"/>
          <w:color w:val="auto"/>
          <w:kern w:val="0"/>
          <w:sz w:val="24"/>
          <w:szCs w:val="24"/>
          <w:u w:val="single"/>
        </w:rPr>
        <w:t xml:space="preserve">  /   </w:t>
      </w:r>
      <w:r>
        <w:rPr>
          <w:rFonts w:hint="eastAsia" w:ascii="宋体" w:hAnsi="宋体" w:cs="宋体"/>
          <w:color w:val="auto"/>
          <w:kern w:val="0"/>
          <w:sz w:val="24"/>
          <w:szCs w:val="24"/>
        </w:rPr>
        <w:t>平方米，位于</w:t>
      </w:r>
      <w:r>
        <w:rPr>
          <w:rFonts w:hint="eastAsia" w:ascii="宋体" w:hAnsi="宋体" w:cs="宋体"/>
          <w:color w:val="auto"/>
          <w:kern w:val="0"/>
          <w:sz w:val="24"/>
          <w:szCs w:val="24"/>
          <w:u w:val="single"/>
          <w:lang w:eastAsia="zh-CN"/>
        </w:rPr>
        <w:t>华强壹号院一、二期</w:t>
      </w:r>
      <w:r>
        <w:rPr>
          <w:rFonts w:hint="eastAsia" w:ascii="宋体" w:hAnsi="宋体" w:cs="宋体"/>
          <w:color w:val="auto"/>
          <w:kern w:val="0"/>
          <w:sz w:val="24"/>
          <w:szCs w:val="24"/>
          <w:u w:val="single"/>
        </w:rPr>
        <w:t>项目P3#楼</w:t>
      </w:r>
      <w:r>
        <w:rPr>
          <w:rFonts w:hint="eastAsia" w:ascii="宋体" w:hAnsi="宋体" w:cs="宋体"/>
          <w:color w:val="auto"/>
          <w:kern w:val="0"/>
          <w:sz w:val="24"/>
          <w:szCs w:val="24"/>
        </w:rPr>
        <w:t>。</w:t>
      </w:r>
    </w:p>
    <w:p>
      <w:pPr>
        <w:widowControl/>
        <w:wordWrap w:val="0"/>
        <w:spacing w:line="288" w:lineRule="auto"/>
        <w:jc w:val="left"/>
        <w:rPr>
          <w:rFonts w:ascii="宋体" w:hAnsi="宋体" w:cs="宋体"/>
          <w:color w:val="000000"/>
          <w:kern w:val="0"/>
          <w:sz w:val="24"/>
          <w:szCs w:val="24"/>
        </w:rPr>
      </w:pPr>
      <w:bookmarkStart w:id="107" w:name="24"/>
      <w:r>
        <w:rPr>
          <w:rFonts w:hint="eastAsia" w:ascii="宋体" w:hAnsi="宋体" w:cs="宋体"/>
          <w:b/>
          <w:bCs/>
          <w:smallCaps/>
          <w:color w:val="000000"/>
          <w:kern w:val="0"/>
          <w:sz w:val="24"/>
          <w:szCs w:val="24"/>
        </w:rPr>
        <w:t>　　第二十五条</w:t>
      </w:r>
      <w:bookmarkEnd w:id="107"/>
      <w:r>
        <w:rPr>
          <w:rFonts w:hint="eastAsia" w:ascii="宋体" w:hAnsi="宋体" w:cs="宋体"/>
          <w:color w:val="000000"/>
          <w:kern w:val="0"/>
          <w:sz w:val="24"/>
          <w:szCs w:val="24"/>
        </w:rPr>
        <w:t>　物业服务用房属全体业主所有，乙方在本合同期限内无偿使用，但不得改变其用途。</w:t>
      </w:r>
    </w:p>
    <w:p>
      <w:pPr>
        <w:widowControl/>
        <w:wordWrap w:val="0"/>
        <w:spacing w:line="288" w:lineRule="auto"/>
        <w:ind w:firstLine="1675" w:firstLineChars="695"/>
        <w:jc w:val="left"/>
        <w:rPr>
          <w:rFonts w:ascii="宋体" w:hAnsi="宋体" w:cs="宋体"/>
          <w:b/>
          <w:bCs/>
          <w:smallCaps/>
          <w:color w:val="000000"/>
          <w:kern w:val="0"/>
          <w:sz w:val="24"/>
          <w:szCs w:val="24"/>
        </w:rPr>
      </w:pPr>
    </w:p>
    <w:p>
      <w:pPr>
        <w:widowControl/>
        <w:wordWrap w:val="0"/>
        <w:spacing w:line="288" w:lineRule="auto"/>
        <w:jc w:val="center"/>
        <w:rPr>
          <w:rFonts w:ascii="宋体" w:hAnsi="宋体" w:cs="宋体"/>
          <w:color w:val="000000"/>
          <w:kern w:val="0"/>
          <w:sz w:val="24"/>
          <w:szCs w:val="24"/>
        </w:rPr>
      </w:pPr>
      <w:r>
        <w:rPr>
          <w:rFonts w:hint="eastAsia" w:ascii="宋体" w:hAnsi="宋体" w:cs="宋体"/>
          <w:b/>
          <w:bCs/>
          <w:smallCaps/>
          <w:color w:val="000000"/>
          <w:kern w:val="0"/>
          <w:sz w:val="24"/>
          <w:szCs w:val="24"/>
        </w:rPr>
        <w:t>第七章　 　违约责任</w:t>
      </w:r>
    </w:p>
    <w:p>
      <w:pPr>
        <w:widowControl/>
        <w:wordWrap w:val="0"/>
        <w:spacing w:line="288" w:lineRule="auto"/>
        <w:ind w:firstLine="241" w:firstLineChars="100"/>
        <w:jc w:val="left"/>
        <w:rPr>
          <w:rFonts w:ascii="宋体" w:hAnsi="宋体" w:cs="宋体"/>
          <w:color w:val="000000"/>
          <w:kern w:val="0"/>
          <w:sz w:val="24"/>
          <w:szCs w:val="24"/>
        </w:rPr>
      </w:pPr>
      <w:bookmarkStart w:id="108" w:name="29"/>
      <w:r>
        <w:rPr>
          <w:rFonts w:hint="eastAsia" w:ascii="宋体" w:hAnsi="宋体" w:cs="宋体"/>
          <w:b/>
          <w:bCs/>
          <w:smallCaps/>
          <w:color w:val="000000"/>
          <w:kern w:val="0"/>
          <w:sz w:val="24"/>
          <w:szCs w:val="24"/>
        </w:rPr>
        <w:t>　第二十六条</w:t>
      </w:r>
      <w:bookmarkEnd w:id="108"/>
      <w:r>
        <w:rPr>
          <w:rFonts w:hint="eastAsia" w:ascii="宋体" w:hAnsi="宋体" w:cs="宋体"/>
          <w:color w:val="000000"/>
          <w:kern w:val="0"/>
          <w:sz w:val="24"/>
          <w:szCs w:val="24"/>
        </w:rPr>
        <w:t>　甲方违反本合同第十四条、第十五条、第十六条、第十七的约定，致使乙方的管理服务无法达到本合同第二条、第三条、第四条约定的服务内容和质量标准的，由甲方赔偿由此给业主和物业使用人造成的损失。</w:t>
      </w:r>
    </w:p>
    <w:p>
      <w:pPr>
        <w:widowControl/>
        <w:wordWrap w:val="0"/>
        <w:spacing w:line="288" w:lineRule="auto"/>
        <w:jc w:val="left"/>
        <w:rPr>
          <w:rFonts w:ascii="宋体" w:hAnsi="宋体" w:cs="宋体"/>
          <w:color w:val="000000"/>
          <w:kern w:val="0"/>
          <w:sz w:val="24"/>
          <w:szCs w:val="24"/>
        </w:rPr>
      </w:pPr>
      <w:bookmarkStart w:id="109" w:name="30"/>
      <w:r>
        <w:rPr>
          <w:rFonts w:hint="eastAsia" w:ascii="宋体" w:hAnsi="宋体" w:cs="宋体"/>
          <w:b/>
          <w:bCs/>
          <w:smallCaps/>
          <w:color w:val="000000"/>
          <w:kern w:val="0"/>
          <w:sz w:val="24"/>
          <w:szCs w:val="24"/>
        </w:rPr>
        <w:t>　　第二十七条</w:t>
      </w:r>
      <w:bookmarkEnd w:id="109"/>
      <w:r>
        <w:rPr>
          <w:rFonts w:hint="eastAsia" w:ascii="宋体" w:hAnsi="宋体" w:cs="宋体"/>
          <w:color w:val="000000"/>
          <w:kern w:val="0"/>
          <w:sz w:val="24"/>
          <w:szCs w:val="24"/>
        </w:rPr>
        <w:t>　除前条规定情况外，乙方的管理服务达不到本合同第二条、第三条、第四条约定的服务内容和质量标准，应按</w:t>
      </w:r>
      <w:r>
        <w:rPr>
          <w:rFonts w:hint="eastAsia" w:ascii="宋体" w:hAnsi="宋体" w:cs="宋体"/>
          <w:color w:val="000000"/>
          <w:kern w:val="0"/>
          <w:sz w:val="24"/>
          <w:szCs w:val="24"/>
          <w:u w:val="single"/>
        </w:rPr>
        <w:t>酬金10%</w:t>
      </w:r>
      <w:r>
        <w:rPr>
          <w:rFonts w:hint="eastAsia" w:ascii="宋体" w:hAnsi="宋体" w:cs="宋体"/>
          <w:color w:val="000000"/>
          <w:kern w:val="0"/>
          <w:sz w:val="24"/>
          <w:szCs w:val="24"/>
        </w:rPr>
        <w:t>的标准向甲方、业主支付违约金。</w:t>
      </w:r>
    </w:p>
    <w:p>
      <w:pPr>
        <w:widowControl/>
        <w:wordWrap w:val="0"/>
        <w:spacing w:line="288" w:lineRule="auto"/>
        <w:jc w:val="left"/>
        <w:rPr>
          <w:rFonts w:ascii="宋体" w:hAnsi="宋体" w:cs="宋体"/>
          <w:color w:val="000000"/>
          <w:kern w:val="0"/>
          <w:sz w:val="24"/>
          <w:szCs w:val="24"/>
        </w:rPr>
      </w:pPr>
      <w:bookmarkStart w:id="110" w:name="31"/>
      <w:r>
        <w:rPr>
          <w:rFonts w:hint="eastAsia" w:ascii="宋体" w:hAnsi="宋体" w:cs="宋体"/>
          <w:b/>
          <w:bCs/>
          <w:smallCaps/>
          <w:color w:val="000000"/>
          <w:kern w:val="0"/>
          <w:sz w:val="24"/>
          <w:szCs w:val="24"/>
        </w:rPr>
        <w:t>　　第二十八条</w:t>
      </w:r>
      <w:bookmarkEnd w:id="110"/>
      <w:r>
        <w:rPr>
          <w:rFonts w:hint="eastAsia" w:ascii="宋体" w:hAnsi="宋体" w:cs="宋体"/>
          <w:color w:val="000000"/>
          <w:kern w:val="0"/>
          <w:sz w:val="24"/>
          <w:szCs w:val="24"/>
        </w:rPr>
        <w:t>　甲方、业主或物业使用人违反本合同第六条、第七条、第八条的约定，未能按时足额交纳物业服务费用（物业服务资金）的，应按</w:t>
      </w:r>
      <w:r>
        <w:rPr>
          <w:rFonts w:hint="eastAsia" w:ascii="宋体" w:hAnsi="宋体" w:cs="宋体"/>
          <w:color w:val="000000"/>
          <w:kern w:val="0"/>
          <w:sz w:val="24"/>
          <w:szCs w:val="24"/>
          <w:u w:val="single"/>
        </w:rPr>
        <w:t>应缴物业服务费3‰/日</w:t>
      </w:r>
      <w:r>
        <w:rPr>
          <w:rFonts w:hint="eastAsia" w:ascii="宋体" w:hAnsi="宋体" w:cs="宋体"/>
          <w:color w:val="000000"/>
          <w:kern w:val="0"/>
          <w:sz w:val="24"/>
          <w:szCs w:val="24"/>
        </w:rPr>
        <w:t>的标准向乙方支付违约金。</w:t>
      </w:r>
    </w:p>
    <w:p>
      <w:pPr>
        <w:widowControl/>
        <w:wordWrap w:val="0"/>
        <w:spacing w:line="288" w:lineRule="auto"/>
        <w:jc w:val="left"/>
        <w:rPr>
          <w:rFonts w:ascii="宋体" w:hAnsi="宋体" w:cs="宋体"/>
          <w:color w:val="000000"/>
          <w:kern w:val="0"/>
          <w:sz w:val="24"/>
          <w:szCs w:val="24"/>
        </w:rPr>
      </w:pPr>
      <w:bookmarkStart w:id="111" w:name="32"/>
      <w:r>
        <w:rPr>
          <w:rFonts w:hint="eastAsia" w:ascii="宋体" w:hAnsi="宋体" w:cs="宋体"/>
          <w:b/>
          <w:bCs/>
          <w:smallCaps/>
          <w:color w:val="000000"/>
          <w:kern w:val="0"/>
          <w:sz w:val="24"/>
          <w:szCs w:val="24"/>
        </w:rPr>
        <w:t>　　第二十九条</w:t>
      </w:r>
      <w:bookmarkEnd w:id="111"/>
      <w:r>
        <w:rPr>
          <w:rFonts w:hint="eastAsia" w:ascii="宋体" w:hAnsi="宋体" w:cs="宋体"/>
          <w:color w:val="000000"/>
          <w:kern w:val="0"/>
          <w:sz w:val="24"/>
          <w:szCs w:val="24"/>
        </w:rPr>
        <w:t>　乙方违反本合同第七条、第八条的约定，擅自提高物业服务费用标准的，业主和物业使用人就超额部分有权拒绝交纳；乙方已经收取的，业主和物业使用人有权要求乙方双倍返还。</w:t>
      </w:r>
    </w:p>
    <w:p>
      <w:pPr>
        <w:widowControl/>
        <w:wordWrap w:val="0"/>
        <w:spacing w:line="288" w:lineRule="auto"/>
        <w:jc w:val="left"/>
        <w:rPr>
          <w:rFonts w:ascii="宋体" w:hAnsi="宋体" w:cs="宋体"/>
          <w:color w:val="000000"/>
          <w:kern w:val="0"/>
          <w:sz w:val="24"/>
          <w:szCs w:val="24"/>
        </w:rPr>
      </w:pPr>
      <w:bookmarkStart w:id="112" w:name="33"/>
      <w:r>
        <w:rPr>
          <w:rFonts w:hint="eastAsia" w:ascii="宋体" w:hAnsi="宋体" w:cs="宋体"/>
          <w:b/>
          <w:bCs/>
          <w:smallCaps/>
          <w:color w:val="000000"/>
          <w:kern w:val="0"/>
          <w:sz w:val="24"/>
          <w:szCs w:val="24"/>
        </w:rPr>
        <w:t>　　第三十条</w:t>
      </w:r>
      <w:bookmarkEnd w:id="112"/>
      <w:r>
        <w:rPr>
          <w:rFonts w:hint="eastAsia" w:ascii="宋体" w:hAnsi="宋体" w:cs="宋体"/>
          <w:color w:val="000000"/>
          <w:kern w:val="0"/>
          <w:sz w:val="24"/>
          <w:szCs w:val="24"/>
        </w:rPr>
        <w:t>　甲方违反本合同第十八条的约定，拒绝或拖延履行保修义务的，业主、物业使用人可以自行或委托乙方修复，修复费用及造成的其他损失由甲方承担。</w:t>
      </w:r>
    </w:p>
    <w:p>
      <w:pPr>
        <w:widowControl/>
        <w:wordWrap w:val="0"/>
        <w:spacing w:line="288" w:lineRule="auto"/>
        <w:jc w:val="left"/>
        <w:rPr>
          <w:rFonts w:ascii="宋体" w:hAnsi="宋体" w:cs="宋体"/>
          <w:color w:val="000000"/>
          <w:kern w:val="0"/>
          <w:sz w:val="24"/>
          <w:szCs w:val="24"/>
        </w:rPr>
      </w:pPr>
      <w:bookmarkStart w:id="113" w:name="34"/>
      <w:r>
        <w:rPr>
          <w:rFonts w:hint="eastAsia" w:ascii="宋体" w:hAnsi="宋体" w:cs="宋体"/>
          <w:b/>
          <w:bCs/>
          <w:smallCaps/>
          <w:color w:val="000000"/>
          <w:kern w:val="0"/>
          <w:sz w:val="24"/>
          <w:szCs w:val="24"/>
        </w:rPr>
        <w:t>　　第三十一条</w:t>
      </w:r>
      <w:bookmarkEnd w:id="113"/>
      <w:r>
        <w:rPr>
          <w:rFonts w:hint="eastAsia" w:ascii="宋体" w:hAnsi="宋体" w:cs="宋体"/>
          <w:color w:val="000000"/>
          <w:kern w:val="0"/>
          <w:sz w:val="24"/>
          <w:szCs w:val="24"/>
        </w:rPr>
        <w:t>　以下情况乙方不承担责任：</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1、因不可抗力导致物业管理服务中断的；</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2、乙方已履行本合同约定义务，但因物业本身固有瑕疵造成损失的；</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3、因维修养护物业共用部位、共用设施设备需要且事先已告知业主和物业使用人，暂时停水、停电、停止共用设施设备使用等造成损失的；</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4、因非乙方责任出现供水、供电、供气、供热、通讯、有线电视及其他共用设施设备运行障碍造成损失的；</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5、因业主违规使用公共设施、设备的。</w:t>
      </w:r>
    </w:p>
    <w:p>
      <w:pPr>
        <w:widowControl/>
        <w:wordWrap w:val="0"/>
        <w:spacing w:line="288" w:lineRule="auto"/>
        <w:jc w:val="center"/>
        <w:rPr>
          <w:rFonts w:ascii="宋体" w:hAnsi="宋体" w:cs="宋体"/>
          <w:color w:val="000000"/>
          <w:kern w:val="0"/>
          <w:sz w:val="24"/>
          <w:szCs w:val="24"/>
        </w:rPr>
      </w:pPr>
      <w:r>
        <w:rPr>
          <w:rFonts w:hint="eastAsia" w:ascii="宋体" w:hAnsi="宋体" w:cs="宋体"/>
          <w:b/>
          <w:bCs/>
          <w:smallCaps/>
          <w:color w:val="000000"/>
          <w:kern w:val="0"/>
          <w:sz w:val="24"/>
          <w:szCs w:val="24"/>
        </w:rPr>
        <w:t>第八章　其他事项</w:t>
      </w:r>
    </w:p>
    <w:p>
      <w:pPr>
        <w:widowControl/>
        <w:wordWrap w:val="0"/>
        <w:spacing w:line="288" w:lineRule="auto"/>
        <w:jc w:val="left"/>
        <w:rPr>
          <w:rFonts w:ascii="宋体" w:hAnsi="宋体" w:cs="宋体"/>
          <w:color w:val="000000"/>
          <w:kern w:val="0"/>
          <w:sz w:val="24"/>
          <w:szCs w:val="24"/>
        </w:rPr>
      </w:pPr>
      <w:bookmarkStart w:id="114" w:name="35"/>
      <w:r>
        <w:rPr>
          <w:rFonts w:hint="eastAsia" w:ascii="宋体" w:hAnsi="宋体" w:cs="宋体"/>
          <w:b/>
          <w:bCs/>
          <w:smallCaps/>
          <w:color w:val="000000"/>
          <w:kern w:val="0"/>
          <w:sz w:val="24"/>
          <w:szCs w:val="24"/>
        </w:rPr>
        <w:t>　　第三十二条</w:t>
      </w:r>
      <w:bookmarkEnd w:id="114"/>
      <w:r>
        <w:rPr>
          <w:rFonts w:hint="eastAsia" w:ascii="宋体" w:hAnsi="宋体" w:cs="宋体"/>
          <w:color w:val="000000"/>
          <w:kern w:val="0"/>
          <w:sz w:val="24"/>
          <w:szCs w:val="24"/>
        </w:rPr>
        <w:t>　本合同期限自</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日起至</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日止；但在本合同期限内，业主委员会代表全体业主与物业服务企业签订的物业服务合同生效时，本合同自动终止。</w:t>
      </w:r>
    </w:p>
    <w:p>
      <w:pPr>
        <w:widowControl/>
        <w:wordWrap w:val="0"/>
        <w:spacing w:line="288" w:lineRule="auto"/>
        <w:jc w:val="left"/>
        <w:rPr>
          <w:rFonts w:ascii="宋体" w:hAnsi="宋体" w:cs="宋体"/>
          <w:color w:val="000000"/>
          <w:kern w:val="0"/>
          <w:sz w:val="24"/>
          <w:szCs w:val="24"/>
        </w:rPr>
      </w:pPr>
      <w:bookmarkStart w:id="115" w:name="36"/>
      <w:r>
        <w:rPr>
          <w:rFonts w:hint="eastAsia" w:ascii="宋体" w:hAnsi="宋体" w:cs="宋体"/>
          <w:b/>
          <w:bCs/>
          <w:smallCaps/>
          <w:color w:val="000000"/>
          <w:kern w:val="0"/>
          <w:sz w:val="24"/>
          <w:szCs w:val="24"/>
        </w:rPr>
        <w:t>　　第三十三条</w:t>
      </w:r>
      <w:bookmarkEnd w:id="115"/>
      <w:r>
        <w:rPr>
          <w:rFonts w:hint="eastAsia" w:ascii="宋体" w:hAnsi="宋体" w:cs="宋体"/>
          <w:color w:val="000000"/>
          <w:kern w:val="0"/>
          <w:sz w:val="24"/>
          <w:szCs w:val="24"/>
        </w:rPr>
        <w:t>　本合同期满前</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月，业主大会尚未成立的，甲、乙双方应就延长本合同期限达成协议；双方未能达成协议的，甲方应在本合同期满前通过招投标方式选聘新的物业服务企业。</w:t>
      </w:r>
    </w:p>
    <w:p>
      <w:pPr>
        <w:widowControl/>
        <w:wordWrap w:val="0"/>
        <w:spacing w:line="288" w:lineRule="auto"/>
        <w:jc w:val="left"/>
        <w:rPr>
          <w:rFonts w:ascii="宋体" w:hAnsi="宋体" w:cs="宋体"/>
          <w:color w:val="000000"/>
          <w:kern w:val="0"/>
          <w:sz w:val="24"/>
          <w:szCs w:val="24"/>
        </w:rPr>
      </w:pPr>
      <w:bookmarkStart w:id="116" w:name="37"/>
      <w:r>
        <w:rPr>
          <w:rFonts w:hint="eastAsia" w:ascii="宋体" w:hAnsi="宋体" w:cs="宋体"/>
          <w:b/>
          <w:bCs/>
          <w:smallCaps/>
          <w:color w:val="000000"/>
          <w:kern w:val="0"/>
          <w:sz w:val="24"/>
          <w:szCs w:val="24"/>
        </w:rPr>
        <w:t>　　第三十四条</w:t>
      </w:r>
      <w:bookmarkEnd w:id="116"/>
      <w:r>
        <w:rPr>
          <w:rFonts w:hint="eastAsia" w:ascii="宋体" w:hAnsi="宋体" w:cs="宋体"/>
          <w:color w:val="000000"/>
          <w:kern w:val="0"/>
          <w:sz w:val="24"/>
          <w:szCs w:val="24"/>
        </w:rPr>
        <w:t>　本合同终止时，乙方应将物业服务用房、物业管理相关资料等属于全体业主所有的财物及时完整地移交给业主委员会；业主委员会尚未成立的，移交给甲方或</w:t>
      </w:r>
      <w:r>
        <w:rPr>
          <w:rFonts w:hint="eastAsia" w:ascii="宋体" w:hAnsi="宋体" w:cs="宋体"/>
          <w:color w:val="000000"/>
          <w:kern w:val="0"/>
          <w:sz w:val="24"/>
          <w:szCs w:val="24"/>
          <w:u w:val="single"/>
        </w:rPr>
        <w:t>物业所在社区</w:t>
      </w:r>
      <w:r>
        <w:rPr>
          <w:rFonts w:hint="eastAsia" w:ascii="宋体" w:hAnsi="宋体" w:cs="宋体"/>
          <w:color w:val="000000"/>
          <w:kern w:val="0"/>
          <w:sz w:val="24"/>
          <w:szCs w:val="24"/>
        </w:rPr>
        <w:t>代管。</w:t>
      </w:r>
    </w:p>
    <w:p>
      <w:pPr>
        <w:widowControl/>
        <w:wordWrap w:val="0"/>
        <w:spacing w:line="288" w:lineRule="auto"/>
        <w:ind w:firstLine="525"/>
        <w:jc w:val="left"/>
        <w:rPr>
          <w:rFonts w:ascii="宋体" w:hAnsi="宋体" w:cs="宋体"/>
          <w:color w:val="000000"/>
          <w:kern w:val="0"/>
          <w:sz w:val="24"/>
          <w:szCs w:val="24"/>
        </w:rPr>
      </w:pPr>
      <w:bookmarkStart w:id="117" w:name="38"/>
      <w:r>
        <w:rPr>
          <w:rFonts w:hint="eastAsia" w:ascii="宋体" w:hAnsi="宋体" w:cs="宋体"/>
          <w:b/>
          <w:bCs/>
          <w:smallCaps/>
          <w:color w:val="000000"/>
          <w:kern w:val="0"/>
          <w:sz w:val="24"/>
          <w:szCs w:val="24"/>
        </w:rPr>
        <w:t>第三十五条</w:t>
      </w:r>
      <w:bookmarkEnd w:id="117"/>
      <w:r>
        <w:rPr>
          <w:rFonts w:hint="eastAsia" w:ascii="宋体" w:hAnsi="宋体" w:cs="宋体"/>
          <w:color w:val="000000"/>
          <w:kern w:val="0"/>
          <w:sz w:val="24"/>
          <w:szCs w:val="24"/>
        </w:rPr>
        <w:t xml:space="preserve">  甲方与物业买受人签订物业买卖合同时，要向物业买受人明示前期物业服务合同及乙方名称、服务内容、服务标准、收费标准、计费方式和起始时间等内容。</w:t>
      </w:r>
    </w:p>
    <w:p>
      <w:pPr>
        <w:widowControl/>
        <w:wordWrap w:val="0"/>
        <w:spacing w:line="288" w:lineRule="auto"/>
        <w:ind w:firstLine="525"/>
        <w:jc w:val="left"/>
        <w:rPr>
          <w:rFonts w:ascii="宋体" w:hAnsi="宋体" w:cs="宋体"/>
          <w:color w:val="000000"/>
          <w:kern w:val="0"/>
          <w:sz w:val="24"/>
          <w:szCs w:val="24"/>
        </w:rPr>
      </w:pPr>
      <w:r>
        <w:rPr>
          <w:rFonts w:hint="eastAsia" w:ascii="宋体" w:hAnsi="宋体" w:cs="宋体"/>
          <w:color w:val="000000"/>
          <w:kern w:val="0"/>
          <w:sz w:val="24"/>
          <w:szCs w:val="24"/>
        </w:rPr>
        <w:t>前期物业服务合同作为物业买卖合同的附件，对物业买卖和乙方具有约束力。</w:t>
      </w:r>
    </w:p>
    <w:p>
      <w:pPr>
        <w:widowControl/>
        <w:wordWrap w:val="0"/>
        <w:spacing w:line="288" w:lineRule="auto"/>
        <w:jc w:val="left"/>
        <w:rPr>
          <w:rFonts w:ascii="宋体" w:hAnsi="宋体" w:cs="宋体"/>
          <w:color w:val="000000"/>
          <w:kern w:val="0"/>
          <w:sz w:val="24"/>
          <w:szCs w:val="24"/>
        </w:rPr>
      </w:pPr>
      <w:bookmarkStart w:id="118" w:name="39"/>
      <w:r>
        <w:rPr>
          <w:rFonts w:hint="eastAsia" w:ascii="宋体" w:hAnsi="宋体" w:cs="宋体"/>
          <w:b/>
          <w:bCs/>
          <w:smallCaps/>
          <w:color w:val="000000"/>
          <w:kern w:val="0"/>
          <w:sz w:val="24"/>
          <w:szCs w:val="24"/>
        </w:rPr>
        <w:t>　　第三十六条</w:t>
      </w:r>
      <w:bookmarkEnd w:id="118"/>
      <w:r>
        <w:rPr>
          <w:rFonts w:hint="eastAsia" w:ascii="宋体" w:hAnsi="宋体" w:cs="宋体"/>
          <w:color w:val="000000"/>
          <w:kern w:val="0"/>
          <w:sz w:val="24"/>
          <w:szCs w:val="24"/>
        </w:rPr>
        <w:t>　业主可与物业使用人就本合同的权利义务进行约定，但物业使用人违反本合同约定的，业主应承担连带责任。</w:t>
      </w:r>
    </w:p>
    <w:p>
      <w:pPr>
        <w:widowControl/>
        <w:wordWrap w:val="0"/>
        <w:spacing w:line="288" w:lineRule="auto"/>
        <w:jc w:val="left"/>
        <w:rPr>
          <w:rFonts w:ascii="宋体" w:hAnsi="宋体" w:cs="宋体"/>
          <w:color w:val="000000"/>
          <w:kern w:val="0"/>
          <w:sz w:val="24"/>
          <w:szCs w:val="24"/>
        </w:rPr>
      </w:pPr>
      <w:bookmarkStart w:id="119" w:name="40"/>
      <w:r>
        <w:rPr>
          <w:rFonts w:hint="eastAsia" w:ascii="宋体" w:hAnsi="宋体" w:cs="宋体"/>
          <w:b/>
          <w:bCs/>
          <w:smallCaps/>
          <w:color w:val="000000"/>
          <w:kern w:val="0"/>
          <w:sz w:val="24"/>
          <w:szCs w:val="24"/>
        </w:rPr>
        <w:t>　　第三十七条</w:t>
      </w:r>
      <w:bookmarkEnd w:id="119"/>
      <w:r>
        <w:rPr>
          <w:rFonts w:hint="eastAsia" w:ascii="宋体" w:hAnsi="宋体" w:cs="宋体"/>
          <w:color w:val="000000"/>
          <w:kern w:val="0"/>
          <w:sz w:val="24"/>
          <w:szCs w:val="24"/>
        </w:rPr>
        <w:t>　本合同的附件为本合同不可分割的组成部分，与本合同具有同等法律效力。</w:t>
      </w:r>
    </w:p>
    <w:p>
      <w:pPr>
        <w:widowControl/>
        <w:wordWrap w:val="0"/>
        <w:spacing w:line="288" w:lineRule="auto"/>
        <w:jc w:val="left"/>
        <w:rPr>
          <w:rFonts w:ascii="宋体" w:hAnsi="宋体" w:cs="宋体"/>
          <w:color w:val="000000"/>
          <w:kern w:val="0"/>
          <w:sz w:val="24"/>
          <w:szCs w:val="24"/>
        </w:rPr>
      </w:pPr>
      <w:bookmarkStart w:id="120" w:name="41"/>
      <w:r>
        <w:rPr>
          <w:rFonts w:hint="eastAsia" w:ascii="宋体" w:hAnsi="宋体" w:cs="宋体"/>
          <w:b/>
          <w:bCs/>
          <w:smallCaps/>
          <w:color w:val="000000"/>
          <w:kern w:val="0"/>
          <w:sz w:val="24"/>
          <w:szCs w:val="24"/>
        </w:rPr>
        <w:t>　　第三十八条</w:t>
      </w:r>
      <w:bookmarkEnd w:id="120"/>
      <w:r>
        <w:rPr>
          <w:rFonts w:hint="eastAsia" w:ascii="宋体" w:hAnsi="宋体" w:cs="宋体"/>
          <w:color w:val="000000"/>
          <w:kern w:val="0"/>
          <w:sz w:val="24"/>
          <w:szCs w:val="24"/>
        </w:rPr>
        <w:t>　本合同未尽事宜，双方可另行以书面形式签订补充协议，补充协议与本合同存在冲突的，以本合同为准。</w:t>
      </w:r>
    </w:p>
    <w:p>
      <w:pPr>
        <w:widowControl/>
        <w:wordWrap w:val="0"/>
        <w:spacing w:line="288" w:lineRule="auto"/>
        <w:jc w:val="left"/>
        <w:rPr>
          <w:rFonts w:ascii="宋体" w:hAnsi="宋体" w:cs="宋体"/>
          <w:color w:val="000000"/>
          <w:kern w:val="0"/>
          <w:sz w:val="24"/>
          <w:szCs w:val="24"/>
        </w:rPr>
      </w:pPr>
      <w:bookmarkStart w:id="121" w:name="42"/>
      <w:r>
        <w:rPr>
          <w:rFonts w:hint="eastAsia" w:ascii="宋体" w:hAnsi="宋体" w:cs="宋体"/>
          <w:b/>
          <w:bCs/>
          <w:smallCaps/>
          <w:color w:val="000000"/>
          <w:kern w:val="0"/>
          <w:sz w:val="24"/>
          <w:szCs w:val="24"/>
        </w:rPr>
        <w:t>　　第三十九条</w:t>
      </w:r>
      <w:bookmarkEnd w:id="121"/>
      <w:r>
        <w:rPr>
          <w:rFonts w:hint="eastAsia" w:ascii="宋体" w:hAnsi="宋体" w:cs="宋体"/>
          <w:color w:val="000000"/>
          <w:kern w:val="0"/>
          <w:sz w:val="24"/>
          <w:szCs w:val="24"/>
        </w:rPr>
        <w:t>　本合同在履行中发生争议，由双方协商解决，协商不成，双方可以通过所在地的物业管理主管部门行政调解或者直接向人民法院提起诉讼。</w:t>
      </w:r>
    </w:p>
    <w:p>
      <w:pPr>
        <w:widowControl/>
        <w:wordWrap w:val="0"/>
        <w:spacing w:line="288" w:lineRule="auto"/>
        <w:ind w:firstLine="525"/>
        <w:jc w:val="left"/>
        <w:rPr>
          <w:rFonts w:ascii="宋体" w:hAnsi="宋体" w:cs="宋体"/>
          <w:color w:val="000000"/>
          <w:kern w:val="0"/>
          <w:sz w:val="24"/>
          <w:szCs w:val="24"/>
        </w:rPr>
      </w:pPr>
      <w:bookmarkStart w:id="122" w:name="43"/>
      <w:r>
        <w:rPr>
          <w:rFonts w:hint="eastAsia" w:ascii="宋体" w:hAnsi="宋体" w:cs="宋体"/>
          <w:b/>
          <w:bCs/>
          <w:smallCaps/>
          <w:color w:val="000000"/>
          <w:kern w:val="0"/>
          <w:sz w:val="24"/>
          <w:szCs w:val="24"/>
        </w:rPr>
        <w:t>第四十条</w:t>
      </w:r>
      <w:bookmarkEnd w:id="122"/>
      <w:r>
        <w:rPr>
          <w:rFonts w:hint="eastAsia" w:ascii="宋体" w:hAnsi="宋体" w:cs="宋体"/>
          <w:color w:val="000000"/>
          <w:kern w:val="0"/>
          <w:sz w:val="24"/>
          <w:szCs w:val="24"/>
        </w:rPr>
        <w:t>　本合同一式</w:t>
      </w:r>
      <w:r>
        <w:rPr>
          <w:rFonts w:hint="eastAsia" w:ascii="宋体" w:hAnsi="宋体" w:cs="宋体"/>
          <w:color w:val="000000"/>
          <w:kern w:val="0"/>
          <w:sz w:val="24"/>
          <w:szCs w:val="24"/>
          <w:u w:val="single"/>
        </w:rPr>
        <w:t>陆</w:t>
      </w:r>
      <w:r>
        <w:rPr>
          <w:rFonts w:hint="eastAsia" w:ascii="宋体" w:hAnsi="宋体" w:cs="宋体"/>
          <w:color w:val="000000"/>
          <w:kern w:val="0"/>
          <w:sz w:val="24"/>
          <w:szCs w:val="24"/>
        </w:rPr>
        <w:t>份，甲、乙双方各执</w:t>
      </w:r>
      <w:r>
        <w:rPr>
          <w:rFonts w:hint="eastAsia" w:ascii="宋体" w:hAnsi="宋体" w:cs="宋体"/>
          <w:color w:val="000000"/>
          <w:kern w:val="0"/>
          <w:sz w:val="24"/>
          <w:szCs w:val="24"/>
          <w:u w:val="single"/>
        </w:rPr>
        <w:t>叁</w:t>
      </w:r>
      <w:r>
        <w:rPr>
          <w:rFonts w:hint="eastAsia" w:ascii="宋体" w:hAnsi="宋体" w:cs="宋体"/>
          <w:color w:val="000000"/>
          <w:kern w:val="0"/>
          <w:sz w:val="24"/>
          <w:szCs w:val="24"/>
        </w:rPr>
        <w:t>份。报所在工商和物业管理部门备案。</w:t>
      </w:r>
      <w:r>
        <w:rPr>
          <w:rFonts w:hint="eastAsia" w:ascii="宋体" w:hAnsi="宋体" w:cs="宋体"/>
          <w:color w:val="000000"/>
          <w:kern w:val="0"/>
          <w:sz w:val="24"/>
          <w:szCs w:val="24"/>
        </w:rPr>
        <w:br w:type="textWrapping"/>
      </w:r>
    </w:p>
    <w:p>
      <w:pPr>
        <w:widowControl/>
        <w:wordWrap w:val="0"/>
        <w:spacing w:line="288" w:lineRule="auto"/>
        <w:ind w:firstLine="525"/>
        <w:jc w:val="left"/>
        <w:rPr>
          <w:rFonts w:ascii="宋体" w:hAnsi="宋体" w:cs="宋体"/>
          <w:color w:val="000000"/>
          <w:kern w:val="0"/>
          <w:sz w:val="24"/>
          <w:szCs w:val="24"/>
        </w:rPr>
      </w:pPr>
    </w:p>
    <w:p>
      <w:pPr>
        <w:widowControl/>
        <w:wordWrap w:val="0"/>
        <w:spacing w:line="288" w:lineRule="auto"/>
        <w:ind w:firstLine="525"/>
        <w:jc w:val="left"/>
        <w:rPr>
          <w:rFonts w:ascii="宋体" w:hAnsi="宋体" w:cs="宋体"/>
          <w:color w:val="000000"/>
          <w:kern w:val="0"/>
          <w:sz w:val="24"/>
          <w:szCs w:val="24"/>
        </w:rPr>
      </w:pPr>
      <w:r>
        <w:rPr>
          <w:rFonts w:hint="eastAsia" w:ascii="宋体" w:hAnsi="宋体" w:cs="宋体"/>
          <w:color w:val="000000"/>
          <w:kern w:val="0"/>
          <w:sz w:val="24"/>
          <w:szCs w:val="24"/>
        </w:rPr>
        <w:t>甲方（签章）　　        　  乙方（签章）</w:t>
      </w:r>
    </w:p>
    <w:p>
      <w:pPr>
        <w:widowControl/>
        <w:wordWrap w:val="0"/>
        <w:spacing w:line="288" w:lineRule="auto"/>
        <w:ind w:firstLine="525"/>
        <w:jc w:val="left"/>
        <w:rPr>
          <w:rFonts w:ascii="宋体" w:hAnsi="宋体" w:cs="宋体"/>
          <w:color w:val="000000"/>
          <w:kern w:val="0"/>
          <w:sz w:val="24"/>
          <w:szCs w:val="24"/>
        </w:rPr>
      </w:pPr>
    </w:p>
    <w:p>
      <w:pPr>
        <w:widowControl/>
        <w:wordWrap w:val="0"/>
        <w:spacing w:line="288" w:lineRule="auto"/>
        <w:ind w:firstLine="525"/>
        <w:jc w:val="left"/>
        <w:rPr>
          <w:rFonts w:ascii="宋体" w:hAnsi="宋体" w:cs="宋体"/>
          <w:color w:val="000000"/>
          <w:kern w:val="0"/>
          <w:sz w:val="24"/>
          <w:szCs w:val="24"/>
        </w:rPr>
      </w:pPr>
      <w:r>
        <w:rPr>
          <w:rFonts w:hint="eastAsia" w:ascii="宋体" w:hAnsi="宋体" w:cs="宋体"/>
          <w:color w:val="000000"/>
          <w:kern w:val="0"/>
          <w:sz w:val="24"/>
          <w:szCs w:val="24"/>
        </w:rPr>
        <w:t>法定代表人                  法定代表人</w:t>
      </w:r>
    </w:p>
    <w:p>
      <w:pPr>
        <w:widowControl/>
        <w:wordWrap w:val="0"/>
        <w:spacing w:line="288" w:lineRule="auto"/>
        <w:ind w:firstLine="3360" w:firstLineChars="1400"/>
        <w:jc w:val="left"/>
        <w:rPr>
          <w:rFonts w:ascii="宋体" w:hAnsi="宋体" w:cs="宋体"/>
          <w:color w:val="000000"/>
          <w:kern w:val="0"/>
          <w:sz w:val="24"/>
          <w:szCs w:val="24"/>
        </w:rPr>
      </w:pPr>
      <w:r>
        <w:rPr>
          <w:rFonts w:hint="eastAsia" w:ascii="宋体" w:hAnsi="宋体" w:cs="宋体"/>
          <w:color w:val="000000"/>
          <w:kern w:val="0"/>
          <w:sz w:val="24"/>
          <w:szCs w:val="24"/>
        </w:rPr>
        <w:t xml:space="preserve">　 </w:t>
      </w:r>
    </w:p>
    <w:p>
      <w:pPr>
        <w:widowControl/>
        <w:wordWrap w:val="0"/>
        <w:spacing w:line="288"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年    月    日            年    月    日</w:t>
      </w:r>
    </w:p>
    <w:p>
      <w:pPr>
        <w:widowControl/>
        <w:wordWrap w:val="0"/>
        <w:spacing w:line="288" w:lineRule="auto"/>
        <w:ind w:firstLine="480" w:firstLineChars="200"/>
        <w:jc w:val="left"/>
        <w:rPr>
          <w:rFonts w:ascii="宋体" w:hAnsi="宋体" w:cs="宋体"/>
          <w:color w:val="000000"/>
          <w:kern w:val="0"/>
          <w:sz w:val="24"/>
          <w:szCs w:val="24"/>
        </w:rPr>
      </w:pPr>
    </w:p>
    <w:p>
      <w:pPr>
        <w:widowControl/>
        <w:wordWrap w:val="0"/>
        <w:spacing w:line="288" w:lineRule="auto"/>
        <w:ind w:firstLine="480" w:firstLineChars="200"/>
        <w:jc w:val="left"/>
        <w:rPr>
          <w:rFonts w:hint="eastAsia" w:ascii="宋体" w:hAnsi="宋体" w:eastAsia="宋体" w:cs="宋体"/>
          <w:color w:val="000000"/>
          <w:kern w:val="0"/>
          <w:sz w:val="24"/>
          <w:szCs w:val="24"/>
          <w:highlight w:val="none"/>
          <w:lang w:eastAsia="zh-CN"/>
        </w:rPr>
      </w:pPr>
    </w:p>
    <w:p>
      <w:pPr>
        <w:widowControl/>
        <w:wordWrap w:val="0"/>
        <w:spacing w:line="288" w:lineRule="auto"/>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附件一：</w:t>
      </w:r>
    </w:p>
    <w:p>
      <w:pPr>
        <w:widowControl/>
        <w:wordWrap w:val="0"/>
        <w:spacing w:line="288" w:lineRule="auto"/>
        <w:ind w:firstLine="480" w:firstLineChars="200"/>
        <w:jc w:val="left"/>
        <w:rPr>
          <w:rFonts w:hint="eastAsia" w:ascii="宋体" w:hAnsi="宋体" w:eastAsia="宋体" w:cs="宋体"/>
          <w:color w:val="000000"/>
          <w:kern w:val="0"/>
          <w:sz w:val="24"/>
          <w:szCs w:val="24"/>
          <w:highlight w:val="none"/>
          <w:lang w:eastAsia="zh-CN"/>
        </w:rPr>
      </w:pPr>
    </w:p>
    <w:p>
      <w:pPr>
        <w:widowControl/>
        <w:wordWrap w:val="0"/>
        <w:spacing w:line="288" w:lineRule="auto"/>
        <w:ind w:firstLine="482" w:firstLineChars="200"/>
        <w:jc w:val="cente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物业构成明细</w:t>
      </w:r>
    </w:p>
    <w:p>
      <w:pPr>
        <w:widowControl/>
        <w:wordWrap w:val="0"/>
        <w:spacing w:line="288" w:lineRule="auto"/>
        <w:ind w:firstLine="482" w:firstLineChars="200"/>
        <w:jc w:val="center"/>
        <w:rPr>
          <w:rFonts w:hint="eastAsia" w:ascii="宋体" w:hAnsi="宋体" w:eastAsia="宋体" w:cs="宋体"/>
          <w:b/>
          <w:bCs/>
          <w:color w:val="000000"/>
          <w:kern w:val="0"/>
          <w:sz w:val="24"/>
          <w:szCs w:val="24"/>
          <w:highlight w:val="none"/>
          <w:lang w:val="en-US" w:eastAsia="zh-CN"/>
        </w:rPr>
      </w:pPr>
    </w:p>
    <w:tbl>
      <w:tblPr>
        <w:tblStyle w:val="37"/>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2"/>
        <w:gridCol w:w="1244"/>
        <w:gridCol w:w="2337"/>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noWrap w:val="0"/>
            <w:vAlign w:val="top"/>
          </w:tcPr>
          <w:p>
            <w:pPr>
              <w:widowControl/>
              <w:wordWrap w:val="0"/>
              <w:spacing w:line="288" w:lineRule="auto"/>
              <w:jc w:val="center"/>
              <w:rPr>
                <w:rFonts w:hint="eastAsia" w:ascii="宋体" w:hAnsi="宋体" w:eastAsia="宋体" w:cs="宋体"/>
                <w:b/>
                <w:bCs/>
                <w:color w:val="000000"/>
                <w:kern w:val="0"/>
                <w:sz w:val="24"/>
                <w:szCs w:val="24"/>
                <w:highlight w:val="none"/>
                <w:vertAlign w:val="baseline"/>
                <w:lang w:val="en-US" w:eastAsia="zh-CN"/>
              </w:rPr>
            </w:pPr>
            <w:r>
              <w:rPr>
                <w:rFonts w:hint="eastAsia" w:ascii="宋体" w:hAnsi="宋体" w:eastAsia="宋体" w:cs="宋体"/>
                <w:b/>
                <w:bCs/>
                <w:color w:val="000000"/>
                <w:kern w:val="0"/>
                <w:sz w:val="24"/>
                <w:szCs w:val="24"/>
                <w:highlight w:val="none"/>
                <w:vertAlign w:val="baseline"/>
                <w:lang w:val="en-US" w:eastAsia="zh-CN"/>
              </w:rPr>
              <w:t>类型</w:t>
            </w:r>
          </w:p>
        </w:tc>
        <w:tc>
          <w:tcPr>
            <w:tcW w:w="1260" w:type="dxa"/>
            <w:noWrap w:val="0"/>
            <w:vAlign w:val="top"/>
          </w:tcPr>
          <w:p>
            <w:pPr>
              <w:widowControl/>
              <w:wordWrap w:val="0"/>
              <w:spacing w:line="288" w:lineRule="auto"/>
              <w:jc w:val="center"/>
              <w:rPr>
                <w:rFonts w:hint="eastAsia" w:ascii="宋体" w:hAnsi="宋体" w:eastAsia="宋体" w:cs="宋体"/>
                <w:b/>
                <w:bCs/>
                <w:color w:val="000000"/>
                <w:kern w:val="0"/>
                <w:sz w:val="24"/>
                <w:szCs w:val="24"/>
                <w:highlight w:val="none"/>
                <w:vertAlign w:val="baseline"/>
                <w:lang w:val="en-US" w:eastAsia="zh-CN"/>
              </w:rPr>
            </w:pPr>
            <w:r>
              <w:rPr>
                <w:rFonts w:hint="eastAsia" w:ascii="宋体" w:hAnsi="宋体" w:eastAsia="宋体" w:cs="宋体"/>
                <w:b/>
                <w:bCs/>
                <w:color w:val="000000"/>
                <w:kern w:val="0"/>
                <w:sz w:val="24"/>
                <w:szCs w:val="24"/>
                <w:highlight w:val="none"/>
                <w:vertAlign w:val="baseline"/>
                <w:lang w:val="en-US" w:eastAsia="zh-CN"/>
              </w:rPr>
              <w:t>幢数</w:t>
            </w:r>
          </w:p>
        </w:tc>
        <w:tc>
          <w:tcPr>
            <w:tcW w:w="2370" w:type="dxa"/>
            <w:noWrap w:val="0"/>
            <w:vAlign w:val="top"/>
          </w:tcPr>
          <w:p>
            <w:pPr>
              <w:widowControl/>
              <w:wordWrap w:val="0"/>
              <w:spacing w:line="288" w:lineRule="auto"/>
              <w:jc w:val="center"/>
              <w:rPr>
                <w:rFonts w:hint="eastAsia" w:ascii="宋体" w:hAnsi="宋体" w:eastAsia="宋体" w:cs="宋体"/>
                <w:b/>
                <w:bCs/>
                <w:color w:val="000000"/>
                <w:kern w:val="0"/>
                <w:sz w:val="24"/>
                <w:szCs w:val="24"/>
                <w:highlight w:val="none"/>
                <w:vertAlign w:val="baseline"/>
                <w:lang w:val="en-US" w:eastAsia="zh-CN"/>
              </w:rPr>
            </w:pPr>
            <w:r>
              <w:rPr>
                <w:rFonts w:hint="eastAsia" w:ascii="宋体" w:hAnsi="宋体" w:eastAsia="宋体" w:cs="宋体"/>
                <w:b/>
                <w:bCs/>
                <w:color w:val="000000"/>
                <w:kern w:val="0"/>
                <w:sz w:val="24"/>
                <w:szCs w:val="24"/>
                <w:highlight w:val="none"/>
                <w:vertAlign w:val="baseline"/>
                <w:lang w:val="en-US" w:eastAsia="zh-CN"/>
              </w:rPr>
              <w:t>套（单元）数</w:t>
            </w:r>
          </w:p>
        </w:tc>
        <w:tc>
          <w:tcPr>
            <w:tcW w:w="2310" w:type="dxa"/>
            <w:noWrap w:val="0"/>
            <w:vAlign w:val="top"/>
          </w:tcPr>
          <w:p>
            <w:pPr>
              <w:widowControl/>
              <w:wordWrap w:val="0"/>
              <w:spacing w:line="288" w:lineRule="auto"/>
              <w:jc w:val="center"/>
              <w:rPr>
                <w:rFonts w:hint="eastAsia" w:ascii="宋体" w:hAnsi="宋体" w:eastAsia="宋体" w:cs="宋体"/>
                <w:b/>
                <w:bCs/>
                <w:color w:val="000000"/>
                <w:kern w:val="0"/>
                <w:sz w:val="24"/>
                <w:szCs w:val="24"/>
                <w:highlight w:val="none"/>
                <w:vertAlign w:val="baseline"/>
                <w:lang w:val="en-US" w:eastAsia="zh-CN"/>
              </w:rPr>
            </w:pPr>
            <w:r>
              <w:rPr>
                <w:rFonts w:hint="eastAsia" w:ascii="宋体" w:hAnsi="宋体" w:eastAsia="宋体" w:cs="宋体"/>
                <w:b/>
                <w:bCs/>
                <w:color w:val="000000"/>
                <w:kern w:val="0"/>
                <w:sz w:val="24"/>
                <w:szCs w:val="24"/>
                <w:highlight w:val="none"/>
                <w:vertAlign w:val="baseline"/>
                <w:lang w:val="en-US" w:eastAsia="zh-CN"/>
              </w:rPr>
              <w:t>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noWrap w:val="0"/>
            <w:vAlign w:val="top"/>
          </w:tcPr>
          <w:p>
            <w:pPr>
              <w:widowControl/>
              <w:wordWrap w:val="0"/>
              <w:spacing w:line="288" w:lineRule="auto"/>
              <w:jc w:val="center"/>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住宅</w:t>
            </w:r>
          </w:p>
        </w:tc>
        <w:tc>
          <w:tcPr>
            <w:tcW w:w="1260" w:type="dxa"/>
            <w:noWrap w:val="0"/>
            <w:vAlign w:val="top"/>
          </w:tcPr>
          <w:p>
            <w:pPr>
              <w:widowControl/>
              <w:wordWrap w:val="0"/>
              <w:spacing w:line="288" w:lineRule="auto"/>
              <w:jc w:val="center"/>
              <w:rPr>
                <w:rFonts w:hint="default" w:ascii="宋体" w:hAnsi="宋体" w:eastAsia="宋体" w:cs="宋体"/>
                <w:b w:val="0"/>
                <w:bCs w:val="0"/>
                <w:color w:val="000000"/>
                <w:kern w:val="0"/>
                <w:sz w:val="24"/>
                <w:szCs w:val="24"/>
                <w:highlight w:val="none"/>
                <w:vertAlign w:val="baseline"/>
                <w:lang w:val="en-US" w:eastAsia="zh-CN"/>
              </w:rPr>
            </w:pPr>
            <w:r>
              <w:rPr>
                <w:rFonts w:hint="eastAsia" w:ascii="宋体" w:hAnsi="宋体" w:cs="宋体"/>
                <w:b w:val="0"/>
                <w:bCs w:val="0"/>
                <w:color w:val="000000"/>
                <w:kern w:val="0"/>
                <w:sz w:val="24"/>
                <w:szCs w:val="24"/>
                <w:highlight w:val="none"/>
                <w:vertAlign w:val="baseline"/>
                <w:lang w:val="en-US" w:eastAsia="zh-CN"/>
              </w:rPr>
              <w:t>47</w:t>
            </w:r>
          </w:p>
        </w:tc>
        <w:tc>
          <w:tcPr>
            <w:tcW w:w="2370" w:type="dxa"/>
            <w:noWrap w:val="0"/>
            <w:vAlign w:val="top"/>
          </w:tcPr>
          <w:p>
            <w:pPr>
              <w:widowControl/>
              <w:wordWrap w:val="0"/>
              <w:spacing w:line="288" w:lineRule="auto"/>
              <w:jc w:val="center"/>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cs="宋体"/>
                <w:b w:val="0"/>
                <w:bCs w:val="0"/>
                <w:color w:val="000000"/>
                <w:kern w:val="0"/>
                <w:sz w:val="24"/>
                <w:szCs w:val="24"/>
                <w:highlight w:val="none"/>
                <w:vertAlign w:val="baseline"/>
                <w:lang w:val="en-US" w:eastAsia="zh-CN"/>
              </w:rPr>
              <w:t>1023</w:t>
            </w:r>
            <w:r>
              <w:rPr>
                <w:rFonts w:hint="eastAsia" w:ascii="宋体" w:hAnsi="宋体" w:eastAsia="宋体" w:cs="宋体"/>
                <w:b w:val="0"/>
                <w:bCs w:val="0"/>
                <w:color w:val="000000"/>
                <w:kern w:val="0"/>
                <w:sz w:val="24"/>
                <w:szCs w:val="24"/>
                <w:highlight w:val="none"/>
                <w:vertAlign w:val="baseline"/>
                <w:lang w:val="en-US" w:eastAsia="zh-CN"/>
              </w:rPr>
              <w:t>户</w:t>
            </w:r>
          </w:p>
        </w:tc>
        <w:tc>
          <w:tcPr>
            <w:tcW w:w="2310" w:type="dxa"/>
            <w:noWrap w:val="0"/>
            <w:vAlign w:val="top"/>
          </w:tcPr>
          <w:p>
            <w:pPr>
              <w:widowControl/>
              <w:wordWrap w:val="0"/>
              <w:spacing w:line="288" w:lineRule="auto"/>
              <w:jc w:val="center"/>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135821.66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noWrap w:val="0"/>
            <w:vAlign w:val="top"/>
          </w:tcPr>
          <w:p>
            <w:pPr>
              <w:widowControl/>
              <w:wordWrap w:val="0"/>
              <w:spacing w:line="288" w:lineRule="auto"/>
              <w:jc w:val="center"/>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商业</w:t>
            </w:r>
          </w:p>
        </w:tc>
        <w:tc>
          <w:tcPr>
            <w:tcW w:w="1260" w:type="dxa"/>
            <w:noWrap w:val="0"/>
            <w:vAlign w:val="top"/>
          </w:tcPr>
          <w:p>
            <w:pPr>
              <w:widowControl/>
              <w:wordWrap w:val="0"/>
              <w:spacing w:line="288" w:lineRule="auto"/>
              <w:jc w:val="center"/>
              <w:rPr>
                <w:rFonts w:hint="default"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1</w:t>
            </w:r>
            <w:r>
              <w:rPr>
                <w:rFonts w:hint="eastAsia" w:ascii="宋体" w:hAnsi="宋体" w:cs="宋体"/>
                <w:b w:val="0"/>
                <w:bCs w:val="0"/>
                <w:color w:val="000000"/>
                <w:kern w:val="0"/>
                <w:sz w:val="24"/>
                <w:szCs w:val="24"/>
                <w:highlight w:val="none"/>
                <w:vertAlign w:val="baseline"/>
                <w:lang w:val="en-US" w:eastAsia="zh-CN"/>
              </w:rPr>
              <w:t>5</w:t>
            </w:r>
          </w:p>
        </w:tc>
        <w:tc>
          <w:tcPr>
            <w:tcW w:w="2370" w:type="dxa"/>
            <w:noWrap w:val="0"/>
            <w:vAlign w:val="top"/>
          </w:tcPr>
          <w:p>
            <w:pPr>
              <w:widowControl/>
              <w:wordWrap w:val="0"/>
              <w:spacing w:line="288" w:lineRule="auto"/>
              <w:jc w:val="center"/>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w:t>
            </w:r>
          </w:p>
        </w:tc>
        <w:tc>
          <w:tcPr>
            <w:tcW w:w="2310" w:type="dxa"/>
            <w:noWrap w:val="0"/>
            <w:vAlign w:val="top"/>
          </w:tcPr>
          <w:p>
            <w:pPr>
              <w:widowControl/>
              <w:wordWrap w:val="0"/>
              <w:spacing w:line="288" w:lineRule="auto"/>
              <w:jc w:val="center"/>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4152.51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noWrap w:val="0"/>
            <w:vAlign w:val="top"/>
          </w:tcPr>
          <w:p>
            <w:pPr>
              <w:widowControl/>
              <w:wordWrap w:val="0"/>
              <w:spacing w:line="288" w:lineRule="auto"/>
              <w:jc w:val="center"/>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地下车库</w:t>
            </w:r>
          </w:p>
        </w:tc>
        <w:tc>
          <w:tcPr>
            <w:tcW w:w="1260" w:type="dxa"/>
            <w:noWrap w:val="0"/>
            <w:vAlign w:val="top"/>
          </w:tcPr>
          <w:p>
            <w:pPr>
              <w:widowControl/>
              <w:wordWrap w:val="0"/>
              <w:spacing w:line="288" w:lineRule="auto"/>
              <w:jc w:val="center"/>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w:t>
            </w:r>
          </w:p>
        </w:tc>
        <w:tc>
          <w:tcPr>
            <w:tcW w:w="2370" w:type="dxa"/>
            <w:noWrap w:val="0"/>
            <w:vAlign w:val="top"/>
          </w:tcPr>
          <w:p>
            <w:pPr>
              <w:widowControl/>
              <w:wordWrap w:val="0"/>
              <w:spacing w:line="288" w:lineRule="auto"/>
              <w:jc w:val="center"/>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w:t>
            </w:r>
          </w:p>
        </w:tc>
        <w:tc>
          <w:tcPr>
            <w:tcW w:w="2310" w:type="dxa"/>
            <w:noWrap w:val="0"/>
            <w:vAlign w:val="top"/>
          </w:tcPr>
          <w:p>
            <w:pPr>
              <w:widowControl/>
              <w:wordWrap w:val="0"/>
              <w:spacing w:line="288" w:lineRule="auto"/>
              <w:jc w:val="center"/>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19775.1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noWrap w:val="0"/>
            <w:vAlign w:val="top"/>
          </w:tcPr>
          <w:p>
            <w:pPr>
              <w:widowControl/>
              <w:wordWrap w:val="0"/>
              <w:spacing w:line="288" w:lineRule="auto"/>
              <w:jc w:val="center"/>
              <w:rPr>
                <w:rFonts w:hint="eastAsia" w:ascii="宋体" w:hAnsi="宋体" w:eastAsia="宋体" w:cs="宋体"/>
                <w:b w:val="0"/>
                <w:bCs w:val="0"/>
                <w:color w:val="000000"/>
                <w:kern w:val="0"/>
                <w:sz w:val="24"/>
                <w:szCs w:val="24"/>
                <w:highlight w:val="none"/>
                <w:vertAlign w:val="baseline"/>
                <w:lang w:val="en-US" w:eastAsia="zh-CN" w:bidi="ar-SA"/>
              </w:rPr>
            </w:pPr>
            <w:r>
              <w:rPr>
                <w:rFonts w:hint="eastAsia" w:ascii="宋体" w:hAnsi="宋体" w:eastAsia="宋体" w:cs="宋体"/>
                <w:b w:val="0"/>
                <w:bCs w:val="0"/>
                <w:color w:val="000000"/>
                <w:kern w:val="0"/>
                <w:sz w:val="24"/>
                <w:szCs w:val="24"/>
                <w:highlight w:val="none"/>
                <w:vertAlign w:val="baseline"/>
                <w:lang w:val="en-US" w:eastAsia="zh-CN"/>
              </w:rPr>
              <w:t>物业用房</w:t>
            </w:r>
          </w:p>
        </w:tc>
        <w:tc>
          <w:tcPr>
            <w:tcW w:w="1260" w:type="dxa"/>
            <w:noWrap w:val="0"/>
            <w:vAlign w:val="top"/>
          </w:tcPr>
          <w:p>
            <w:pPr>
              <w:widowControl/>
              <w:wordWrap w:val="0"/>
              <w:spacing w:line="288" w:lineRule="auto"/>
              <w:jc w:val="center"/>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w:t>
            </w:r>
          </w:p>
        </w:tc>
        <w:tc>
          <w:tcPr>
            <w:tcW w:w="2370" w:type="dxa"/>
            <w:noWrap w:val="0"/>
            <w:vAlign w:val="top"/>
          </w:tcPr>
          <w:p>
            <w:pPr>
              <w:widowControl/>
              <w:wordWrap w:val="0"/>
              <w:spacing w:line="288" w:lineRule="auto"/>
              <w:jc w:val="center"/>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w:t>
            </w:r>
          </w:p>
        </w:tc>
        <w:tc>
          <w:tcPr>
            <w:tcW w:w="2310" w:type="dxa"/>
            <w:noWrap w:val="0"/>
            <w:vAlign w:val="top"/>
          </w:tcPr>
          <w:p>
            <w:pPr>
              <w:widowControl/>
              <w:wordWrap w:val="0"/>
              <w:spacing w:line="288" w:lineRule="auto"/>
              <w:jc w:val="center"/>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332.6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noWrap w:val="0"/>
            <w:vAlign w:val="top"/>
          </w:tcPr>
          <w:p>
            <w:pPr>
              <w:widowControl/>
              <w:wordWrap w:val="0"/>
              <w:spacing w:line="288" w:lineRule="auto"/>
              <w:jc w:val="center"/>
              <w:rPr>
                <w:rFonts w:hint="eastAsia" w:ascii="宋体" w:hAnsi="宋体" w:eastAsia="宋体" w:cs="宋体"/>
                <w:b w:val="0"/>
                <w:bCs w:val="0"/>
                <w:color w:val="000000"/>
                <w:kern w:val="0"/>
                <w:sz w:val="24"/>
                <w:szCs w:val="24"/>
                <w:highlight w:val="none"/>
                <w:vertAlign w:val="baseline"/>
                <w:lang w:val="en-US" w:eastAsia="zh-CN" w:bidi="ar-SA"/>
              </w:rPr>
            </w:pPr>
            <w:r>
              <w:rPr>
                <w:rFonts w:hint="eastAsia" w:ascii="宋体" w:hAnsi="宋体" w:eastAsia="宋体" w:cs="宋体"/>
                <w:b w:val="0"/>
                <w:bCs w:val="0"/>
                <w:color w:val="000000"/>
                <w:kern w:val="0"/>
                <w:sz w:val="24"/>
                <w:szCs w:val="24"/>
                <w:highlight w:val="none"/>
                <w:vertAlign w:val="baseline"/>
                <w:lang w:val="en-US" w:eastAsia="zh-CN"/>
              </w:rPr>
              <w:t>社区管理用房</w:t>
            </w:r>
          </w:p>
        </w:tc>
        <w:tc>
          <w:tcPr>
            <w:tcW w:w="1260" w:type="dxa"/>
            <w:noWrap w:val="0"/>
            <w:vAlign w:val="top"/>
          </w:tcPr>
          <w:p>
            <w:pPr>
              <w:widowControl/>
              <w:wordWrap w:val="0"/>
              <w:spacing w:line="288" w:lineRule="auto"/>
              <w:jc w:val="center"/>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w:t>
            </w:r>
          </w:p>
        </w:tc>
        <w:tc>
          <w:tcPr>
            <w:tcW w:w="2370" w:type="dxa"/>
            <w:noWrap w:val="0"/>
            <w:vAlign w:val="top"/>
          </w:tcPr>
          <w:p>
            <w:pPr>
              <w:widowControl/>
              <w:wordWrap w:val="0"/>
              <w:spacing w:line="288" w:lineRule="auto"/>
              <w:jc w:val="center"/>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w:t>
            </w:r>
          </w:p>
        </w:tc>
        <w:tc>
          <w:tcPr>
            <w:tcW w:w="2310" w:type="dxa"/>
            <w:noWrap w:val="0"/>
            <w:vAlign w:val="top"/>
          </w:tcPr>
          <w:p>
            <w:pPr>
              <w:widowControl/>
              <w:wordWrap w:val="0"/>
              <w:spacing w:line="288" w:lineRule="auto"/>
              <w:jc w:val="center"/>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1702.1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noWrap w:val="0"/>
            <w:vAlign w:val="top"/>
          </w:tcPr>
          <w:p>
            <w:pPr>
              <w:widowControl/>
              <w:wordWrap w:val="0"/>
              <w:spacing w:line="288" w:lineRule="auto"/>
              <w:jc w:val="center"/>
              <w:rPr>
                <w:rFonts w:hint="eastAsia" w:ascii="宋体" w:hAnsi="宋体" w:eastAsia="宋体" w:cs="宋体"/>
                <w:b w:val="0"/>
                <w:bCs w:val="0"/>
                <w:color w:val="000000"/>
                <w:kern w:val="0"/>
                <w:sz w:val="24"/>
                <w:szCs w:val="24"/>
                <w:highlight w:val="none"/>
                <w:vertAlign w:val="baseline"/>
                <w:lang w:val="en-US" w:eastAsia="zh-CN" w:bidi="ar-SA"/>
              </w:rPr>
            </w:pPr>
            <w:r>
              <w:rPr>
                <w:rFonts w:hint="eastAsia" w:ascii="宋体" w:hAnsi="宋体" w:eastAsia="宋体" w:cs="宋体"/>
                <w:b w:val="0"/>
                <w:bCs w:val="0"/>
                <w:color w:val="000000"/>
                <w:kern w:val="0"/>
                <w:sz w:val="24"/>
                <w:szCs w:val="24"/>
                <w:highlight w:val="none"/>
                <w:vertAlign w:val="baseline"/>
                <w:lang w:val="en-US" w:eastAsia="zh-CN"/>
              </w:rPr>
              <w:t>其他共建配套用房</w:t>
            </w:r>
          </w:p>
        </w:tc>
        <w:tc>
          <w:tcPr>
            <w:tcW w:w="1260" w:type="dxa"/>
            <w:noWrap w:val="0"/>
            <w:vAlign w:val="top"/>
          </w:tcPr>
          <w:p>
            <w:pPr>
              <w:widowControl/>
              <w:wordWrap w:val="0"/>
              <w:spacing w:line="288" w:lineRule="auto"/>
              <w:jc w:val="center"/>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w:t>
            </w:r>
          </w:p>
        </w:tc>
        <w:tc>
          <w:tcPr>
            <w:tcW w:w="2370" w:type="dxa"/>
            <w:noWrap w:val="0"/>
            <w:vAlign w:val="top"/>
          </w:tcPr>
          <w:p>
            <w:pPr>
              <w:widowControl/>
              <w:wordWrap w:val="0"/>
              <w:spacing w:line="288" w:lineRule="auto"/>
              <w:jc w:val="center"/>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w:t>
            </w:r>
          </w:p>
        </w:tc>
        <w:tc>
          <w:tcPr>
            <w:tcW w:w="2310" w:type="dxa"/>
            <w:noWrap w:val="0"/>
            <w:vAlign w:val="top"/>
          </w:tcPr>
          <w:p>
            <w:pPr>
              <w:widowControl/>
              <w:wordWrap w:val="0"/>
              <w:spacing w:line="288" w:lineRule="auto"/>
              <w:jc w:val="center"/>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5315.38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noWrap w:val="0"/>
            <w:vAlign w:val="top"/>
          </w:tcPr>
          <w:p>
            <w:pPr>
              <w:widowControl/>
              <w:wordWrap w:val="0"/>
              <w:spacing w:line="288" w:lineRule="auto"/>
              <w:jc w:val="center"/>
              <w:rPr>
                <w:rFonts w:hint="eastAsia" w:ascii="宋体" w:hAnsi="宋体" w:eastAsia="宋体" w:cs="宋体"/>
                <w:b w:val="0"/>
                <w:bCs w:val="0"/>
                <w:color w:val="000000"/>
                <w:kern w:val="0"/>
                <w:sz w:val="24"/>
                <w:szCs w:val="24"/>
                <w:highlight w:val="none"/>
                <w:vertAlign w:val="baseline"/>
                <w:lang w:val="en-US" w:eastAsia="zh-CN"/>
              </w:rPr>
            </w:pPr>
          </w:p>
        </w:tc>
        <w:tc>
          <w:tcPr>
            <w:tcW w:w="1260" w:type="dxa"/>
            <w:noWrap w:val="0"/>
            <w:vAlign w:val="top"/>
          </w:tcPr>
          <w:p>
            <w:pPr>
              <w:widowControl/>
              <w:wordWrap w:val="0"/>
              <w:spacing w:line="288" w:lineRule="auto"/>
              <w:jc w:val="center"/>
              <w:rPr>
                <w:rFonts w:hint="eastAsia" w:ascii="宋体" w:hAnsi="宋体" w:eastAsia="宋体" w:cs="宋体"/>
                <w:b w:val="0"/>
                <w:bCs w:val="0"/>
                <w:color w:val="000000"/>
                <w:kern w:val="0"/>
                <w:sz w:val="24"/>
                <w:szCs w:val="24"/>
                <w:highlight w:val="none"/>
                <w:vertAlign w:val="baseline"/>
                <w:lang w:val="en-US" w:eastAsia="zh-CN"/>
              </w:rPr>
            </w:pPr>
          </w:p>
        </w:tc>
        <w:tc>
          <w:tcPr>
            <w:tcW w:w="2370" w:type="dxa"/>
            <w:noWrap w:val="0"/>
            <w:vAlign w:val="top"/>
          </w:tcPr>
          <w:p>
            <w:pPr>
              <w:widowControl/>
              <w:wordWrap w:val="0"/>
              <w:spacing w:line="288" w:lineRule="auto"/>
              <w:jc w:val="center"/>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cs="宋体"/>
                <w:b w:val="0"/>
                <w:bCs w:val="0"/>
                <w:color w:val="000000"/>
                <w:kern w:val="0"/>
                <w:sz w:val="24"/>
                <w:szCs w:val="24"/>
                <w:highlight w:val="none"/>
                <w:vertAlign w:val="baseline"/>
                <w:lang w:val="en-US" w:eastAsia="zh-CN"/>
              </w:rPr>
              <w:t>1023</w:t>
            </w:r>
            <w:r>
              <w:rPr>
                <w:rFonts w:hint="eastAsia" w:ascii="宋体" w:hAnsi="宋体" w:eastAsia="宋体" w:cs="宋体"/>
                <w:b w:val="0"/>
                <w:bCs w:val="0"/>
                <w:color w:val="000000"/>
                <w:kern w:val="0"/>
                <w:sz w:val="24"/>
                <w:szCs w:val="24"/>
                <w:highlight w:val="none"/>
                <w:vertAlign w:val="baseline"/>
                <w:lang w:val="en-US" w:eastAsia="zh-CN"/>
              </w:rPr>
              <w:t>户</w:t>
            </w:r>
          </w:p>
        </w:tc>
        <w:tc>
          <w:tcPr>
            <w:tcW w:w="2310" w:type="dxa"/>
            <w:noWrap w:val="0"/>
            <w:vAlign w:val="top"/>
          </w:tcPr>
          <w:p>
            <w:pPr>
              <w:widowControl/>
              <w:wordWrap w:val="0"/>
              <w:spacing w:line="288" w:lineRule="auto"/>
              <w:jc w:val="center"/>
              <w:rPr>
                <w:rFonts w:hint="eastAsia" w:ascii="宋体" w:hAnsi="宋体" w:eastAsia="宋体" w:cs="宋体"/>
                <w:b w:val="0"/>
                <w:bCs w:val="0"/>
                <w:color w:val="000000"/>
                <w:kern w:val="0"/>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vertAlign w:val="baseline"/>
                <w:lang w:val="en-US" w:eastAsia="zh-CN"/>
              </w:rPr>
              <w:t>167099.35</w:t>
            </w:r>
          </w:p>
        </w:tc>
      </w:tr>
    </w:tbl>
    <w:p>
      <w:pPr>
        <w:widowControl/>
        <w:wordWrap w:val="0"/>
        <w:spacing w:line="288" w:lineRule="auto"/>
        <w:ind w:firstLine="482" w:firstLineChars="200"/>
        <w:jc w:val="center"/>
        <w:rPr>
          <w:rFonts w:hint="eastAsia" w:ascii="宋体" w:hAnsi="宋体" w:eastAsia="宋体" w:cs="宋体"/>
          <w:b/>
          <w:bCs/>
          <w:color w:val="000000"/>
          <w:kern w:val="0"/>
          <w:sz w:val="24"/>
          <w:szCs w:val="24"/>
          <w:highlight w:val="none"/>
          <w:lang w:val="en-US" w:eastAsia="zh-CN"/>
        </w:rPr>
      </w:pPr>
    </w:p>
    <w:p>
      <w:pPr>
        <w:widowControl/>
        <w:wordWrap w:val="0"/>
        <w:spacing w:line="288" w:lineRule="auto"/>
        <w:ind w:firstLine="482" w:firstLineChars="200"/>
        <w:jc w:val="center"/>
        <w:rPr>
          <w:rFonts w:hint="eastAsia" w:ascii="宋体" w:hAnsi="宋体" w:eastAsia="宋体" w:cs="宋体"/>
          <w:b/>
          <w:bCs/>
          <w:color w:val="000000"/>
          <w:kern w:val="0"/>
          <w:sz w:val="24"/>
          <w:szCs w:val="24"/>
          <w:highlight w:val="none"/>
          <w:lang w:val="en-US" w:eastAsia="zh-CN"/>
        </w:rPr>
      </w:pPr>
    </w:p>
    <w:p>
      <w:pPr>
        <w:widowControl/>
        <w:wordWrap w:val="0"/>
        <w:spacing w:line="288" w:lineRule="auto"/>
        <w:ind w:firstLine="482" w:firstLineChars="200"/>
        <w:jc w:val="center"/>
        <w:rPr>
          <w:rFonts w:hint="eastAsia" w:ascii="宋体" w:hAnsi="宋体" w:eastAsia="宋体" w:cs="宋体"/>
          <w:b/>
          <w:bCs/>
          <w:color w:val="000000"/>
          <w:kern w:val="0"/>
          <w:sz w:val="24"/>
          <w:szCs w:val="24"/>
          <w:highlight w:val="none"/>
          <w:lang w:val="en-US" w:eastAsia="zh-CN"/>
        </w:rPr>
      </w:pPr>
    </w:p>
    <w:p>
      <w:pPr>
        <w:widowControl/>
        <w:wordWrap w:val="0"/>
        <w:spacing w:line="288" w:lineRule="auto"/>
        <w:jc w:val="left"/>
        <w:rPr>
          <w:rFonts w:hint="eastAsia" w:ascii="宋体" w:hAnsi="宋体" w:eastAsia="宋体" w:cs="宋体"/>
          <w:color w:val="000000"/>
          <w:kern w:val="0"/>
          <w:sz w:val="24"/>
          <w:szCs w:val="24"/>
          <w:highlight w:val="none"/>
        </w:rPr>
      </w:pPr>
    </w:p>
    <w:p>
      <w:pPr>
        <w:widowControl/>
        <w:wordWrap w:val="0"/>
        <w:spacing w:line="288" w:lineRule="auto"/>
        <w:ind w:firstLine="480" w:firstLineChars="200"/>
        <w:jc w:val="left"/>
        <w:rPr>
          <w:rFonts w:hint="eastAsia" w:ascii="宋体" w:hAnsi="宋体" w:eastAsia="宋体" w:cs="宋体"/>
          <w:color w:val="000000"/>
          <w:kern w:val="0"/>
          <w:sz w:val="24"/>
          <w:szCs w:val="24"/>
          <w:highlight w:val="none"/>
        </w:rPr>
      </w:pPr>
    </w:p>
    <w:p>
      <w:pPr>
        <w:widowControl/>
        <w:wordWrap w:val="0"/>
        <w:spacing w:line="288"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附件</w:t>
      </w:r>
      <w:r>
        <w:rPr>
          <w:rFonts w:hint="eastAsia" w:ascii="宋体" w:hAnsi="宋体" w:eastAsia="宋体" w:cs="宋体"/>
          <w:color w:val="000000"/>
          <w:kern w:val="0"/>
          <w:sz w:val="24"/>
          <w:szCs w:val="24"/>
          <w:highlight w:val="none"/>
          <w:lang w:eastAsia="zh-CN"/>
        </w:rPr>
        <w:t>二</w:t>
      </w:r>
      <w:r>
        <w:rPr>
          <w:rFonts w:hint="eastAsia" w:ascii="宋体" w:hAnsi="宋体" w:eastAsia="宋体" w:cs="宋体"/>
          <w:color w:val="000000"/>
          <w:kern w:val="0"/>
          <w:sz w:val="24"/>
          <w:szCs w:val="24"/>
          <w:highlight w:val="none"/>
        </w:rPr>
        <w:t>： 物业共用部位明细</w:t>
      </w:r>
    </w:p>
    <w:p>
      <w:pPr>
        <w:widowControl/>
        <w:wordWrap w:val="0"/>
        <w:spacing w:line="288" w:lineRule="auto"/>
        <w:ind w:firstLine="480" w:firstLineChars="200"/>
        <w:jc w:val="left"/>
        <w:rPr>
          <w:rFonts w:hint="eastAsia" w:ascii="宋体" w:hAnsi="宋体" w:eastAsia="宋体" w:cs="宋体"/>
          <w:color w:val="000000"/>
          <w:kern w:val="0"/>
          <w:sz w:val="24"/>
          <w:szCs w:val="24"/>
          <w:highlight w:val="none"/>
        </w:rPr>
      </w:pPr>
    </w:p>
    <w:p>
      <w:pPr>
        <w:widowControl/>
        <w:numPr>
          <w:ilvl w:val="0"/>
          <w:numId w:val="3"/>
        </w:numPr>
        <w:wordWrap w:val="0"/>
        <w:spacing w:line="288"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房屋承重结构；</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2、房屋主体结构；</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3、公共门厅；</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4、公共走廊；</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5、公共楼梯间；</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6、内天井；</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7、户外墙面；</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8、屋面；</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9、传达室；</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10、＿＿＿</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11、＿＿＿＿</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w:t>
      </w:r>
    </w:p>
    <w:p>
      <w:pPr>
        <w:widowControl/>
        <w:numPr>
          <w:ilvl w:val="0"/>
          <w:numId w:val="0"/>
        </w:numPr>
        <w:wordWrap w:val="0"/>
        <w:spacing w:line="288" w:lineRule="auto"/>
        <w:jc w:val="left"/>
        <w:rPr>
          <w:rFonts w:hint="eastAsia" w:ascii="宋体" w:hAnsi="宋体" w:eastAsia="宋体" w:cs="宋体"/>
          <w:color w:val="000000"/>
          <w:kern w:val="0"/>
          <w:sz w:val="24"/>
          <w:szCs w:val="24"/>
          <w:highlight w:val="none"/>
        </w:rPr>
      </w:pPr>
    </w:p>
    <w:p>
      <w:pPr>
        <w:widowControl/>
        <w:numPr>
          <w:ilvl w:val="0"/>
          <w:numId w:val="0"/>
        </w:numPr>
        <w:wordWrap w:val="0"/>
        <w:spacing w:line="288" w:lineRule="auto"/>
        <w:jc w:val="left"/>
        <w:rPr>
          <w:rFonts w:hint="eastAsia" w:ascii="宋体" w:hAnsi="宋体" w:eastAsia="宋体" w:cs="宋体"/>
          <w:color w:val="000000"/>
          <w:kern w:val="0"/>
          <w:sz w:val="24"/>
          <w:szCs w:val="24"/>
          <w:highlight w:val="none"/>
        </w:rPr>
      </w:pPr>
    </w:p>
    <w:p>
      <w:pPr>
        <w:widowControl/>
        <w:numPr>
          <w:ilvl w:val="0"/>
          <w:numId w:val="0"/>
        </w:numPr>
        <w:wordWrap w:val="0"/>
        <w:spacing w:line="288" w:lineRule="auto"/>
        <w:jc w:val="left"/>
        <w:rPr>
          <w:rFonts w:hint="eastAsia" w:ascii="宋体" w:hAnsi="宋体" w:eastAsia="宋体" w:cs="宋体"/>
          <w:color w:val="000000"/>
          <w:kern w:val="0"/>
          <w:sz w:val="24"/>
          <w:szCs w:val="24"/>
          <w:highlight w:val="none"/>
        </w:rPr>
      </w:pPr>
    </w:p>
    <w:p>
      <w:pPr>
        <w:widowControl/>
        <w:numPr>
          <w:ilvl w:val="0"/>
          <w:numId w:val="0"/>
        </w:numPr>
        <w:wordWrap w:val="0"/>
        <w:spacing w:line="288" w:lineRule="auto"/>
        <w:jc w:val="left"/>
        <w:rPr>
          <w:rFonts w:hint="eastAsia" w:ascii="宋体" w:hAnsi="宋体" w:eastAsia="宋体" w:cs="宋体"/>
          <w:color w:val="000000"/>
          <w:kern w:val="0"/>
          <w:sz w:val="24"/>
          <w:szCs w:val="24"/>
          <w:highlight w:val="none"/>
        </w:rPr>
      </w:pPr>
    </w:p>
    <w:p>
      <w:pPr>
        <w:widowControl/>
        <w:numPr>
          <w:ilvl w:val="0"/>
          <w:numId w:val="0"/>
        </w:numPr>
        <w:wordWrap w:val="0"/>
        <w:spacing w:line="288" w:lineRule="auto"/>
        <w:jc w:val="left"/>
        <w:rPr>
          <w:rFonts w:hint="eastAsia" w:ascii="宋体" w:hAnsi="宋体" w:eastAsia="宋体" w:cs="宋体"/>
          <w:color w:val="000000"/>
          <w:kern w:val="0"/>
          <w:sz w:val="24"/>
          <w:szCs w:val="24"/>
          <w:highlight w:val="none"/>
        </w:rPr>
      </w:pPr>
    </w:p>
    <w:p>
      <w:pPr>
        <w:widowControl/>
        <w:numPr>
          <w:ilvl w:val="0"/>
          <w:numId w:val="0"/>
        </w:numPr>
        <w:wordWrap w:val="0"/>
        <w:spacing w:line="288" w:lineRule="auto"/>
        <w:jc w:val="left"/>
        <w:rPr>
          <w:rFonts w:hint="eastAsia" w:ascii="宋体" w:hAnsi="宋体" w:eastAsia="宋体" w:cs="宋体"/>
          <w:color w:val="000000"/>
          <w:kern w:val="0"/>
          <w:sz w:val="24"/>
          <w:szCs w:val="24"/>
          <w:highlight w:val="none"/>
        </w:rPr>
      </w:pPr>
    </w:p>
    <w:p>
      <w:pPr>
        <w:widowControl/>
        <w:numPr>
          <w:ilvl w:val="0"/>
          <w:numId w:val="0"/>
        </w:numPr>
        <w:wordWrap w:val="0"/>
        <w:spacing w:line="288" w:lineRule="auto"/>
        <w:jc w:val="left"/>
        <w:rPr>
          <w:rFonts w:hint="eastAsia" w:ascii="宋体" w:hAnsi="宋体" w:eastAsia="宋体" w:cs="宋体"/>
          <w:color w:val="000000"/>
          <w:kern w:val="0"/>
          <w:sz w:val="24"/>
          <w:szCs w:val="24"/>
          <w:highlight w:val="none"/>
        </w:rPr>
      </w:pPr>
    </w:p>
    <w:p>
      <w:pPr>
        <w:widowControl/>
        <w:numPr>
          <w:ilvl w:val="0"/>
          <w:numId w:val="0"/>
        </w:numPr>
        <w:wordWrap w:val="0"/>
        <w:spacing w:line="288" w:lineRule="auto"/>
        <w:jc w:val="left"/>
        <w:rPr>
          <w:rFonts w:hint="eastAsia" w:ascii="宋体" w:hAnsi="宋体" w:eastAsia="宋体" w:cs="宋体"/>
          <w:color w:val="000000"/>
          <w:kern w:val="0"/>
          <w:sz w:val="24"/>
          <w:szCs w:val="24"/>
          <w:highlight w:val="none"/>
        </w:rPr>
      </w:pPr>
    </w:p>
    <w:p>
      <w:pPr>
        <w:widowControl/>
        <w:numPr>
          <w:ilvl w:val="0"/>
          <w:numId w:val="0"/>
        </w:numPr>
        <w:wordWrap w:val="0"/>
        <w:spacing w:line="288" w:lineRule="auto"/>
        <w:jc w:val="left"/>
        <w:rPr>
          <w:rFonts w:hint="eastAsia" w:ascii="宋体" w:hAnsi="宋体" w:eastAsia="宋体" w:cs="宋体"/>
          <w:color w:val="000000"/>
          <w:kern w:val="0"/>
          <w:sz w:val="24"/>
          <w:szCs w:val="24"/>
          <w:highlight w:val="none"/>
        </w:rPr>
      </w:pPr>
    </w:p>
    <w:p>
      <w:pPr>
        <w:widowControl/>
        <w:numPr>
          <w:ilvl w:val="0"/>
          <w:numId w:val="0"/>
        </w:numPr>
        <w:wordWrap w:val="0"/>
        <w:spacing w:line="288" w:lineRule="auto"/>
        <w:jc w:val="left"/>
        <w:rPr>
          <w:rFonts w:hint="eastAsia" w:ascii="宋体" w:hAnsi="宋体" w:eastAsia="宋体" w:cs="宋体"/>
          <w:color w:val="000000"/>
          <w:kern w:val="0"/>
          <w:sz w:val="24"/>
          <w:szCs w:val="24"/>
          <w:highlight w:val="none"/>
        </w:rPr>
      </w:pPr>
    </w:p>
    <w:p>
      <w:pPr>
        <w:widowControl/>
        <w:numPr>
          <w:ilvl w:val="0"/>
          <w:numId w:val="0"/>
        </w:numPr>
        <w:wordWrap w:val="0"/>
        <w:spacing w:line="288"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附件三：物业共用设施设备明细</w:t>
      </w:r>
    </w:p>
    <w:p>
      <w:pPr>
        <w:widowControl/>
        <w:numPr>
          <w:ilvl w:val="0"/>
          <w:numId w:val="4"/>
        </w:numPr>
        <w:wordWrap w:val="0"/>
        <w:spacing w:line="288"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000000"/>
          <w:kern w:val="0"/>
          <w:sz w:val="24"/>
          <w:szCs w:val="24"/>
          <w:highlight w:val="none"/>
        </w:rPr>
        <w:t>绿</w:t>
      </w:r>
      <w:r>
        <w:rPr>
          <w:rFonts w:hint="eastAsia" w:ascii="宋体" w:hAnsi="宋体" w:eastAsia="宋体" w:cs="宋体"/>
          <w:color w:val="auto"/>
          <w:kern w:val="0"/>
          <w:sz w:val="24"/>
          <w:szCs w:val="24"/>
          <w:highlight w:val="none"/>
        </w:rPr>
        <w:t>地</w:t>
      </w:r>
      <w:r>
        <w:rPr>
          <w:rFonts w:hint="eastAsia" w:ascii="宋体" w:hAnsi="宋体" w:eastAsia="宋体" w:cs="宋体"/>
          <w:color w:val="auto"/>
          <w:kern w:val="0"/>
          <w:sz w:val="24"/>
          <w:szCs w:val="24"/>
          <w:highlight w:val="none"/>
          <w:u w:val="none"/>
          <w:lang w:val="en-US" w:eastAsia="zh-CN"/>
        </w:rPr>
        <w:t>约</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rPr>
        <w:t>平方米；</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2、道路</w:t>
      </w:r>
      <w:r>
        <w:rPr>
          <w:rFonts w:hint="eastAsia" w:ascii="宋体" w:hAnsi="宋体" w:eastAsia="宋体" w:cs="宋体"/>
          <w:color w:val="000000"/>
          <w:kern w:val="0"/>
          <w:sz w:val="24"/>
          <w:szCs w:val="24"/>
          <w:highlight w:val="none"/>
          <w:u w:val="single"/>
          <w:lang w:val="en-US" w:eastAsia="zh-CN"/>
        </w:rPr>
        <w:t xml:space="preserve">   /  </w:t>
      </w:r>
      <w:r>
        <w:rPr>
          <w:rFonts w:hint="eastAsia" w:ascii="宋体" w:hAnsi="宋体" w:eastAsia="宋体" w:cs="宋体"/>
          <w:color w:val="000000"/>
          <w:kern w:val="0"/>
          <w:sz w:val="24"/>
          <w:szCs w:val="24"/>
          <w:highlight w:val="none"/>
        </w:rPr>
        <w:t>平方米；</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3、化粪池</w:t>
      </w:r>
      <w:r>
        <w:rPr>
          <w:rFonts w:hint="eastAsia" w:ascii="宋体" w:hAnsi="宋体" w:eastAsia="宋体" w:cs="宋体"/>
          <w:color w:val="000000"/>
          <w:kern w:val="0"/>
          <w:sz w:val="24"/>
          <w:szCs w:val="24"/>
          <w:highlight w:val="none"/>
          <w:u w:val="single"/>
          <w:lang w:val="en-US" w:eastAsia="zh-CN"/>
        </w:rPr>
        <w:t xml:space="preserve">     多     </w:t>
      </w:r>
      <w:r>
        <w:rPr>
          <w:rFonts w:hint="eastAsia" w:ascii="宋体" w:hAnsi="宋体" w:eastAsia="宋体" w:cs="宋体"/>
          <w:color w:val="000000"/>
          <w:kern w:val="0"/>
          <w:sz w:val="24"/>
          <w:szCs w:val="24"/>
          <w:highlight w:val="none"/>
        </w:rPr>
        <w:t>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4、污水井</w:t>
      </w:r>
      <w:r>
        <w:rPr>
          <w:rFonts w:hint="eastAsia" w:ascii="宋体" w:hAnsi="宋体" w:eastAsia="宋体" w:cs="宋体"/>
          <w:color w:val="000000"/>
          <w:kern w:val="0"/>
          <w:sz w:val="24"/>
          <w:szCs w:val="24"/>
          <w:highlight w:val="none"/>
          <w:u w:val="single"/>
          <w:lang w:val="en-US" w:eastAsia="zh-CN"/>
        </w:rPr>
        <w:t xml:space="preserve">      多    </w:t>
      </w:r>
      <w:r>
        <w:rPr>
          <w:rFonts w:hint="eastAsia" w:ascii="宋体" w:hAnsi="宋体" w:eastAsia="宋体" w:cs="宋体"/>
          <w:color w:val="000000"/>
          <w:kern w:val="0"/>
          <w:sz w:val="24"/>
          <w:szCs w:val="24"/>
          <w:highlight w:val="none"/>
        </w:rPr>
        <w:t>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5、雨水井</w:t>
      </w:r>
      <w:r>
        <w:rPr>
          <w:rFonts w:hint="eastAsia" w:ascii="宋体" w:hAnsi="宋体" w:eastAsia="宋体" w:cs="宋体"/>
          <w:color w:val="000000"/>
          <w:kern w:val="0"/>
          <w:sz w:val="24"/>
          <w:szCs w:val="24"/>
          <w:highlight w:val="none"/>
          <w:u w:val="single"/>
          <w:lang w:val="en-US" w:eastAsia="zh-CN"/>
        </w:rPr>
        <w:t xml:space="preserve">      多     </w:t>
      </w:r>
      <w:r>
        <w:rPr>
          <w:rFonts w:hint="eastAsia" w:ascii="宋体" w:hAnsi="宋体" w:eastAsia="宋体" w:cs="宋体"/>
          <w:color w:val="000000"/>
          <w:kern w:val="0"/>
          <w:sz w:val="24"/>
          <w:szCs w:val="24"/>
          <w:highlight w:val="none"/>
        </w:rPr>
        <w:t>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6、垃圾中转站</w:t>
      </w:r>
      <w:r>
        <w:rPr>
          <w:rFonts w:hint="eastAsia" w:ascii="宋体" w:hAnsi="宋体" w:eastAsia="宋体" w:cs="宋体"/>
          <w:color w:val="000000"/>
          <w:kern w:val="0"/>
          <w:sz w:val="24"/>
          <w:szCs w:val="24"/>
          <w:highlight w:val="none"/>
          <w:u w:val="single"/>
          <w:lang w:val="en-US" w:eastAsia="zh-CN"/>
        </w:rPr>
        <w:t xml:space="preserve">    /     </w:t>
      </w:r>
      <w:r>
        <w:rPr>
          <w:rFonts w:hint="eastAsia" w:ascii="宋体" w:hAnsi="宋体" w:eastAsia="宋体" w:cs="宋体"/>
          <w:color w:val="000000"/>
          <w:kern w:val="0"/>
          <w:sz w:val="24"/>
          <w:szCs w:val="24"/>
          <w:highlight w:val="none"/>
        </w:rPr>
        <w:t>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7、水泵</w:t>
      </w:r>
      <w:r>
        <w:rPr>
          <w:rFonts w:hint="eastAsia" w:ascii="宋体" w:hAnsi="宋体" w:eastAsia="宋体" w:cs="宋体"/>
          <w:color w:val="000000"/>
          <w:kern w:val="0"/>
          <w:sz w:val="24"/>
          <w:szCs w:val="24"/>
          <w:highlight w:val="none"/>
          <w:u w:val="single"/>
          <w:lang w:val="en-US" w:eastAsia="zh-CN"/>
        </w:rPr>
        <w:t xml:space="preserve">    /   </w:t>
      </w:r>
      <w:r>
        <w:rPr>
          <w:rFonts w:hint="eastAsia" w:ascii="宋体" w:hAnsi="宋体" w:eastAsia="宋体" w:cs="宋体"/>
          <w:color w:val="000000"/>
          <w:kern w:val="0"/>
          <w:sz w:val="24"/>
          <w:szCs w:val="24"/>
          <w:highlight w:val="none"/>
        </w:rPr>
        <w:t>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8、水箱</w:t>
      </w:r>
      <w:r>
        <w:rPr>
          <w:rFonts w:hint="eastAsia" w:ascii="宋体" w:hAnsi="宋体" w:eastAsia="宋体" w:cs="宋体"/>
          <w:color w:val="000000"/>
          <w:kern w:val="0"/>
          <w:sz w:val="24"/>
          <w:szCs w:val="24"/>
          <w:highlight w:val="none"/>
          <w:u w:val="single"/>
          <w:lang w:val="en-US" w:eastAsia="zh-CN"/>
        </w:rPr>
        <w:t xml:space="preserve">     /    </w:t>
      </w:r>
      <w:r>
        <w:rPr>
          <w:rFonts w:hint="eastAsia" w:ascii="宋体" w:hAnsi="宋体" w:eastAsia="宋体" w:cs="宋体"/>
          <w:color w:val="000000"/>
          <w:kern w:val="0"/>
          <w:sz w:val="24"/>
          <w:szCs w:val="24"/>
          <w:highlight w:val="none"/>
        </w:rPr>
        <w:t>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9、电梯</w:t>
      </w:r>
      <w:r>
        <w:rPr>
          <w:rFonts w:hint="eastAsia" w:ascii="宋体" w:hAnsi="宋体" w:eastAsia="宋体" w:cs="宋体"/>
          <w:color w:val="000000"/>
          <w:kern w:val="0"/>
          <w:sz w:val="24"/>
          <w:szCs w:val="24"/>
          <w:highlight w:val="none"/>
          <w:u w:val="single"/>
          <w:lang w:val="en-US" w:eastAsia="zh-CN"/>
        </w:rPr>
        <w:t xml:space="preserve">   /   </w:t>
      </w:r>
      <w:r>
        <w:rPr>
          <w:rFonts w:hint="eastAsia" w:ascii="宋体" w:hAnsi="宋体" w:eastAsia="宋体" w:cs="宋体"/>
          <w:color w:val="000000"/>
          <w:kern w:val="0"/>
          <w:sz w:val="24"/>
          <w:szCs w:val="24"/>
          <w:highlight w:val="none"/>
        </w:rPr>
        <w:t>部；</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10、信报箱</w:t>
      </w:r>
      <w:r>
        <w:rPr>
          <w:rFonts w:hint="eastAsia" w:ascii="宋体" w:hAnsi="宋体" w:eastAsia="宋体" w:cs="宋体"/>
          <w:color w:val="000000"/>
          <w:kern w:val="0"/>
          <w:sz w:val="24"/>
          <w:szCs w:val="24"/>
          <w:highlight w:val="none"/>
          <w:u w:val="single"/>
          <w:lang w:val="en-US" w:eastAsia="zh-CN"/>
        </w:rPr>
        <w:t xml:space="preserve">  / </w:t>
      </w:r>
      <w:r>
        <w:rPr>
          <w:rFonts w:hint="eastAsia" w:ascii="宋体" w:hAnsi="宋体" w:eastAsia="宋体" w:cs="宋体"/>
          <w:color w:val="000000"/>
          <w:kern w:val="0"/>
          <w:sz w:val="24"/>
          <w:szCs w:val="24"/>
          <w:highlight w:val="none"/>
        </w:rPr>
        <w:t>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11、消防设施</w:t>
      </w:r>
      <w:r>
        <w:rPr>
          <w:rFonts w:hint="eastAsia" w:ascii="宋体" w:hAnsi="宋体" w:eastAsia="宋体" w:cs="宋体"/>
          <w:color w:val="000000"/>
          <w:kern w:val="0"/>
          <w:sz w:val="24"/>
          <w:szCs w:val="24"/>
          <w:highlight w:val="none"/>
          <w:u w:val="single"/>
          <w:lang w:val="en-US" w:eastAsia="zh-CN"/>
        </w:rPr>
        <w:t xml:space="preserve">    有    </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12、公共照明设施</w:t>
      </w:r>
      <w:r>
        <w:rPr>
          <w:rFonts w:hint="eastAsia" w:ascii="宋体" w:hAnsi="宋体" w:eastAsia="宋体" w:cs="宋体"/>
          <w:color w:val="000000"/>
          <w:kern w:val="0"/>
          <w:sz w:val="24"/>
          <w:szCs w:val="24"/>
          <w:highlight w:val="none"/>
          <w:u w:val="single"/>
          <w:lang w:val="en-US" w:eastAsia="zh-CN"/>
        </w:rPr>
        <w:t xml:space="preserve">   有   </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13、监控设施</w:t>
      </w:r>
      <w:r>
        <w:rPr>
          <w:rFonts w:hint="eastAsia" w:ascii="宋体" w:hAnsi="宋体" w:eastAsia="宋体" w:cs="宋体"/>
          <w:color w:val="000000"/>
          <w:kern w:val="0"/>
          <w:sz w:val="24"/>
          <w:szCs w:val="24"/>
          <w:highlight w:val="none"/>
          <w:u w:val="single"/>
          <w:lang w:val="en-US" w:eastAsia="zh-CN"/>
        </w:rPr>
        <w:t xml:space="preserve">  有  </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14、避雷设施</w:t>
      </w:r>
      <w:r>
        <w:rPr>
          <w:rFonts w:hint="eastAsia" w:ascii="宋体" w:hAnsi="宋体" w:eastAsia="宋体" w:cs="宋体"/>
          <w:color w:val="000000"/>
          <w:kern w:val="0"/>
          <w:sz w:val="24"/>
          <w:szCs w:val="24"/>
          <w:highlight w:val="none"/>
          <w:u w:val="single"/>
          <w:lang w:val="en-US" w:eastAsia="zh-CN"/>
        </w:rPr>
        <w:t xml:space="preserve">  有 </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1</w:t>
      </w:r>
      <w:r>
        <w:rPr>
          <w:rFonts w:hint="eastAsia" w:ascii="宋体" w:hAnsi="宋体" w:eastAsia="宋体" w:cs="宋体"/>
          <w:color w:val="auto"/>
          <w:kern w:val="0"/>
          <w:sz w:val="24"/>
          <w:szCs w:val="24"/>
          <w:highlight w:val="none"/>
        </w:rPr>
        <w:t>5、共用天线</w:t>
      </w:r>
      <w:r>
        <w:rPr>
          <w:rFonts w:hint="eastAsia" w:ascii="宋体" w:hAnsi="宋体" w:eastAsia="宋体" w:cs="宋体"/>
          <w:color w:val="auto"/>
          <w:kern w:val="0"/>
          <w:sz w:val="24"/>
          <w:szCs w:val="24"/>
          <w:highlight w:val="none"/>
          <w:u w:val="single"/>
          <w:lang w:val="en-US" w:eastAsia="zh-CN"/>
        </w:rPr>
        <w:t xml:space="preserve">  /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16、机动车</w:t>
      </w:r>
      <w:r>
        <w:rPr>
          <w:rFonts w:hint="eastAsia" w:ascii="宋体" w:hAnsi="宋体" w:eastAsia="宋体" w:cs="宋体"/>
          <w:color w:val="auto"/>
          <w:kern w:val="0"/>
          <w:sz w:val="24"/>
          <w:szCs w:val="24"/>
          <w:highlight w:val="none"/>
          <w:lang w:eastAsia="zh-CN"/>
        </w:rPr>
        <w:t>位</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个</w:t>
      </w:r>
      <w:r>
        <w:rPr>
          <w:rFonts w:hint="eastAsia" w:ascii="宋体" w:hAnsi="宋体" w:eastAsia="宋体" w:cs="宋体"/>
          <w:color w:val="auto"/>
          <w:kern w:val="0"/>
          <w:sz w:val="24"/>
          <w:szCs w:val="24"/>
          <w:highlight w:val="none"/>
          <w:u w:val="single"/>
          <w:lang w:val="en-US" w:eastAsia="zh-CN"/>
        </w:rPr>
        <w:t xml:space="preserve">  / </w:t>
      </w:r>
      <w:r>
        <w:rPr>
          <w:rFonts w:hint="eastAsia" w:ascii="宋体" w:hAnsi="宋体" w:eastAsia="宋体" w:cs="宋体"/>
          <w:color w:val="auto"/>
          <w:kern w:val="0"/>
          <w:sz w:val="24"/>
          <w:szCs w:val="24"/>
          <w:highlight w:val="none"/>
        </w:rPr>
        <w:t>平方米；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17、露天停车场</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个</w:t>
      </w:r>
      <w:r>
        <w:rPr>
          <w:rFonts w:hint="eastAsia" w:ascii="宋体" w:hAnsi="宋体" w:eastAsia="宋体" w:cs="宋体"/>
          <w:color w:val="auto"/>
          <w:kern w:val="0"/>
          <w:sz w:val="24"/>
          <w:szCs w:val="24"/>
          <w:highlight w:val="none"/>
          <w:u w:val="single"/>
          <w:lang w:val="en-US" w:eastAsia="zh-CN"/>
        </w:rPr>
        <w:t xml:space="preserve">  /  </w:t>
      </w:r>
      <w:r>
        <w:rPr>
          <w:rFonts w:hint="eastAsia" w:ascii="宋体" w:hAnsi="宋体" w:eastAsia="宋体" w:cs="宋体"/>
          <w:color w:val="auto"/>
          <w:kern w:val="0"/>
          <w:sz w:val="24"/>
          <w:szCs w:val="24"/>
          <w:highlight w:val="none"/>
        </w:rPr>
        <w:t>平方米；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18、非机动车</w:t>
      </w:r>
      <w:r>
        <w:rPr>
          <w:rFonts w:hint="eastAsia" w:ascii="宋体" w:hAnsi="宋体" w:eastAsia="宋体" w:cs="宋体"/>
          <w:color w:val="auto"/>
          <w:kern w:val="0"/>
          <w:sz w:val="24"/>
          <w:szCs w:val="24"/>
          <w:highlight w:val="none"/>
          <w:lang w:val="en-US" w:eastAsia="zh-CN"/>
        </w:rPr>
        <w:t>位</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个</w:t>
      </w:r>
      <w:r>
        <w:rPr>
          <w:rFonts w:hint="eastAsia" w:ascii="宋体" w:hAnsi="宋体" w:eastAsia="宋体" w:cs="宋体"/>
          <w:color w:val="auto"/>
          <w:kern w:val="0"/>
          <w:sz w:val="24"/>
          <w:szCs w:val="24"/>
          <w:highlight w:val="none"/>
          <w:u w:val="single"/>
          <w:lang w:val="en-US" w:eastAsia="zh-CN"/>
        </w:rPr>
        <w:t xml:space="preserve">   /   </w:t>
      </w:r>
      <w:r>
        <w:rPr>
          <w:rFonts w:hint="eastAsia" w:ascii="宋体" w:hAnsi="宋体" w:eastAsia="宋体" w:cs="宋体"/>
          <w:color w:val="auto"/>
          <w:kern w:val="0"/>
          <w:sz w:val="24"/>
          <w:szCs w:val="24"/>
          <w:highlight w:val="none"/>
        </w:rPr>
        <w:t>平方米；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19、共用设施设备用房</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平方米；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20、物业管理用房</w:t>
      </w:r>
      <w:r>
        <w:rPr>
          <w:rFonts w:hint="eastAsia" w:ascii="宋体" w:hAnsi="宋体" w:eastAsia="宋体" w:cs="宋体"/>
          <w:color w:val="auto"/>
          <w:kern w:val="0"/>
          <w:sz w:val="24"/>
          <w:szCs w:val="24"/>
          <w:highlight w:val="none"/>
          <w:u w:val="none"/>
          <w:lang w:val="en-US" w:eastAsia="zh-CN"/>
        </w:rPr>
        <w:t>约</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 xml:space="preserve">平方米； </w:t>
      </w:r>
    </w:p>
    <w:p>
      <w:pPr>
        <w:spacing w:line="248" w:lineRule="auto"/>
        <w:rPr>
          <w:color w:val="auto"/>
        </w:rPr>
      </w:pPr>
      <w:r>
        <w:rPr>
          <w:rFonts w:hint="eastAsia" w:ascii="宋体" w:hAnsi="宋体" w:eastAsia="宋体" w:cs="宋体"/>
          <w:color w:val="auto"/>
          <w:sz w:val="24"/>
          <w:szCs w:val="24"/>
          <w:highlight w:val="none"/>
        </w:rPr>
        <w:t xml:space="preserve"> </w:t>
      </w:r>
    </w:p>
    <w:p>
      <w:pPr>
        <w:spacing w:line="248"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pStyle w:val="3"/>
        <w:numPr>
          <w:ilvl w:val="0"/>
          <w:numId w:val="5"/>
        </w:numPr>
        <w:spacing w:before="0" w:after="0" w:line="560" w:lineRule="exact"/>
        <w:jc w:val="center"/>
        <w:rPr>
          <w:rFonts w:ascii="宋体" w:hAnsi="宋体" w:eastAsia="宋体" w:cs="宋体"/>
          <w:sz w:val="28"/>
          <w:szCs w:val="28"/>
        </w:rPr>
      </w:pPr>
      <w:bookmarkStart w:id="123" w:name="_Toc17199"/>
      <w:r>
        <w:rPr>
          <w:rFonts w:hint="eastAsia" w:ascii="宋体" w:hAnsi="宋体" w:eastAsia="宋体" w:cs="宋体"/>
          <w:sz w:val="28"/>
          <w:szCs w:val="28"/>
        </w:rPr>
        <w:t>采购需求</w:t>
      </w:r>
      <w:bookmarkEnd w:id="123"/>
    </w:p>
    <w:p>
      <w:pPr>
        <w:pStyle w:val="11"/>
        <w:spacing w:after="0" w:line="520" w:lineRule="exact"/>
        <w:rPr>
          <w:rFonts w:eastAsiaTheme="minorEastAsia" w:cstheme="minorBidi"/>
          <w:sz w:val="24"/>
        </w:rPr>
      </w:pPr>
    </w:p>
    <w:p>
      <w:pPr>
        <w:pStyle w:val="31"/>
        <w:adjustRightInd w:val="0"/>
        <w:snapToGrid w:val="0"/>
        <w:spacing w:before="0" w:beforeAutospacing="0" w:after="0" w:afterAutospacing="0" w:line="460" w:lineRule="exact"/>
        <w:ind w:firstLine="482" w:firstLineChars="200"/>
        <w:rPr>
          <w:rFonts w:hint="eastAsia" w:hAnsi="宋体" w:cs="宋体"/>
          <w:color w:val="000000"/>
          <w:sz w:val="24"/>
          <w:szCs w:val="24"/>
        </w:rPr>
      </w:pPr>
      <w:r>
        <w:rPr>
          <w:rFonts w:hint="eastAsia" w:hAnsi="宋体" w:cs="宋体"/>
          <w:b/>
          <w:bCs/>
          <w:color w:val="000000"/>
          <w:sz w:val="24"/>
          <w:szCs w:val="24"/>
          <w:lang w:eastAsia="zh-CN"/>
        </w:rPr>
        <w:t>一、</w:t>
      </w:r>
      <w:r>
        <w:rPr>
          <w:rFonts w:hint="eastAsia" w:hAnsi="宋体" w:cs="宋体"/>
          <w:b/>
          <w:bCs/>
          <w:color w:val="000000"/>
          <w:sz w:val="24"/>
          <w:szCs w:val="24"/>
        </w:rPr>
        <w:t>项目概况及投资规模</w:t>
      </w:r>
      <w:r>
        <w:rPr>
          <w:rFonts w:hint="eastAsia" w:hAnsi="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华强壹号院小区一、二期位于六安市霍山县霍山安园大道与红源大道交叉口。本小区系霍山县华强壹号院投资建设的商品房小区，一期、二期总建筑面积约167099.35平方米。其中住宅楼47幢，建筑面积135821.66平方米，商业15幢4152.51平方米，机动车地下停车位639辆，地下车库19775.1平方米，物业用房332.6平方米，社区管理用房1702.1平方米，其他共建配套用房5315.38平方米。本次采购内容为前期物业服务，物业费约178万元。</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b/>
          <w:bCs w:val="0"/>
          <w:sz w:val="24"/>
          <w:szCs w:val="24"/>
        </w:rPr>
      </w:pPr>
      <w:r>
        <w:rPr>
          <w:rFonts w:hint="eastAsia" w:ascii="宋体" w:hAnsi="宋体"/>
          <w:b/>
          <w:bCs w:val="0"/>
          <w:sz w:val="24"/>
          <w:szCs w:val="24"/>
          <w:lang w:eastAsia="zh-CN"/>
        </w:rPr>
        <w:t>二</w:t>
      </w:r>
      <w:r>
        <w:rPr>
          <w:rFonts w:hint="eastAsia" w:ascii="宋体" w:hAnsi="宋体" w:eastAsia="宋体"/>
          <w:b/>
          <w:bCs w:val="0"/>
          <w:sz w:val="24"/>
          <w:szCs w:val="24"/>
        </w:rPr>
        <w:t>、物业管理服务范围及标准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1、综合管理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⑴负责制定物业管理服务工作计划，并组织实施。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⑵每年一次对房屋及设施设备进行安全普查，根据普查结果制定维修计划，组织实施。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⑶白天有专职管理员接待住户，处理服务范围内的公共性事务，受理住户的咨询和投诉；夜间有人值班处理急迫性报修，水、电等急迫性报修半小时内到现场。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⑷协助召开业主大会并配合其运作。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⑸管理规章制度健全，服务质量标准完善，物业管理服务档案资料基本齐全。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⑹与业主签订物业服务合同等手续；公开服务标准、收费依据及标准。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⑺全体员工统一佩带有相片胸卡，持证上岗。</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⑻每年进行一次物业管理服务满意率调查，促进管理服务工作的改进和提高，征求意见户数不低于总户数60%。</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⑼建立起应对各种公共突发事件的处理机制和预案，包括组织机构、人员和具体措施等，一旦发生，能随时投入运行。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2、房屋及小区共用部位共用设施设备日常维护</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⑴楼房及小区内公用部位共用设施设备的日常养护和小修。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⑵保证护栏、围墙、小品、桌、椅楼道灯、绿化设施等公共设施、设备正常使用。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⑶确保雨水、污水管道保持通畅，定期清淘化粪池、雨水井，相关设施无破损。</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3、绿化:小区规划红线范围内的中心绿地和房前、屋后，道路两侧区间绿化看护。</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4、保洁：小区规划红线以内，业主户门以外。</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⑴设定垃圾集纳地点，并每日将服务范围内的垃圾归集到垃圾楼、站，对垃圾站、箱、道、桶及垃圾进行管理。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⑵每日对保洁服务范围内的区域进行一次性清扫，做到服务范围内基本无废弃杂物。</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⑶按规定进行消毒，灭鼠等活动。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⑷在雨、雪天气应及时对区内主路、干路积水、积雪进行清扫。</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⑸发生突发公共卫生事件时，应迅速组织人员对物业的共用部位共用设施设备进行通风、清洗和消毒，加强对业主的宣传，维持正常的生活秩序。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5、公共秩序维护、安全防范等事项的协助管理服务标准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⑴相对封闭：做到小区主要出入口全天有专人值守，危及人身安全要有明显标志和防范措施。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⑵维护交通秩序：包括对机动车辆和非机动车辆的行驶方向、速度进行管理，保持车辆行驶通畅。</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⑶发生治安案件、刑事案件、交通事故时，应及时报警，并配合公安部门进行处理。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6、存车管理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⑴有健全的机动车、非机动车存车管理制度和管理方案。</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⑵对进入小区的机动车辆进行登记发放凭证，出门凭证放行。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⑶保证停车有序，24小时设专人看管；有发生紧急情况预案。</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⑷长期存放的，应签订停车管理服务协议，明确双方的权利义务等。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7、消防管理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⑴有消防管理制度，建立消防责任制。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⑵消防设施有明显标志，定期对消防设施进行巡视、检查和维护；</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⑶定期进行消防训练，保证有关人员掌握消防基本技能。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⑷发生火灾，及时报警，协助消防人员疏散、求助人员等。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8、电梯养护、运行、维护</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⑴24小时不间断运行，电梯工夜间值班。</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⑵一旦发生电梯停电关人、夹人等凶险情况时，应迅速组织救助。</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⑶电梯正常维修应避开乘机高峰期，发生紧急情况时有处置预案。</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9、装饰装修管理服务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⑴有健全的装修管理服务制度。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⑵查验业主装修方案，与业主、施工单位签订装修管理协议，告知业主装修注意事项。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⑶装修期间，对装修现场进行巡视与检查，严格治安、消防和房屋安全管理；对进出小区的装修车辆、装修人员实行出入证管理，调解因装修引发的邻里纠纷。</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⑷业主装修结束后，应进行检查。对违反装修协议的要进行处理，问题严重的报行政管理部门。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⑸及时清运装修垃圾，集中堆放时间不得超过三天。</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10、高压供水养护、运行、维修：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⑴保证居民正常生活用水；有停水处置预案。</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⑵水箱盖上锁并定期清洗消毒，确保水质合格。</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sz w:val="24"/>
          <w:szCs w:val="24"/>
        </w:rPr>
      </w:pPr>
      <w:r>
        <w:rPr>
          <w:rFonts w:hint="eastAsia" w:ascii="宋体" w:hAnsi="宋体" w:eastAsia="宋体"/>
          <w:b w:val="0"/>
          <w:bCs/>
          <w:sz w:val="24"/>
          <w:szCs w:val="24"/>
        </w:rPr>
        <w:t>⑶发生突发公共卫生事件时，要加强对供水系统的消毒，禁止无关人员进入高压水泵机房、接近高位水箱。</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b/>
          <w:bCs w:val="0"/>
          <w:sz w:val="24"/>
          <w:szCs w:val="24"/>
        </w:rPr>
      </w:pPr>
      <w:r>
        <w:rPr>
          <w:rFonts w:hint="eastAsia" w:ascii="宋体" w:hAnsi="宋体"/>
          <w:b/>
          <w:bCs w:val="0"/>
          <w:sz w:val="24"/>
          <w:szCs w:val="24"/>
          <w:lang w:eastAsia="zh-CN"/>
        </w:rPr>
        <w:t>三</w:t>
      </w:r>
      <w:r>
        <w:rPr>
          <w:rFonts w:hint="eastAsia" w:ascii="宋体" w:hAnsi="宋体" w:eastAsia="宋体"/>
          <w:b/>
          <w:bCs w:val="0"/>
          <w:sz w:val="24"/>
          <w:szCs w:val="24"/>
        </w:rPr>
        <w:t>、物业服务要求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color w:val="FF0000"/>
          <w:sz w:val="24"/>
          <w:szCs w:val="24"/>
        </w:rPr>
      </w:pPr>
      <w:r>
        <w:rPr>
          <w:rFonts w:hint="eastAsia" w:ascii="宋体" w:hAnsi="宋体" w:eastAsia="宋体"/>
          <w:b w:val="0"/>
          <w:bCs/>
          <w:sz w:val="24"/>
          <w:szCs w:val="24"/>
        </w:rPr>
        <w:t>1、物业管理服务与收费质价相符。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color w:val="000000" w:themeColor="text1"/>
          <w:kern w:val="0"/>
          <w:sz w:val="24"/>
          <w:szCs w:val="24"/>
          <w:lang w:eastAsia="zh-CN"/>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2、</w:t>
      </w:r>
      <w:r>
        <w:rPr>
          <w:rFonts w:hint="eastAsia" w:ascii="宋体" w:hAnsi="宋体" w:eastAsia="宋体" w:cs="宋体"/>
          <w:b w:val="0"/>
          <w:color w:val="000000" w:themeColor="text1"/>
          <w:kern w:val="0"/>
          <w:sz w:val="24"/>
          <w:szCs w:val="24"/>
          <w14:textFill>
            <w14:solidFill>
              <w14:schemeClr w14:val="tx1"/>
            </w14:solidFill>
          </w14:textFill>
        </w:rPr>
        <w:t>本项目物业管理人员配备最低要求</w:t>
      </w:r>
      <w:r>
        <w:rPr>
          <w:rFonts w:hint="eastAsia" w:ascii="宋体" w:hAnsi="宋体" w:cs="宋体"/>
          <w:b w:val="0"/>
          <w:color w:val="000000" w:themeColor="text1"/>
          <w:kern w:val="0"/>
          <w:sz w:val="24"/>
          <w:szCs w:val="24"/>
          <w:lang w:eastAsia="zh-CN"/>
          <w14:textFill>
            <w14:solidFill>
              <w14:schemeClr w14:val="tx1"/>
            </w14:solidFill>
          </w14:textFill>
        </w:rPr>
        <w:t>。</w:t>
      </w:r>
    </w:p>
    <w:tbl>
      <w:tblPr>
        <w:tblStyle w:val="37"/>
        <w:tblW w:w="0" w:type="auto"/>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984"/>
        <w:gridCol w:w="981"/>
        <w:gridCol w:w="5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4"/>
                <w:szCs w:val="24"/>
                <w:vertAlign w:val="baseline"/>
                <w:lang w:eastAsia="zh-CN"/>
              </w:rPr>
            </w:pPr>
            <w:r>
              <w:rPr>
                <w:rFonts w:hint="eastAsia" w:ascii="宋体" w:hAnsi="宋体" w:cs="宋体"/>
                <w:b/>
                <w:bCs/>
                <w:color w:val="auto"/>
                <w:kern w:val="0"/>
                <w:sz w:val="24"/>
                <w:szCs w:val="24"/>
                <w:vertAlign w:val="baseline"/>
                <w:lang w:eastAsia="zh-CN"/>
              </w:rPr>
              <w:t>序号</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4"/>
                <w:szCs w:val="24"/>
                <w:vertAlign w:val="baseline"/>
                <w:lang w:eastAsia="zh-CN"/>
              </w:rPr>
            </w:pPr>
            <w:r>
              <w:rPr>
                <w:rFonts w:hint="eastAsia" w:ascii="宋体" w:hAnsi="宋体" w:cs="宋体"/>
                <w:b/>
                <w:bCs/>
                <w:color w:val="auto"/>
                <w:kern w:val="0"/>
                <w:sz w:val="24"/>
                <w:szCs w:val="24"/>
                <w:vertAlign w:val="baseline"/>
                <w:lang w:eastAsia="zh-CN"/>
              </w:rPr>
              <w:t>岗位名称</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4"/>
                <w:szCs w:val="24"/>
                <w:vertAlign w:val="baseline"/>
                <w:lang w:eastAsia="zh-CN"/>
              </w:rPr>
            </w:pPr>
            <w:r>
              <w:rPr>
                <w:rFonts w:hint="eastAsia" w:ascii="宋体" w:hAnsi="宋体" w:cs="宋体"/>
                <w:b/>
                <w:bCs/>
                <w:color w:val="auto"/>
                <w:kern w:val="0"/>
                <w:sz w:val="24"/>
                <w:szCs w:val="24"/>
                <w:vertAlign w:val="baseline"/>
                <w:lang w:eastAsia="zh-CN"/>
              </w:rPr>
              <w:t>人数</w:t>
            </w:r>
          </w:p>
        </w:tc>
        <w:tc>
          <w:tcPr>
            <w:tcW w:w="52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4"/>
                <w:szCs w:val="24"/>
                <w:vertAlign w:val="baseline"/>
                <w:lang w:eastAsia="zh-CN"/>
              </w:rPr>
            </w:pPr>
            <w:r>
              <w:rPr>
                <w:rFonts w:hint="eastAsia" w:ascii="宋体" w:hAnsi="宋体" w:cs="宋体"/>
                <w:b/>
                <w:bCs/>
                <w:color w:val="auto"/>
                <w:kern w:val="0"/>
                <w:sz w:val="24"/>
                <w:szCs w:val="24"/>
                <w:vertAlign w:val="baseline"/>
                <w:lang w:eastAsia="zh-CN"/>
              </w:rPr>
              <w:t>说</w:t>
            </w:r>
            <w:r>
              <w:rPr>
                <w:rFonts w:hint="eastAsia" w:ascii="宋体" w:hAnsi="宋体" w:cs="宋体"/>
                <w:b/>
                <w:bCs/>
                <w:color w:val="auto"/>
                <w:kern w:val="0"/>
                <w:sz w:val="24"/>
                <w:szCs w:val="24"/>
                <w:vertAlign w:val="baseline"/>
                <w:lang w:val="en-US" w:eastAsia="zh-CN"/>
              </w:rPr>
              <w:t xml:space="preserve"> </w:t>
            </w:r>
            <w:r>
              <w:rPr>
                <w:rFonts w:hint="eastAsia" w:ascii="宋体" w:hAnsi="宋体" w:cs="宋体"/>
                <w:b/>
                <w:bCs/>
                <w:color w:val="auto"/>
                <w:kern w:val="0"/>
                <w:sz w:val="24"/>
                <w:szCs w:val="24"/>
                <w:vertAlign w:val="baseline"/>
                <w:lang w:eastAsia="zh-CN"/>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vertAlign w:val="baseline"/>
                <w:lang w:val="en-US" w:eastAsia="zh-CN"/>
              </w:rPr>
            </w:pPr>
            <w:r>
              <w:rPr>
                <w:rFonts w:hint="eastAsia" w:ascii="宋体" w:hAnsi="宋体" w:cs="宋体"/>
                <w:b w:val="0"/>
                <w:color w:val="auto"/>
                <w:kern w:val="0"/>
                <w:sz w:val="24"/>
                <w:szCs w:val="24"/>
                <w:vertAlign w:val="baseline"/>
                <w:lang w:val="en-US" w:eastAsia="zh-CN"/>
              </w:rPr>
              <w:t>1</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vertAlign w:val="baseline"/>
              </w:rPr>
            </w:pPr>
            <w:r>
              <w:rPr>
                <w:rFonts w:hint="eastAsia" w:ascii="宋体" w:hAnsi="宋体" w:eastAsia="宋体" w:cs="宋体"/>
                <w:b w:val="0"/>
                <w:bCs w:val="0"/>
                <w:color w:val="auto"/>
                <w:sz w:val="24"/>
                <w:szCs w:val="24"/>
              </w:rPr>
              <w:t>项目负责人</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highlight w:val="none"/>
                <w:vertAlign w:val="baseline"/>
                <w:lang w:val="en-US" w:eastAsia="zh-CN"/>
              </w:rPr>
            </w:pPr>
            <w:r>
              <w:rPr>
                <w:rFonts w:hint="eastAsia" w:ascii="宋体" w:hAnsi="宋体" w:cs="宋体"/>
                <w:b w:val="0"/>
                <w:color w:val="auto"/>
                <w:kern w:val="0"/>
                <w:sz w:val="24"/>
                <w:szCs w:val="24"/>
                <w:highlight w:val="none"/>
                <w:vertAlign w:val="baseline"/>
                <w:lang w:val="en-US" w:eastAsia="zh-CN"/>
              </w:rPr>
              <w:t>1</w:t>
            </w:r>
          </w:p>
        </w:tc>
        <w:tc>
          <w:tcPr>
            <w:tcW w:w="52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color w:val="auto"/>
                <w:kern w:val="0"/>
                <w:sz w:val="24"/>
                <w:szCs w:val="24"/>
                <w:vertAlign w:val="baseline"/>
              </w:rPr>
            </w:pPr>
            <w:r>
              <w:rPr>
                <w:rFonts w:hint="eastAsia" w:ascii="宋体" w:hAnsi="宋体" w:eastAsia="宋体" w:cs="宋体"/>
                <w:b w:val="0"/>
                <w:bCs w:val="0"/>
                <w:color w:val="auto"/>
                <w:sz w:val="24"/>
                <w:szCs w:val="24"/>
                <w:lang w:val="en-US" w:eastAsia="zh-CN"/>
              </w:rPr>
              <w:t xml:space="preserve">熟练掌握电脑操作，熟悉掌握物业管理知识，持有物业经理服务岗位证书,具有小区物业服务管理经验。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vertAlign w:val="baseline"/>
                <w:lang w:val="en-US" w:eastAsia="zh-CN"/>
              </w:rPr>
            </w:pPr>
            <w:r>
              <w:rPr>
                <w:rFonts w:hint="eastAsia" w:ascii="宋体" w:hAnsi="宋体" w:cs="宋体"/>
                <w:b w:val="0"/>
                <w:color w:val="auto"/>
                <w:kern w:val="0"/>
                <w:sz w:val="24"/>
                <w:szCs w:val="24"/>
                <w:vertAlign w:val="baseline"/>
                <w:lang w:val="en-US" w:eastAsia="zh-CN"/>
              </w:rPr>
              <w:t>2</w:t>
            </w:r>
          </w:p>
        </w:tc>
        <w:tc>
          <w:tcPr>
            <w:tcW w:w="2055" w:type="dxa"/>
            <w:vAlign w:val="bottom"/>
          </w:tcPr>
          <w:p>
            <w:pPr>
              <w:snapToGrid w:val="0"/>
              <w:spacing w:line="360"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eastAsia="zh-CN"/>
              </w:rPr>
              <w:t>客户服务部主管</w:t>
            </w:r>
          </w:p>
        </w:tc>
        <w:tc>
          <w:tcPr>
            <w:tcW w:w="1005" w:type="dxa"/>
            <w:vAlign w:val="bottom"/>
          </w:tcPr>
          <w:p>
            <w:pPr>
              <w:snapToGrid w:val="0"/>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1</w:t>
            </w:r>
          </w:p>
        </w:tc>
        <w:tc>
          <w:tcPr>
            <w:tcW w:w="5220" w:type="dxa"/>
            <w:vAlign w:val="center"/>
          </w:tcPr>
          <w:p>
            <w:pPr>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熟练掌握基本商务礼仪及规范礼仪用语，能吃苦耐劳及较强的服务意识。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vertAlign w:val="baseline"/>
                <w:lang w:val="en-US" w:eastAsia="zh-CN"/>
              </w:rPr>
            </w:pPr>
            <w:r>
              <w:rPr>
                <w:rFonts w:hint="eastAsia" w:ascii="宋体" w:hAnsi="宋体" w:cs="宋体"/>
                <w:b w:val="0"/>
                <w:color w:val="auto"/>
                <w:kern w:val="0"/>
                <w:sz w:val="24"/>
                <w:szCs w:val="24"/>
                <w:vertAlign w:val="baseline"/>
                <w:lang w:val="en-US" w:eastAsia="zh-CN"/>
              </w:rPr>
              <w:t>3</w:t>
            </w:r>
          </w:p>
        </w:tc>
        <w:tc>
          <w:tcPr>
            <w:tcW w:w="2055" w:type="dxa"/>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客服</w:t>
            </w:r>
          </w:p>
        </w:tc>
        <w:tc>
          <w:tcPr>
            <w:tcW w:w="1005" w:type="dxa"/>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5220" w:type="dxa"/>
            <w:vAlign w:val="center"/>
          </w:tcPr>
          <w:p>
            <w:pPr>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有物业前期接待工作经验，接受过系统的商务接待培训，及体态礼仪培训，能吃苦耐劳及较强的服务意识</w:t>
            </w:r>
            <w:r>
              <w:rPr>
                <w:rFonts w:hint="eastAsia" w:ascii="宋体" w:hAnsi="宋体" w:eastAsia="宋体" w:cs="宋体"/>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vertAlign w:val="baseline"/>
                <w:lang w:val="en-US" w:eastAsia="zh-CN"/>
              </w:rPr>
            </w:pPr>
            <w:r>
              <w:rPr>
                <w:rFonts w:hint="eastAsia" w:ascii="宋体" w:hAnsi="宋体" w:cs="宋体"/>
                <w:b w:val="0"/>
                <w:color w:val="auto"/>
                <w:kern w:val="0"/>
                <w:sz w:val="24"/>
                <w:szCs w:val="24"/>
                <w:vertAlign w:val="baseline"/>
                <w:lang w:val="en-US" w:eastAsia="zh-CN"/>
              </w:rPr>
              <w:t>4</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vertAlign w:val="baseline"/>
              </w:rPr>
            </w:pPr>
            <w:r>
              <w:rPr>
                <w:rFonts w:hint="eastAsia" w:ascii="宋体" w:hAnsi="宋体" w:eastAsia="宋体" w:cs="宋体"/>
                <w:b w:val="0"/>
                <w:bCs w:val="0"/>
                <w:color w:val="auto"/>
                <w:sz w:val="24"/>
                <w:szCs w:val="24"/>
              </w:rPr>
              <w:t>工程</w:t>
            </w:r>
            <w:r>
              <w:rPr>
                <w:rFonts w:hint="eastAsia" w:ascii="宋体" w:hAnsi="宋体" w:eastAsia="宋体" w:cs="宋体"/>
                <w:b w:val="0"/>
                <w:bCs w:val="0"/>
                <w:color w:val="auto"/>
                <w:sz w:val="24"/>
                <w:szCs w:val="24"/>
                <w:lang w:eastAsia="zh-CN"/>
              </w:rPr>
              <w:t>维护部</w:t>
            </w:r>
            <w:r>
              <w:rPr>
                <w:rFonts w:hint="eastAsia" w:ascii="宋体" w:hAnsi="宋体" w:cs="宋体"/>
                <w:b w:val="0"/>
                <w:bCs w:val="0"/>
                <w:color w:val="auto"/>
                <w:sz w:val="24"/>
                <w:szCs w:val="24"/>
                <w:lang w:eastAsia="zh-CN"/>
              </w:rPr>
              <w:t>主</w:t>
            </w:r>
            <w:r>
              <w:rPr>
                <w:rFonts w:hint="eastAsia" w:ascii="宋体" w:hAnsi="宋体" w:eastAsia="宋体" w:cs="宋体"/>
                <w:b w:val="0"/>
                <w:bCs w:val="0"/>
                <w:color w:val="auto"/>
                <w:sz w:val="24"/>
                <w:szCs w:val="24"/>
                <w:lang w:eastAsia="zh-CN"/>
              </w:rPr>
              <w:t>管</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highlight w:val="none"/>
                <w:vertAlign w:val="baseline"/>
                <w:lang w:val="en-US" w:eastAsia="zh-CN"/>
              </w:rPr>
            </w:pPr>
            <w:r>
              <w:rPr>
                <w:rFonts w:hint="eastAsia" w:ascii="宋体" w:hAnsi="宋体" w:cs="宋体"/>
                <w:b w:val="0"/>
                <w:color w:val="auto"/>
                <w:kern w:val="0"/>
                <w:sz w:val="24"/>
                <w:szCs w:val="24"/>
                <w:highlight w:val="none"/>
                <w:vertAlign w:val="baseline"/>
                <w:lang w:val="en-US" w:eastAsia="zh-CN"/>
              </w:rPr>
              <w:t>1</w:t>
            </w:r>
          </w:p>
        </w:tc>
        <w:tc>
          <w:tcPr>
            <w:tcW w:w="52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color w:val="auto"/>
                <w:kern w:val="0"/>
                <w:sz w:val="24"/>
                <w:szCs w:val="24"/>
                <w:vertAlign w:val="baseline"/>
              </w:rPr>
            </w:pPr>
            <w:r>
              <w:rPr>
                <w:rFonts w:hint="eastAsia" w:ascii="宋体" w:hAnsi="宋体" w:eastAsia="宋体" w:cs="宋体"/>
                <w:b w:val="0"/>
                <w:bCs w:val="0"/>
                <w:color w:val="auto"/>
                <w:sz w:val="24"/>
                <w:szCs w:val="24"/>
              </w:rPr>
              <w:t>性别：男20-</w:t>
            </w:r>
            <w:r>
              <w:rPr>
                <w:rFonts w:hint="eastAsia" w:ascii="宋体" w:hAnsi="宋体" w:cs="宋体"/>
                <w:b w:val="0"/>
                <w:bCs w:val="0"/>
                <w:color w:val="auto"/>
                <w:sz w:val="24"/>
                <w:szCs w:val="24"/>
                <w:lang w:val="en-US" w:eastAsia="zh-CN"/>
              </w:rPr>
              <w:t>60</w:t>
            </w:r>
            <w:r>
              <w:rPr>
                <w:rFonts w:hint="eastAsia" w:ascii="宋体" w:hAnsi="宋体" w:eastAsia="宋体" w:cs="宋体"/>
                <w:b w:val="0"/>
                <w:bCs w:val="0"/>
                <w:color w:val="auto"/>
                <w:sz w:val="24"/>
                <w:szCs w:val="24"/>
              </w:rPr>
              <w:t>岁</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有</w:t>
            </w:r>
            <w:r>
              <w:rPr>
                <w:rFonts w:hint="eastAsia" w:ascii="宋体" w:hAnsi="宋体" w:eastAsia="宋体" w:cs="宋体"/>
                <w:b w:val="0"/>
                <w:bCs w:val="0"/>
                <w:color w:val="auto"/>
                <w:sz w:val="24"/>
                <w:szCs w:val="24"/>
                <w:lang w:eastAsia="zh-CN"/>
              </w:rPr>
              <w:t>丰富的工程维护</w:t>
            </w:r>
            <w:r>
              <w:rPr>
                <w:rFonts w:hint="eastAsia" w:ascii="宋体" w:hAnsi="宋体" w:eastAsia="宋体" w:cs="宋体"/>
                <w:b w:val="0"/>
                <w:bCs w:val="0"/>
                <w:color w:val="auto"/>
                <w:sz w:val="24"/>
                <w:szCs w:val="24"/>
              </w:rPr>
              <w:t>经验</w:t>
            </w:r>
            <w:r>
              <w:rPr>
                <w:rFonts w:hint="eastAsia" w:ascii="宋体" w:hAnsi="宋体" w:eastAsia="宋体" w:cs="宋体"/>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vertAlign w:val="baseline"/>
                <w:lang w:val="en-US" w:eastAsia="zh-CN"/>
              </w:rPr>
            </w:pPr>
            <w:r>
              <w:rPr>
                <w:rFonts w:hint="eastAsia" w:ascii="宋体" w:hAnsi="宋体" w:cs="宋体"/>
                <w:b w:val="0"/>
                <w:color w:val="auto"/>
                <w:kern w:val="0"/>
                <w:sz w:val="24"/>
                <w:szCs w:val="24"/>
                <w:vertAlign w:val="baseline"/>
                <w:lang w:val="en-US" w:eastAsia="zh-CN"/>
              </w:rPr>
              <w:t>5</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vertAlign w:val="baseline"/>
              </w:rPr>
            </w:pPr>
            <w:r>
              <w:rPr>
                <w:rFonts w:hint="eastAsia" w:ascii="宋体" w:hAnsi="宋体" w:eastAsia="宋体" w:cs="宋体"/>
                <w:b w:val="0"/>
                <w:bCs w:val="0"/>
                <w:i w:val="0"/>
                <w:iCs w:val="0"/>
                <w:color w:val="auto"/>
                <w:kern w:val="0"/>
                <w:sz w:val="24"/>
                <w:szCs w:val="24"/>
                <w:u w:val="none"/>
                <w:lang w:val="en-US" w:eastAsia="zh-CN" w:bidi="ar"/>
              </w:rPr>
              <w:t>工程师傅</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b w:val="0"/>
                <w:color w:val="auto"/>
                <w:kern w:val="0"/>
                <w:sz w:val="24"/>
                <w:szCs w:val="24"/>
                <w:highlight w:val="none"/>
                <w:vertAlign w:val="baseline"/>
                <w:lang w:val="en-US" w:eastAsia="zh-CN"/>
              </w:rPr>
            </w:pPr>
            <w:r>
              <w:rPr>
                <w:rFonts w:hint="eastAsia" w:ascii="宋体" w:hAnsi="宋体" w:cs="宋体"/>
                <w:b w:val="0"/>
                <w:color w:val="auto"/>
                <w:kern w:val="0"/>
                <w:sz w:val="24"/>
                <w:szCs w:val="24"/>
                <w:highlight w:val="none"/>
                <w:vertAlign w:val="baseline"/>
                <w:lang w:val="en-US" w:eastAsia="zh-CN"/>
              </w:rPr>
              <w:t>8</w:t>
            </w:r>
          </w:p>
        </w:tc>
        <w:tc>
          <w:tcPr>
            <w:tcW w:w="52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color w:val="auto"/>
                <w:kern w:val="0"/>
                <w:sz w:val="24"/>
                <w:szCs w:val="24"/>
                <w:vertAlign w:val="baseline"/>
              </w:rPr>
            </w:pPr>
            <w:r>
              <w:rPr>
                <w:rFonts w:hint="eastAsia" w:ascii="宋体" w:hAnsi="宋体" w:eastAsia="宋体" w:cs="宋体"/>
                <w:b w:val="0"/>
                <w:bCs w:val="0"/>
                <w:color w:val="auto"/>
                <w:sz w:val="24"/>
                <w:szCs w:val="24"/>
                <w:lang w:eastAsia="zh-CN"/>
              </w:rPr>
              <w:t>有相关工作经验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vertAlign w:val="baseline"/>
                <w:lang w:val="en-US" w:eastAsia="zh-CN"/>
              </w:rPr>
            </w:pPr>
            <w:r>
              <w:rPr>
                <w:rFonts w:hint="eastAsia" w:ascii="宋体" w:hAnsi="宋体" w:cs="宋体"/>
                <w:b w:val="0"/>
                <w:color w:val="auto"/>
                <w:kern w:val="0"/>
                <w:sz w:val="24"/>
                <w:szCs w:val="24"/>
                <w:vertAlign w:val="baseline"/>
                <w:lang w:val="en-US" w:eastAsia="zh-CN"/>
              </w:rPr>
              <w:t>6</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vertAlign w:val="baseline"/>
              </w:rPr>
            </w:pPr>
            <w:r>
              <w:rPr>
                <w:rFonts w:hint="eastAsia" w:ascii="宋体" w:hAnsi="宋体" w:eastAsia="宋体" w:cs="宋体"/>
                <w:b w:val="0"/>
                <w:bCs w:val="0"/>
                <w:color w:val="auto"/>
                <w:sz w:val="24"/>
                <w:szCs w:val="24"/>
                <w:lang w:eastAsia="zh-CN"/>
              </w:rPr>
              <w:t>秩序维护部</w:t>
            </w:r>
            <w:r>
              <w:rPr>
                <w:rFonts w:hint="eastAsia" w:ascii="宋体" w:hAnsi="宋体" w:cs="宋体"/>
                <w:b w:val="0"/>
                <w:bCs w:val="0"/>
                <w:color w:val="auto"/>
                <w:sz w:val="24"/>
                <w:szCs w:val="24"/>
                <w:lang w:eastAsia="zh-CN"/>
              </w:rPr>
              <w:t>主</w:t>
            </w:r>
            <w:r>
              <w:rPr>
                <w:rFonts w:hint="eastAsia" w:ascii="宋体" w:hAnsi="宋体" w:eastAsia="宋体" w:cs="宋体"/>
                <w:b w:val="0"/>
                <w:bCs w:val="0"/>
                <w:color w:val="auto"/>
                <w:sz w:val="24"/>
                <w:szCs w:val="24"/>
                <w:lang w:eastAsia="zh-CN"/>
              </w:rPr>
              <w:t>管</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highlight w:val="none"/>
                <w:vertAlign w:val="baseline"/>
                <w:lang w:val="en-US" w:eastAsia="zh-CN"/>
              </w:rPr>
            </w:pPr>
            <w:r>
              <w:rPr>
                <w:rFonts w:hint="eastAsia" w:ascii="宋体" w:hAnsi="宋体" w:cs="宋体"/>
                <w:b w:val="0"/>
                <w:color w:val="auto"/>
                <w:kern w:val="0"/>
                <w:sz w:val="24"/>
                <w:szCs w:val="24"/>
                <w:highlight w:val="none"/>
                <w:vertAlign w:val="baseline"/>
                <w:lang w:val="en-US" w:eastAsia="zh-CN"/>
              </w:rPr>
              <w:t>1</w:t>
            </w:r>
          </w:p>
        </w:tc>
        <w:tc>
          <w:tcPr>
            <w:tcW w:w="52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color w:val="auto"/>
                <w:kern w:val="0"/>
                <w:sz w:val="24"/>
                <w:szCs w:val="24"/>
                <w:vertAlign w:val="baseline"/>
              </w:rPr>
            </w:pPr>
            <w:r>
              <w:rPr>
                <w:rFonts w:hint="eastAsia" w:ascii="宋体" w:hAnsi="宋体" w:eastAsia="宋体" w:cs="宋体"/>
                <w:b w:val="0"/>
                <w:bCs w:val="0"/>
                <w:color w:val="auto"/>
                <w:sz w:val="24"/>
                <w:szCs w:val="24"/>
              </w:rPr>
              <w:t>性别：男  20-</w:t>
            </w:r>
            <w:r>
              <w:rPr>
                <w:rFonts w:hint="eastAsia" w:ascii="宋体" w:hAnsi="宋体" w:eastAsia="宋体" w:cs="宋体"/>
                <w:b w:val="0"/>
                <w:bCs w:val="0"/>
                <w:color w:val="auto"/>
                <w:sz w:val="24"/>
                <w:szCs w:val="24"/>
                <w:lang w:val="en-US" w:eastAsia="zh-CN"/>
              </w:rPr>
              <w:t>55</w:t>
            </w:r>
            <w:r>
              <w:rPr>
                <w:rFonts w:hint="eastAsia" w:ascii="宋体" w:hAnsi="宋体" w:eastAsia="宋体" w:cs="宋体"/>
                <w:b w:val="0"/>
                <w:bCs w:val="0"/>
                <w:color w:val="auto"/>
                <w:sz w:val="24"/>
                <w:szCs w:val="24"/>
              </w:rPr>
              <w:t>岁，身高：17</w:t>
            </w:r>
            <w:r>
              <w:rPr>
                <w:rFonts w:hint="eastAsia" w:ascii="宋体" w:hAnsi="宋体" w:eastAsia="宋体" w:cs="宋体"/>
                <w:b w:val="0"/>
                <w:bCs w:val="0"/>
                <w:color w:val="auto"/>
                <w:sz w:val="24"/>
                <w:szCs w:val="24"/>
                <w:lang w:val="en-US" w:eastAsia="zh-CN"/>
              </w:rPr>
              <w:t>0</w:t>
            </w:r>
            <w:r>
              <w:rPr>
                <w:rFonts w:hint="eastAsia" w:ascii="宋体" w:hAnsi="宋体" w:eastAsia="宋体" w:cs="宋体"/>
                <w:b w:val="0"/>
                <w:bCs w:val="0"/>
                <w:color w:val="auto"/>
                <w:sz w:val="24"/>
                <w:szCs w:val="24"/>
              </w:rPr>
              <w:t>-180，有前期物业管理工作经验，熟练军事化形象展示，能吃苦耐劳及较强的服务意识</w:t>
            </w:r>
            <w:r>
              <w:rPr>
                <w:rFonts w:hint="eastAsia" w:ascii="宋体" w:hAnsi="宋体" w:eastAsia="宋体" w:cs="宋体"/>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vertAlign w:val="baseline"/>
                <w:lang w:val="en-US" w:eastAsia="zh-CN"/>
              </w:rPr>
            </w:pPr>
            <w:r>
              <w:rPr>
                <w:rFonts w:hint="eastAsia" w:ascii="宋体" w:hAnsi="宋体" w:cs="宋体"/>
                <w:b w:val="0"/>
                <w:color w:val="auto"/>
                <w:kern w:val="0"/>
                <w:sz w:val="24"/>
                <w:szCs w:val="24"/>
                <w:vertAlign w:val="baseline"/>
                <w:lang w:val="en-US" w:eastAsia="zh-CN"/>
              </w:rPr>
              <w:t>7</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vertAlign w:val="baseline"/>
              </w:rPr>
            </w:pPr>
            <w:r>
              <w:rPr>
                <w:rFonts w:hint="eastAsia" w:ascii="宋体" w:hAnsi="宋体" w:eastAsia="宋体" w:cs="宋体"/>
                <w:b w:val="0"/>
                <w:bCs w:val="0"/>
                <w:color w:val="auto"/>
                <w:sz w:val="24"/>
                <w:szCs w:val="24"/>
                <w:lang w:eastAsia="zh-CN"/>
              </w:rPr>
              <w:t>秩序维护员</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b w:val="0"/>
                <w:color w:val="auto"/>
                <w:kern w:val="0"/>
                <w:sz w:val="24"/>
                <w:szCs w:val="24"/>
                <w:highlight w:val="none"/>
                <w:vertAlign w:val="baseline"/>
                <w:lang w:val="en-US" w:eastAsia="zh-CN"/>
              </w:rPr>
            </w:pPr>
            <w:r>
              <w:rPr>
                <w:rFonts w:hint="eastAsia" w:ascii="宋体" w:hAnsi="宋体" w:cs="宋体"/>
                <w:b w:val="0"/>
                <w:color w:val="auto"/>
                <w:kern w:val="0"/>
                <w:sz w:val="24"/>
                <w:szCs w:val="24"/>
                <w:highlight w:val="none"/>
                <w:vertAlign w:val="baseline"/>
                <w:lang w:val="en-US" w:eastAsia="zh-CN"/>
              </w:rPr>
              <w:t>23</w:t>
            </w:r>
          </w:p>
        </w:tc>
        <w:tc>
          <w:tcPr>
            <w:tcW w:w="52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color w:val="auto"/>
                <w:kern w:val="0"/>
                <w:sz w:val="24"/>
                <w:szCs w:val="24"/>
                <w:vertAlign w:val="baseline"/>
              </w:rPr>
            </w:pPr>
            <w:r>
              <w:rPr>
                <w:rFonts w:hint="eastAsia" w:ascii="宋体" w:hAnsi="宋体" w:eastAsia="宋体" w:cs="宋体"/>
                <w:b w:val="0"/>
                <w:bCs w:val="0"/>
                <w:color w:val="auto"/>
                <w:sz w:val="24"/>
                <w:szCs w:val="24"/>
              </w:rPr>
              <w:t>年龄30-</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rPr>
              <w:t>5, 身高不低于1.70米</w:t>
            </w:r>
            <w:r>
              <w:rPr>
                <w:rFonts w:hint="eastAsia" w:ascii="宋体" w:hAnsi="宋体" w:eastAsia="宋体" w:cs="宋体"/>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vertAlign w:val="baseline"/>
                <w:lang w:val="en-US" w:eastAsia="zh-CN"/>
              </w:rPr>
            </w:pPr>
            <w:r>
              <w:rPr>
                <w:rFonts w:hint="eastAsia" w:ascii="宋体" w:hAnsi="宋体" w:cs="宋体"/>
                <w:b w:val="0"/>
                <w:color w:val="auto"/>
                <w:kern w:val="0"/>
                <w:sz w:val="24"/>
                <w:szCs w:val="24"/>
                <w:vertAlign w:val="baseline"/>
                <w:lang w:val="en-US" w:eastAsia="zh-CN"/>
              </w:rPr>
              <w:t>8</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vertAlign w:val="baseline"/>
              </w:rPr>
            </w:pPr>
            <w:r>
              <w:rPr>
                <w:rFonts w:hint="eastAsia" w:ascii="宋体" w:hAnsi="宋体" w:eastAsia="宋体" w:cs="宋体"/>
                <w:b w:val="0"/>
                <w:bCs w:val="0"/>
                <w:i w:val="0"/>
                <w:iCs w:val="0"/>
                <w:color w:val="auto"/>
                <w:kern w:val="0"/>
                <w:sz w:val="24"/>
                <w:szCs w:val="24"/>
                <w:u w:val="none"/>
                <w:lang w:val="en-US" w:eastAsia="zh-CN" w:bidi="ar"/>
              </w:rPr>
              <w:t>监控员</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highlight w:val="none"/>
                <w:vertAlign w:val="baseline"/>
                <w:lang w:val="en-US" w:eastAsia="zh-CN"/>
              </w:rPr>
            </w:pPr>
            <w:r>
              <w:rPr>
                <w:rFonts w:hint="eastAsia" w:ascii="宋体" w:hAnsi="宋体" w:cs="宋体"/>
                <w:b w:val="0"/>
                <w:color w:val="auto"/>
                <w:kern w:val="0"/>
                <w:sz w:val="24"/>
                <w:szCs w:val="24"/>
                <w:highlight w:val="none"/>
                <w:vertAlign w:val="baseline"/>
                <w:lang w:val="en-US" w:eastAsia="zh-CN"/>
              </w:rPr>
              <w:t>2</w:t>
            </w:r>
          </w:p>
        </w:tc>
        <w:tc>
          <w:tcPr>
            <w:tcW w:w="52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color w:val="auto"/>
                <w:kern w:val="0"/>
                <w:sz w:val="24"/>
                <w:szCs w:val="24"/>
                <w:vertAlign w:val="baseline"/>
              </w:rPr>
            </w:pPr>
            <w:r>
              <w:rPr>
                <w:rFonts w:hint="eastAsia" w:ascii="宋体" w:hAnsi="宋体" w:eastAsia="宋体" w:cs="宋体"/>
                <w:b w:val="0"/>
                <w:bCs w:val="0"/>
                <w:color w:val="auto"/>
                <w:sz w:val="24"/>
                <w:szCs w:val="24"/>
                <w:lang w:eastAsia="zh-CN"/>
              </w:rPr>
              <w:t>有相关工作经验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vertAlign w:val="baseline"/>
                <w:lang w:val="en-US" w:eastAsia="zh-CN"/>
              </w:rPr>
            </w:pPr>
            <w:r>
              <w:rPr>
                <w:rFonts w:hint="eastAsia" w:ascii="宋体" w:hAnsi="宋体" w:cs="宋体"/>
                <w:b w:val="0"/>
                <w:color w:val="auto"/>
                <w:kern w:val="0"/>
                <w:sz w:val="24"/>
                <w:szCs w:val="24"/>
                <w:vertAlign w:val="baseline"/>
                <w:lang w:val="en-US" w:eastAsia="zh-CN"/>
              </w:rPr>
              <w:t>9</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vertAlign w:val="baseline"/>
              </w:rPr>
            </w:pPr>
            <w:r>
              <w:rPr>
                <w:rFonts w:hint="eastAsia" w:ascii="宋体" w:hAnsi="宋体" w:eastAsia="宋体" w:cs="宋体"/>
                <w:b w:val="0"/>
                <w:bCs w:val="0"/>
                <w:color w:val="auto"/>
                <w:sz w:val="24"/>
                <w:szCs w:val="24"/>
              </w:rPr>
              <w:t>保洁</w:t>
            </w:r>
            <w:r>
              <w:rPr>
                <w:rFonts w:hint="eastAsia" w:ascii="宋体" w:hAnsi="宋体" w:eastAsia="宋体" w:cs="宋体"/>
                <w:b w:val="0"/>
                <w:bCs w:val="0"/>
                <w:color w:val="auto"/>
                <w:sz w:val="24"/>
                <w:szCs w:val="24"/>
                <w:lang w:eastAsia="zh-CN"/>
              </w:rPr>
              <w:t>主管</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highlight w:val="none"/>
                <w:vertAlign w:val="baseline"/>
                <w:lang w:val="en-US" w:eastAsia="zh-CN"/>
              </w:rPr>
            </w:pPr>
            <w:r>
              <w:rPr>
                <w:rFonts w:hint="eastAsia" w:ascii="宋体" w:hAnsi="宋体" w:cs="宋体"/>
                <w:b w:val="0"/>
                <w:color w:val="auto"/>
                <w:kern w:val="0"/>
                <w:sz w:val="24"/>
                <w:szCs w:val="24"/>
                <w:highlight w:val="none"/>
                <w:vertAlign w:val="baseline"/>
                <w:lang w:val="en-US" w:eastAsia="zh-CN"/>
              </w:rPr>
              <w:t>1</w:t>
            </w:r>
          </w:p>
        </w:tc>
        <w:tc>
          <w:tcPr>
            <w:tcW w:w="52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color w:val="auto"/>
                <w:kern w:val="0"/>
                <w:sz w:val="24"/>
                <w:szCs w:val="24"/>
                <w:vertAlign w:val="baseline"/>
              </w:rPr>
            </w:pPr>
            <w:r>
              <w:rPr>
                <w:rFonts w:hint="eastAsia" w:ascii="宋体" w:hAnsi="宋体" w:eastAsia="宋体" w:cs="宋体"/>
                <w:b w:val="0"/>
                <w:bCs w:val="0"/>
                <w:color w:val="auto"/>
                <w:sz w:val="24"/>
                <w:szCs w:val="24"/>
              </w:rPr>
              <w:t>熟练掌握基本商务礼仪及规范礼仪用语，能吃苦耐劳及较强的服务意识。有</w:t>
            </w:r>
            <w:r>
              <w:rPr>
                <w:rFonts w:hint="eastAsia" w:ascii="宋体" w:hAnsi="宋体" w:eastAsia="宋体" w:cs="宋体"/>
                <w:b w:val="0"/>
                <w:bCs w:val="0"/>
                <w:color w:val="auto"/>
                <w:sz w:val="24"/>
                <w:szCs w:val="24"/>
                <w:lang w:eastAsia="zh-CN"/>
              </w:rPr>
              <w:t>丰富的相关</w:t>
            </w:r>
            <w:r>
              <w:rPr>
                <w:rFonts w:hint="eastAsia" w:ascii="宋体" w:hAnsi="宋体" w:eastAsia="宋体" w:cs="宋体"/>
                <w:b w:val="0"/>
                <w:bCs w:val="0"/>
                <w:color w:val="auto"/>
                <w:sz w:val="24"/>
                <w:szCs w:val="24"/>
              </w:rPr>
              <w:t>经验</w:t>
            </w:r>
            <w:r>
              <w:rPr>
                <w:rFonts w:hint="eastAsia" w:ascii="宋体" w:hAnsi="宋体" w:eastAsia="宋体" w:cs="宋体"/>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b w:val="0"/>
                <w:color w:val="auto"/>
                <w:kern w:val="0"/>
                <w:sz w:val="24"/>
                <w:szCs w:val="24"/>
                <w:vertAlign w:val="baseline"/>
                <w:lang w:val="en-US" w:eastAsia="zh-CN"/>
              </w:rPr>
            </w:pPr>
            <w:r>
              <w:rPr>
                <w:rFonts w:hint="eastAsia" w:ascii="宋体" w:hAnsi="宋体" w:cs="宋体"/>
                <w:b w:val="0"/>
                <w:color w:val="auto"/>
                <w:kern w:val="0"/>
                <w:sz w:val="24"/>
                <w:szCs w:val="24"/>
                <w:vertAlign w:val="baseline"/>
                <w:lang w:val="en-US" w:eastAsia="zh-CN"/>
              </w:rPr>
              <w:t>10</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vertAlign w:val="baseline"/>
              </w:rPr>
            </w:pPr>
            <w:r>
              <w:rPr>
                <w:rFonts w:hint="eastAsia" w:ascii="宋体" w:hAnsi="宋体" w:eastAsia="宋体" w:cs="宋体"/>
                <w:b w:val="0"/>
                <w:bCs w:val="0"/>
                <w:color w:val="auto"/>
                <w:sz w:val="24"/>
                <w:szCs w:val="24"/>
              </w:rPr>
              <w:t>保洁</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b w:val="0"/>
                <w:color w:val="auto"/>
                <w:kern w:val="0"/>
                <w:sz w:val="24"/>
                <w:szCs w:val="24"/>
                <w:highlight w:val="none"/>
                <w:vertAlign w:val="baseline"/>
                <w:lang w:val="en-US" w:eastAsia="zh-CN"/>
              </w:rPr>
            </w:pPr>
            <w:r>
              <w:rPr>
                <w:rFonts w:hint="eastAsia" w:ascii="宋体" w:hAnsi="宋体" w:cs="宋体"/>
                <w:b w:val="0"/>
                <w:bCs w:val="0"/>
                <w:color w:val="auto"/>
                <w:sz w:val="24"/>
                <w:szCs w:val="24"/>
                <w:highlight w:val="none"/>
                <w:lang w:val="en-US" w:eastAsia="zh-CN"/>
              </w:rPr>
              <w:t>22</w:t>
            </w:r>
          </w:p>
        </w:tc>
        <w:tc>
          <w:tcPr>
            <w:tcW w:w="52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color w:val="auto"/>
                <w:kern w:val="0"/>
                <w:sz w:val="24"/>
                <w:szCs w:val="24"/>
                <w:vertAlign w:val="baseline"/>
              </w:rPr>
            </w:pPr>
            <w:r>
              <w:rPr>
                <w:rFonts w:hint="eastAsia" w:ascii="宋体" w:hAnsi="宋体" w:eastAsia="宋体" w:cs="宋体"/>
                <w:b w:val="0"/>
                <w:bCs w:val="0"/>
                <w:sz w:val="24"/>
                <w:szCs w:val="24"/>
              </w:rPr>
              <w:t>40-55岁，熟练掌握基本商务礼仪及规范礼仪用语，能吃苦耐劳及较强的服务意识。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5" w:type="dxa"/>
            <w:gridSpan w:val="2"/>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eastAsia="zh-CN"/>
              </w:rPr>
              <w:t>合计</w:t>
            </w:r>
          </w:p>
        </w:tc>
        <w:tc>
          <w:tcPr>
            <w:tcW w:w="1005" w:type="dxa"/>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63</w:t>
            </w:r>
          </w:p>
        </w:tc>
        <w:tc>
          <w:tcPr>
            <w:tcW w:w="52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0" w:type="dxa"/>
            <w:gridSpan w:val="4"/>
          </w:tcPr>
          <w:p>
            <w:pPr>
              <w:snapToGrid w:val="0"/>
              <w:spacing w:line="360" w:lineRule="auto"/>
              <w:rPr>
                <w:rFonts w:ascii="宋体" w:hAnsi="宋体"/>
                <w:b w:val="0"/>
                <w:bCs/>
                <w:sz w:val="24"/>
                <w:szCs w:val="24"/>
              </w:rPr>
            </w:pPr>
            <w:r>
              <w:rPr>
                <w:rFonts w:hint="eastAsia" w:ascii="宋体" w:hAnsi="宋体"/>
                <w:b w:val="0"/>
                <w:bCs/>
                <w:sz w:val="24"/>
                <w:szCs w:val="24"/>
              </w:rPr>
              <w:t>说明：</w:t>
            </w:r>
          </w:p>
          <w:p>
            <w:pPr>
              <w:rPr>
                <w:rFonts w:ascii="宋体" w:hAnsi="宋体"/>
                <w:b w:val="0"/>
                <w:bCs/>
                <w:sz w:val="24"/>
                <w:szCs w:val="24"/>
              </w:rPr>
            </w:pPr>
            <w:r>
              <w:rPr>
                <w:rFonts w:hint="eastAsia" w:ascii="宋体" w:hAnsi="宋体"/>
                <w:b w:val="0"/>
                <w:bCs/>
                <w:sz w:val="24"/>
                <w:szCs w:val="24"/>
              </w:rPr>
              <w:t>1、</w:t>
            </w:r>
            <w:r>
              <w:rPr>
                <w:rFonts w:hint="eastAsia" w:ascii="宋体" w:hAnsi="宋体"/>
                <w:b w:val="0"/>
                <w:bCs/>
                <w:sz w:val="24"/>
                <w:szCs w:val="24"/>
                <w:lang w:eastAsia="zh-CN"/>
              </w:rPr>
              <w:t>本项目</w:t>
            </w:r>
            <w:r>
              <w:rPr>
                <w:rFonts w:hint="eastAsia"/>
                <w:sz w:val="24"/>
                <w:szCs w:val="22"/>
                <w:lang w:val="en-US" w:eastAsia="zh-CN"/>
              </w:rPr>
              <w:t>按照一级(A级)服务标准配备，</w:t>
            </w:r>
            <w:r>
              <w:rPr>
                <w:rFonts w:hint="eastAsia" w:ascii="宋体" w:hAnsi="宋体"/>
                <w:b w:val="0"/>
                <w:bCs/>
                <w:sz w:val="24"/>
                <w:szCs w:val="24"/>
              </w:rPr>
              <w:t>要求配备物业管理人员不得</w:t>
            </w:r>
            <w:r>
              <w:rPr>
                <w:rFonts w:hint="eastAsia" w:ascii="宋体" w:hAnsi="宋体"/>
                <w:b w:val="0"/>
                <w:bCs/>
                <w:sz w:val="24"/>
                <w:szCs w:val="24"/>
                <w:highlight w:val="none"/>
              </w:rPr>
              <w:t>少于</w:t>
            </w:r>
            <w:r>
              <w:rPr>
                <w:rFonts w:hint="eastAsia" w:ascii="宋体" w:hAnsi="宋体"/>
                <w:b w:val="0"/>
                <w:bCs/>
                <w:sz w:val="24"/>
                <w:szCs w:val="24"/>
                <w:highlight w:val="none"/>
                <w:lang w:val="en-US" w:eastAsia="zh-CN"/>
              </w:rPr>
              <w:t xml:space="preserve"> </w:t>
            </w:r>
            <w:r>
              <w:rPr>
                <w:rFonts w:hint="eastAsia" w:ascii="宋体" w:hAnsi="宋体"/>
                <w:b w:val="0"/>
                <w:bCs/>
                <w:sz w:val="24"/>
                <w:szCs w:val="24"/>
                <w:highlight w:val="none"/>
                <w:u w:val="single"/>
                <w:lang w:val="en-US" w:eastAsia="zh-CN"/>
              </w:rPr>
              <w:t xml:space="preserve"> 63 </w:t>
            </w:r>
            <w:r>
              <w:rPr>
                <w:rFonts w:hint="eastAsia" w:ascii="宋体" w:hAnsi="宋体"/>
                <w:b w:val="0"/>
                <w:bCs/>
                <w:sz w:val="24"/>
                <w:szCs w:val="24"/>
                <w:highlight w:val="none"/>
              </w:rPr>
              <w:t>名。</w:t>
            </w:r>
          </w:p>
          <w:p>
            <w:pPr>
              <w:snapToGrid w:val="0"/>
              <w:spacing w:line="360" w:lineRule="auto"/>
              <w:jc w:val="left"/>
              <w:rPr>
                <w:rFonts w:ascii="宋体" w:hAnsi="宋体"/>
                <w:b w:val="0"/>
                <w:bCs/>
                <w:sz w:val="24"/>
                <w:szCs w:val="24"/>
              </w:rPr>
            </w:pPr>
            <w:r>
              <w:rPr>
                <w:rFonts w:hint="eastAsia" w:ascii="宋体" w:hAnsi="宋体"/>
                <w:b w:val="0"/>
                <w:bCs/>
                <w:sz w:val="24"/>
                <w:szCs w:val="24"/>
              </w:rPr>
              <w:t>2、以上物业服务定岗编制人工成本支出由中标物业公司自行承担，且所有人员工资不得低于霍山县最低工资标准。</w:t>
            </w:r>
          </w:p>
          <w:p>
            <w:pPr>
              <w:snapToGrid w:val="0"/>
              <w:spacing w:line="360" w:lineRule="auto"/>
              <w:rPr>
                <w:rFonts w:ascii="宋体" w:hAnsi="宋体"/>
                <w:b w:val="0"/>
                <w:bCs/>
                <w:color w:val="auto"/>
                <w:sz w:val="24"/>
                <w:szCs w:val="24"/>
              </w:rPr>
            </w:pPr>
            <w:r>
              <w:rPr>
                <w:rFonts w:hint="eastAsia" w:ascii="宋体" w:hAnsi="宋体"/>
                <w:b w:val="0"/>
                <w:bCs/>
                <w:color w:val="auto"/>
                <w:sz w:val="24"/>
                <w:szCs w:val="24"/>
              </w:rPr>
              <w:t>3、本项目开办费、前期介入费由成交方自行承担。</w:t>
            </w:r>
          </w:p>
          <w:p>
            <w:pPr>
              <w:pStyle w:val="10"/>
              <w:ind w:left="10" w:leftChars="0" w:hanging="10"/>
              <w:jc w:val="left"/>
              <w:rPr>
                <w:rFonts w:hint="eastAsia" w:ascii="宋体" w:hAnsi="宋体" w:eastAsia="宋体" w:cs="宋体"/>
                <w:b w:val="0"/>
                <w:color w:val="auto"/>
                <w:kern w:val="0"/>
                <w:sz w:val="24"/>
                <w:szCs w:val="24"/>
                <w:vertAlign w:val="baseline"/>
              </w:rPr>
            </w:pPr>
            <w:r>
              <w:rPr>
                <w:rFonts w:hint="eastAsia" w:ascii="宋体" w:hAnsi="宋体"/>
                <w:b w:val="0"/>
                <w:bCs/>
                <w:sz w:val="24"/>
                <w:szCs w:val="24"/>
              </w:rPr>
              <w:t>4、中标后，团队人员配置必须通过</w:t>
            </w:r>
            <w:r>
              <w:rPr>
                <w:rFonts w:hint="eastAsia" w:ascii="宋体" w:hAnsi="宋体"/>
                <w:b w:val="0"/>
                <w:bCs/>
                <w:sz w:val="24"/>
                <w:szCs w:val="24"/>
                <w:lang w:eastAsia="zh-CN"/>
              </w:rPr>
              <w:t>采购</w:t>
            </w:r>
            <w:r>
              <w:rPr>
                <w:rFonts w:hint="eastAsia" w:ascii="宋体" w:hAnsi="宋体"/>
                <w:b w:val="0"/>
                <w:bCs/>
                <w:sz w:val="24"/>
                <w:szCs w:val="24"/>
              </w:rPr>
              <w:t>人审核后方可签订合同，不符合要求取消其</w:t>
            </w:r>
            <w:r>
              <w:rPr>
                <w:rFonts w:hint="eastAsia" w:ascii="宋体" w:hAnsi="宋体"/>
                <w:b w:val="0"/>
                <w:bCs/>
                <w:sz w:val="24"/>
                <w:szCs w:val="24"/>
                <w:lang w:eastAsia="zh-CN"/>
              </w:rPr>
              <w:t>承包</w:t>
            </w:r>
            <w:r>
              <w:rPr>
                <w:rFonts w:hint="eastAsia" w:ascii="宋体" w:hAnsi="宋体"/>
                <w:b w:val="0"/>
                <w:bCs/>
                <w:sz w:val="24"/>
                <w:szCs w:val="24"/>
              </w:rPr>
              <w:t>资格。</w:t>
            </w:r>
          </w:p>
        </w:tc>
      </w:tr>
    </w:tbl>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bCs w:val="0"/>
          <w:sz w:val="24"/>
          <w:szCs w:val="24"/>
          <w:lang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b/>
          <w:bCs w:val="0"/>
          <w:sz w:val="24"/>
          <w:szCs w:val="24"/>
          <w:lang w:eastAsia="zh-CN"/>
        </w:rPr>
      </w:pPr>
      <w:r>
        <w:rPr>
          <w:rFonts w:hint="eastAsia" w:ascii="宋体" w:hAnsi="宋体"/>
          <w:b/>
          <w:bCs w:val="0"/>
          <w:sz w:val="24"/>
          <w:szCs w:val="24"/>
          <w:lang w:eastAsia="zh-CN"/>
        </w:rPr>
        <w:t>分项内容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宋体" w:hAnsi="宋体"/>
          <w:b/>
          <w:bCs w:val="0"/>
          <w:sz w:val="24"/>
          <w:szCs w:val="24"/>
          <w:lang w:eastAsia="zh-CN"/>
        </w:rPr>
      </w:pPr>
    </w:p>
    <w:tbl>
      <w:tblPr>
        <w:tblStyle w:val="37"/>
        <w:tblW w:w="8790"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50"/>
        <w:gridCol w:w="2145"/>
        <w:gridCol w:w="195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restart"/>
            <w:noWrap w:val="0"/>
            <w:vAlign w:val="center"/>
          </w:tcPr>
          <w:p>
            <w:pPr>
              <w:widowControl/>
              <w:numPr>
                <w:ilvl w:val="0"/>
                <w:numId w:val="0"/>
              </w:numPr>
              <w:spacing w:line="440" w:lineRule="exact"/>
              <w:jc w:val="center"/>
              <w:rPr>
                <w:rFonts w:hint="eastAsia" w:ascii="宋体" w:hAnsi="宋体" w:eastAsia="宋体" w:cs="宋体"/>
                <w:b w:val="0"/>
                <w:kern w:val="0"/>
                <w:sz w:val="24"/>
                <w:szCs w:val="24"/>
                <w:highlight w:val="none"/>
                <w:vertAlign w:val="baseline"/>
                <w:lang w:eastAsia="zh-CN"/>
              </w:rPr>
            </w:pPr>
            <w:r>
              <w:rPr>
                <w:rFonts w:hint="eastAsia" w:ascii="宋体" w:hAnsi="宋体" w:cs="宋体"/>
                <w:b w:val="0"/>
                <w:kern w:val="0"/>
                <w:sz w:val="24"/>
                <w:szCs w:val="24"/>
                <w:highlight w:val="none"/>
                <w:vertAlign w:val="baseline"/>
                <w:lang w:eastAsia="zh-CN"/>
              </w:rPr>
              <w:t>序号</w:t>
            </w:r>
          </w:p>
        </w:tc>
        <w:tc>
          <w:tcPr>
            <w:tcW w:w="1650" w:type="dxa"/>
            <w:vMerge w:val="restart"/>
            <w:noWrap w:val="0"/>
            <w:vAlign w:val="center"/>
          </w:tcPr>
          <w:p>
            <w:pPr>
              <w:widowControl/>
              <w:numPr>
                <w:ilvl w:val="0"/>
                <w:numId w:val="0"/>
              </w:numPr>
              <w:spacing w:line="440" w:lineRule="exact"/>
              <w:jc w:val="center"/>
              <w:rPr>
                <w:rFonts w:hint="eastAsia" w:ascii="宋体" w:hAnsi="宋体" w:eastAsia="宋体" w:cs="宋体"/>
                <w:b w:val="0"/>
                <w:kern w:val="0"/>
                <w:sz w:val="24"/>
                <w:szCs w:val="24"/>
                <w:highlight w:val="none"/>
                <w:vertAlign w:val="baseline"/>
                <w:lang w:eastAsia="zh-CN"/>
              </w:rPr>
            </w:pPr>
            <w:r>
              <w:rPr>
                <w:rFonts w:hint="eastAsia" w:ascii="宋体" w:hAnsi="宋体" w:eastAsia="宋体" w:cs="宋体"/>
                <w:b w:val="0"/>
                <w:kern w:val="0"/>
                <w:sz w:val="24"/>
                <w:szCs w:val="24"/>
                <w:highlight w:val="none"/>
                <w:vertAlign w:val="baseline"/>
                <w:lang w:eastAsia="zh-CN"/>
              </w:rPr>
              <w:t>项目名称</w:t>
            </w:r>
          </w:p>
        </w:tc>
        <w:tc>
          <w:tcPr>
            <w:tcW w:w="2145" w:type="dxa"/>
            <w:vMerge w:val="restart"/>
            <w:noWrap w:val="0"/>
            <w:vAlign w:val="center"/>
          </w:tcPr>
          <w:p>
            <w:pPr>
              <w:widowControl/>
              <w:numPr>
                <w:ilvl w:val="0"/>
                <w:numId w:val="0"/>
              </w:numPr>
              <w:spacing w:line="440" w:lineRule="exact"/>
              <w:jc w:val="center"/>
              <w:rPr>
                <w:rFonts w:hint="eastAsia" w:ascii="宋体" w:hAnsi="宋体" w:eastAsia="宋体" w:cs="宋体"/>
                <w:b w:val="0"/>
                <w:kern w:val="0"/>
                <w:sz w:val="24"/>
                <w:szCs w:val="24"/>
                <w:highlight w:val="none"/>
                <w:vertAlign w:val="baseline"/>
                <w:lang w:eastAsia="zh-CN"/>
              </w:rPr>
            </w:pPr>
            <w:r>
              <w:rPr>
                <w:rFonts w:hint="eastAsia" w:ascii="宋体" w:hAnsi="宋体" w:eastAsia="宋体" w:cs="宋体"/>
                <w:b w:val="0"/>
                <w:kern w:val="0"/>
                <w:sz w:val="24"/>
                <w:szCs w:val="24"/>
                <w:highlight w:val="none"/>
                <w:vertAlign w:val="baseline"/>
                <w:lang w:val="en-US" w:eastAsia="zh-CN"/>
              </w:rPr>
              <w:t>面积（㎡）</w:t>
            </w:r>
          </w:p>
        </w:tc>
        <w:tc>
          <w:tcPr>
            <w:tcW w:w="4155" w:type="dxa"/>
            <w:gridSpan w:val="2"/>
            <w:noWrap w:val="0"/>
            <w:vAlign w:val="top"/>
          </w:tcPr>
          <w:p>
            <w:pPr>
              <w:widowControl/>
              <w:numPr>
                <w:ilvl w:val="0"/>
                <w:numId w:val="0"/>
              </w:numPr>
              <w:spacing w:line="440" w:lineRule="exact"/>
              <w:jc w:val="center"/>
              <w:rPr>
                <w:rFonts w:hint="eastAsia" w:ascii="宋体" w:hAnsi="宋体" w:eastAsia="宋体" w:cs="宋体"/>
                <w:b w:val="0"/>
                <w:kern w:val="0"/>
                <w:sz w:val="24"/>
                <w:szCs w:val="24"/>
                <w:highlight w:val="none"/>
                <w:vertAlign w:val="baseline"/>
                <w:lang w:eastAsia="zh-CN"/>
              </w:rPr>
            </w:pPr>
            <w:r>
              <w:rPr>
                <w:rFonts w:hint="eastAsia" w:ascii="宋体" w:hAnsi="宋体" w:eastAsia="宋体" w:cs="宋体"/>
                <w:b w:val="0"/>
                <w:kern w:val="0"/>
                <w:sz w:val="24"/>
                <w:szCs w:val="24"/>
                <w:highlight w:val="none"/>
                <w:vertAlign w:val="baseline"/>
                <w:lang w:eastAsia="zh-CN"/>
              </w:rPr>
              <w:t>物业公共服务费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noWrap w:val="0"/>
            <w:vAlign w:val="top"/>
          </w:tcPr>
          <w:p>
            <w:pPr>
              <w:widowControl/>
              <w:numPr>
                <w:ilvl w:val="0"/>
                <w:numId w:val="0"/>
              </w:numPr>
              <w:spacing w:line="440" w:lineRule="exact"/>
              <w:jc w:val="left"/>
              <w:rPr>
                <w:rFonts w:hint="eastAsia" w:ascii="宋体" w:hAnsi="宋体" w:eastAsia="宋体" w:cs="宋体"/>
                <w:b w:val="0"/>
                <w:kern w:val="0"/>
                <w:sz w:val="24"/>
                <w:szCs w:val="24"/>
                <w:highlight w:val="none"/>
                <w:vertAlign w:val="baseline"/>
              </w:rPr>
            </w:pPr>
          </w:p>
        </w:tc>
        <w:tc>
          <w:tcPr>
            <w:tcW w:w="1650" w:type="dxa"/>
            <w:vMerge w:val="continue"/>
            <w:noWrap w:val="0"/>
            <w:vAlign w:val="top"/>
          </w:tcPr>
          <w:p>
            <w:pPr>
              <w:widowControl/>
              <w:numPr>
                <w:ilvl w:val="0"/>
                <w:numId w:val="0"/>
              </w:numPr>
              <w:spacing w:line="440" w:lineRule="exact"/>
              <w:jc w:val="left"/>
              <w:rPr>
                <w:rFonts w:hint="eastAsia" w:ascii="宋体" w:hAnsi="宋体" w:eastAsia="宋体" w:cs="宋体"/>
                <w:b w:val="0"/>
                <w:kern w:val="0"/>
                <w:sz w:val="24"/>
                <w:szCs w:val="24"/>
                <w:highlight w:val="none"/>
                <w:vertAlign w:val="baseline"/>
              </w:rPr>
            </w:pPr>
          </w:p>
        </w:tc>
        <w:tc>
          <w:tcPr>
            <w:tcW w:w="2145" w:type="dxa"/>
            <w:vMerge w:val="continue"/>
            <w:noWrap w:val="0"/>
            <w:vAlign w:val="top"/>
          </w:tcPr>
          <w:p>
            <w:pPr>
              <w:widowControl/>
              <w:numPr>
                <w:ilvl w:val="0"/>
                <w:numId w:val="0"/>
              </w:numPr>
              <w:spacing w:line="440" w:lineRule="exact"/>
              <w:jc w:val="left"/>
              <w:rPr>
                <w:rFonts w:hint="eastAsia" w:ascii="宋体" w:hAnsi="宋体" w:eastAsia="宋体" w:cs="宋体"/>
                <w:b w:val="0"/>
                <w:kern w:val="0"/>
                <w:sz w:val="24"/>
                <w:szCs w:val="24"/>
                <w:highlight w:val="none"/>
                <w:vertAlign w:val="baseline"/>
              </w:rPr>
            </w:pPr>
          </w:p>
        </w:tc>
        <w:tc>
          <w:tcPr>
            <w:tcW w:w="1950" w:type="dxa"/>
            <w:noWrap w:val="0"/>
            <w:vAlign w:val="top"/>
          </w:tcPr>
          <w:p>
            <w:pPr>
              <w:widowControl/>
              <w:numPr>
                <w:ilvl w:val="0"/>
                <w:numId w:val="0"/>
              </w:numPr>
              <w:spacing w:line="440" w:lineRule="exact"/>
              <w:jc w:val="center"/>
              <w:rPr>
                <w:rFonts w:hint="eastAsia" w:ascii="宋体" w:hAnsi="宋体" w:eastAsia="宋体" w:cs="宋体"/>
                <w:b w:val="0"/>
                <w:kern w:val="0"/>
                <w:sz w:val="24"/>
                <w:szCs w:val="24"/>
                <w:highlight w:val="none"/>
                <w:vertAlign w:val="baseline"/>
                <w:lang w:eastAsia="zh-CN"/>
              </w:rPr>
            </w:pPr>
            <w:r>
              <w:rPr>
                <w:rFonts w:hint="eastAsia" w:ascii="宋体" w:hAnsi="宋体" w:eastAsia="宋体" w:cs="宋体"/>
                <w:b w:val="0"/>
                <w:kern w:val="0"/>
                <w:sz w:val="24"/>
                <w:szCs w:val="24"/>
                <w:highlight w:val="none"/>
                <w:vertAlign w:val="baseline"/>
                <w:lang w:eastAsia="zh-CN"/>
              </w:rPr>
              <w:t>单价上限</w:t>
            </w:r>
            <w:r>
              <w:rPr>
                <w:rFonts w:hint="eastAsia" w:ascii="宋体" w:hAnsi="宋体" w:eastAsia="宋体" w:cs="宋体"/>
                <w:b w:val="0"/>
                <w:kern w:val="0"/>
                <w:sz w:val="24"/>
                <w:szCs w:val="24"/>
                <w:highlight w:val="none"/>
                <w:lang w:eastAsia="zh-CN"/>
              </w:rPr>
              <w:t>值</w:t>
            </w:r>
            <w:r>
              <w:rPr>
                <w:rFonts w:hint="eastAsia" w:ascii="宋体" w:hAnsi="宋体" w:eastAsia="宋体" w:cs="宋体"/>
                <w:b w:val="0"/>
                <w:kern w:val="0"/>
                <w:sz w:val="24"/>
                <w:szCs w:val="24"/>
                <w:highlight w:val="none"/>
                <w:vertAlign w:val="baseline"/>
                <w:lang w:eastAsia="zh-CN"/>
              </w:rPr>
              <w:t>（元/㎡/月）</w:t>
            </w:r>
          </w:p>
        </w:tc>
        <w:tc>
          <w:tcPr>
            <w:tcW w:w="2205" w:type="dxa"/>
            <w:noWrap w:val="0"/>
            <w:vAlign w:val="top"/>
          </w:tcPr>
          <w:p>
            <w:pPr>
              <w:widowControl/>
              <w:numPr>
                <w:ilvl w:val="0"/>
                <w:numId w:val="0"/>
              </w:numPr>
              <w:spacing w:line="440" w:lineRule="exact"/>
              <w:jc w:val="center"/>
              <w:rPr>
                <w:rFonts w:hint="eastAsia" w:ascii="宋体" w:hAnsi="宋体" w:eastAsia="宋体" w:cs="宋体"/>
                <w:b w:val="0"/>
                <w:kern w:val="0"/>
                <w:sz w:val="24"/>
                <w:szCs w:val="24"/>
                <w:highlight w:val="none"/>
                <w:vertAlign w:val="baseline"/>
                <w:lang w:eastAsia="zh-CN"/>
              </w:rPr>
            </w:pPr>
            <w:r>
              <w:rPr>
                <w:rFonts w:hint="eastAsia" w:ascii="宋体" w:hAnsi="宋体" w:eastAsia="宋体" w:cs="宋体"/>
                <w:b w:val="0"/>
                <w:kern w:val="0"/>
                <w:sz w:val="24"/>
                <w:szCs w:val="24"/>
                <w:highlight w:val="none"/>
                <w:vertAlign w:val="baseline"/>
                <w:lang w:eastAsia="zh-CN"/>
              </w:rPr>
              <w:t>单价下限</w:t>
            </w:r>
            <w:r>
              <w:rPr>
                <w:rFonts w:hint="eastAsia" w:ascii="宋体" w:hAnsi="宋体" w:eastAsia="宋体" w:cs="宋体"/>
                <w:b w:val="0"/>
                <w:kern w:val="0"/>
                <w:sz w:val="24"/>
                <w:szCs w:val="24"/>
                <w:highlight w:val="none"/>
                <w:lang w:eastAsia="zh-CN"/>
              </w:rPr>
              <w:t>值</w:t>
            </w:r>
            <w:r>
              <w:rPr>
                <w:rFonts w:hint="eastAsia" w:ascii="宋体" w:hAnsi="宋体" w:eastAsia="宋体" w:cs="宋体"/>
                <w:b w:val="0"/>
                <w:kern w:val="0"/>
                <w:sz w:val="24"/>
                <w:szCs w:val="24"/>
                <w:highlight w:val="none"/>
                <w:vertAlign w:val="baseline"/>
                <w:lang w:eastAsia="zh-CN"/>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40" w:type="dxa"/>
            <w:noWrap w:val="0"/>
            <w:vAlign w:val="center"/>
          </w:tcPr>
          <w:p>
            <w:pPr>
              <w:widowControl/>
              <w:numPr>
                <w:ilvl w:val="0"/>
                <w:numId w:val="0"/>
              </w:numPr>
              <w:spacing w:line="440" w:lineRule="exact"/>
              <w:jc w:val="center"/>
              <w:rPr>
                <w:rFonts w:hint="default" w:ascii="宋体" w:hAnsi="宋体" w:eastAsia="宋体" w:cs="宋体"/>
                <w:b w:val="0"/>
                <w:kern w:val="0"/>
                <w:sz w:val="24"/>
                <w:szCs w:val="24"/>
                <w:highlight w:val="none"/>
                <w:vertAlign w:val="baseline"/>
                <w:lang w:val="en-US" w:eastAsia="zh-CN"/>
              </w:rPr>
            </w:pPr>
            <w:r>
              <w:rPr>
                <w:rFonts w:hint="eastAsia" w:ascii="宋体" w:hAnsi="宋体" w:cs="宋体"/>
                <w:b w:val="0"/>
                <w:kern w:val="0"/>
                <w:sz w:val="24"/>
                <w:szCs w:val="24"/>
                <w:highlight w:val="none"/>
                <w:vertAlign w:val="baseline"/>
                <w:lang w:val="en-US" w:eastAsia="zh-CN"/>
              </w:rPr>
              <w:t>1</w:t>
            </w:r>
          </w:p>
        </w:tc>
        <w:tc>
          <w:tcPr>
            <w:tcW w:w="1650" w:type="dxa"/>
            <w:noWrap w:val="0"/>
            <w:vAlign w:val="center"/>
          </w:tcPr>
          <w:p>
            <w:pPr>
              <w:keepNext w:val="0"/>
              <w:keepLines w:val="0"/>
              <w:widowControl/>
              <w:suppressLineNumbers w:val="0"/>
              <w:jc w:val="center"/>
              <w:textAlignment w:val="center"/>
              <w:rPr>
                <w:rFonts w:hint="eastAsia" w:ascii="宋体" w:hAnsi="宋体" w:cs="宋体"/>
                <w:b w:val="0"/>
                <w:kern w:val="0"/>
                <w:sz w:val="24"/>
                <w:szCs w:val="24"/>
                <w:highlight w:val="none"/>
                <w:vertAlign w:val="baseline"/>
                <w:lang w:eastAsia="zh-CN"/>
              </w:rPr>
            </w:pPr>
            <w:r>
              <w:rPr>
                <w:rFonts w:hint="eastAsia" w:ascii="宋体" w:hAnsi="宋体" w:eastAsia="宋体" w:cs="宋体"/>
                <w:i w:val="0"/>
                <w:iCs w:val="0"/>
                <w:color w:val="000000"/>
                <w:kern w:val="0"/>
                <w:sz w:val="24"/>
                <w:szCs w:val="24"/>
                <w:highlight w:val="none"/>
                <w:u w:val="none"/>
                <w:lang w:val="en-US" w:eastAsia="zh-CN" w:bidi="ar"/>
              </w:rPr>
              <w:t>高  层</w:t>
            </w:r>
          </w:p>
        </w:tc>
        <w:tc>
          <w:tcPr>
            <w:tcW w:w="2145" w:type="dxa"/>
            <w:noWrap w:val="0"/>
            <w:vAlign w:val="center"/>
          </w:tcPr>
          <w:p>
            <w:pPr>
              <w:keepNext w:val="0"/>
              <w:keepLines w:val="0"/>
              <w:widowControl/>
              <w:suppressLineNumbers w:val="0"/>
              <w:jc w:val="center"/>
              <w:textAlignment w:val="center"/>
              <w:rPr>
                <w:rFonts w:hint="eastAsia" w:ascii="宋体" w:hAnsi="宋体" w:cs="宋体"/>
                <w:b w:val="0"/>
                <w:kern w:val="0"/>
                <w:sz w:val="24"/>
                <w:szCs w:val="24"/>
                <w:highlight w:val="none"/>
                <w:vertAlign w:val="baseline"/>
                <w:lang w:eastAsia="zh-CN"/>
              </w:rPr>
            </w:pPr>
            <w:r>
              <w:rPr>
                <w:rFonts w:hint="eastAsia" w:ascii="宋体" w:hAnsi="宋体" w:eastAsia="宋体" w:cs="宋体"/>
                <w:i w:val="0"/>
                <w:iCs w:val="0"/>
                <w:color w:val="000000"/>
                <w:kern w:val="0"/>
                <w:sz w:val="24"/>
                <w:szCs w:val="24"/>
                <w:highlight w:val="none"/>
                <w:u w:val="none"/>
                <w:lang w:val="en-US" w:eastAsia="zh-CN" w:bidi="ar"/>
              </w:rPr>
              <w:t>110400.54</w:t>
            </w:r>
          </w:p>
        </w:tc>
        <w:tc>
          <w:tcPr>
            <w:tcW w:w="1950" w:type="dxa"/>
            <w:noWrap w:val="0"/>
            <w:vAlign w:val="center"/>
          </w:tcPr>
          <w:p>
            <w:pPr>
              <w:widowControl/>
              <w:numPr>
                <w:ilvl w:val="0"/>
                <w:numId w:val="0"/>
              </w:numPr>
              <w:spacing w:line="440" w:lineRule="exact"/>
              <w:jc w:val="center"/>
              <w:rPr>
                <w:rFonts w:hint="default" w:ascii="宋体" w:hAnsi="宋体" w:cs="宋体"/>
                <w:b w:val="0"/>
                <w:kern w:val="0"/>
                <w:sz w:val="24"/>
                <w:szCs w:val="24"/>
                <w:highlight w:val="none"/>
                <w:vertAlign w:val="baseline"/>
                <w:lang w:val="en-US" w:eastAsia="zh-CN"/>
              </w:rPr>
            </w:pPr>
            <w:r>
              <w:rPr>
                <w:rFonts w:hint="eastAsia" w:ascii="宋体" w:hAnsi="宋体" w:cs="宋体"/>
                <w:b w:val="0"/>
                <w:kern w:val="0"/>
                <w:sz w:val="24"/>
                <w:szCs w:val="24"/>
                <w:highlight w:val="none"/>
                <w:vertAlign w:val="baseline"/>
                <w:lang w:val="en-US" w:eastAsia="zh-CN"/>
              </w:rPr>
              <w:t>1</w:t>
            </w:r>
          </w:p>
        </w:tc>
        <w:tc>
          <w:tcPr>
            <w:tcW w:w="2205" w:type="dxa"/>
            <w:noWrap w:val="0"/>
            <w:vAlign w:val="center"/>
          </w:tcPr>
          <w:p>
            <w:pPr>
              <w:widowControl/>
              <w:numPr>
                <w:ilvl w:val="0"/>
                <w:numId w:val="0"/>
              </w:numPr>
              <w:spacing w:line="440" w:lineRule="exact"/>
              <w:jc w:val="center"/>
              <w:rPr>
                <w:rFonts w:hint="default" w:ascii="宋体" w:hAnsi="宋体" w:cs="宋体"/>
                <w:b w:val="0"/>
                <w:kern w:val="0"/>
                <w:sz w:val="24"/>
                <w:szCs w:val="24"/>
                <w:highlight w:val="none"/>
                <w:vertAlign w:val="baseline"/>
                <w:lang w:val="en-US" w:eastAsia="zh-CN"/>
              </w:rPr>
            </w:pPr>
            <w:r>
              <w:rPr>
                <w:rFonts w:hint="eastAsia" w:ascii="宋体" w:hAnsi="宋体" w:cs="宋体"/>
                <w:b w:val="0"/>
                <w:kern w:val="0"/>
                <w:sz w:val="24"/>
                <w:szCs w:val="24"/>
                <w:highlight w:val="none"/>
                <w:vertAlign w:val="baseline"/>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40" w:type="dxa"/>
            <w:noWrap w:val="0"/>
            <w:vAlign w:val="center"/>
          </w:tcPr>
          <w:p>
            <w:pPr>
              <w:widowControl/>
              <w:numPr>
                <w:ilvl w:val="0"/>
                <w:numId w:val="0"/>
              </w:numPr>
              <w:spacing w:line="440" w:lineRule="exact"/>
              <w:jc w:val="center"/>
              <w:rPr>
                <w:rFonts w:hint="default" w:ascii="宋体" w:hAnsi="宋体" w:eastAsia="宋体" w:cs="宋体"/>
                <w:b w:val="0"/>
                <w:kern w:val="0"/>
                <w:sz w:val="24"/>
                <w:szCs w:val="24"/>
                <w:highlight w:val="none"/>
                <w:vertAlign w:val="baseline"/>
                <w:lang w:val="en-US" w:eastAsia="zh-CN"/>
              </w:rPr>
            </w:pPr>
            <w:r>
              <w:rPr>
                <w:rFonts w:hint="eastAsia" w:ascii="宋体" w:hAnsi="宋体" w:cs="宋体"/>
                <w:b w:val="0"/>
                <w:kern w:val="0"/>
                <w:sz w:val="24"/>
                <w:szCs w:val="24"/>
                <w:highlight w:val="none"/>
                <w:vertAlign w:val="baseline"/>
                <w:lang w:val="en-US" w:eastAsia="zh-CN"/>
              </w:rPr>
              <w:t>2</w:t>
            </w:r>
          </w:p>
        </w:tc>
        <w:tc>
          <w:tcPr>
            <w:tcW w:w="1650" w:type="dxa"/>
            <w:noWrap w:val="0"/>
            <w:vAlign w:val="center"/>
          </w:tcPr>
          <w:p>
            <w:pPr>
              <w:keepNext w:val="0"/>
              <w:keepLines w:val="0"/>
              <w:widowControl/>
              <w:suppressLineNumbers w:val="0"/>
              <w:jc w:val="center"/>
              <w:textAlignment w:val="center"/>
              <w:rPr>
                <w:rFonts w:hint="eastAsia" w:ascii="宋体" w:hAnsi="宋体" w:cs="宋体"/>
                <w:b w:val="0"/>
                <w:kern w:val="0"/>
                <w:sz w:val="24"/>
                <w:szCs w:val="24"/>
                <w:highlight w:val="none"/>
                <w:vertAlign w:val="baseline"/>
                <w:lang w:eastAsia="zh-CN"/>
              </w:rPr>
            </w:pPr>
            <w:r>
              <w:rPr>
                <w:rFonts w:hint="eastAsia" w:ascii="宋体" w:hAnsi="宋体" w:eastAsia="宋体" w:cs="宋体"/>
                <w:i w:val="0"/>
                <w:iCs w:val="0"/>
                <w:color w:val="000000"/>
                <w:kern w:val="0"/>
                <w:sz w:val="24"/>
                <w:szCs w:val="24"/>
                <w:highlight w:val="none"/>
                <w:u w:val="none"/>
                <w:lang w:val="en-US" w:eastAsia="zh-CN" w:bidi="ar"/>
              </w:rPr>
              <w:t>叠  墅</w:t>
            </w:r>
          </w:p>
        </w:tc>
        <w:tc>
          <w:tcPr>
            <w:tcW w:w="2145" w:type="dxa"/>
            <w:noWrap w:val="0"/>
            <w:vAlign w:val="center"/>
          </w:tcPr>
          <w:p>
            <w:pPr>
              <w:keepNext w:val="0"/>
              <w:keepLines w:val="0"/>
              <w:widowControl/>
              <w:suppressLineNumbers w:val="0"/>
              <w:jc w:val="center"/>
              <w:textAlignment w:val="center"/>
              <w:rPr>
                <w:rFonts w:hint="default" w:ascii="宋体" w:hAnsi="宋体" w:cs="宋体"/>
                <w:b w:val="0"/>
                <w:kern w:val="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12291.7</w:t>
            </w:r>
            <w:r>
              <w:rPr>
                <w:rFonts w:hint="eastAsia" w:ascii="宋体" w:hAnsi="宋体" w:cs="宋体"/>
                <w:i w:val="0"/>
                <w:iCs w:val="0"/>
                <w:color w:val="000000"/>
                <w:kern w:val="0"/>
                <w:sz w:val="24"/>
                <w:szCs w:val="24"/>
                <w:highlight w:val="none"/>
                <w:u w:val="none"/>
                <w:lang w:val="en-US" w:eastAsia="zh-CN" w:bidi="ar"/>
              </w:rPr>
              <w:t>0</w:t>
            </w:r>
          </w:p>
        </w:tc>
        <w:tc>
          <w:tcPr>
            <w:tcW w:w="1950" w:type="dxa"/>
            <w:noWrap w:val="0"/>
            <w:vAlign w:val="center"/>
          </w:tcPr>
          <w:p>
            <w:pPr>
              <w:widowControl/>
              <w:numPr>
                <w:ilvl w:val="0"/>
                <w:numId w:val="0"/>
              </w:numPr>
              <w:spacing w:line="440" w:lineRule="exact"/>
              <w:jc w:val="center"/>
              <w:rPr>
                <w:rFonts w:hint="default" w:ascii="宋体" w:hAnsi="宋体" w:cs="宋体"/>
                <w:b w:val="0"/>
                <w:kern w:val="0"/>
                <w:sz w:val="24"/>
                <w:szCs w:val="24"/>
                <w:highlight w:val="none"/>
                <w:vertAlign w:val="baseline"/>
                <w:lang w:val="en-US" w:eastAsia="zh-CN"/>
              </w:rPr>
            </w:pPr>
            <w:r>
              <w:rPr>
                <w:rFonts w:hint="eastAsia" w:ascii="宋体" w:hAnsi="宋体" w:cs="宋体"/>
                <w:b w:val="0"/>
                <w:kern w:val="0"/>
                <w:sz w:val="24"/>
                <w:szCs w:val="24"/>
                <w:highlight w:val="none"/>
                <w:vertAlign w:val="baseline"/>
                <w:lang w:val="en-US" w:eastAsia="zh-CN"/>
              </w:rPr>
              <w:t>1</w:t>
            </w:r>
          </w:p>
        </w:tc>
        <w:tc>
          <w:tcPr>
            <w:tcW w:w="2205" w:type="dxa"/>
            <w:noWrap w:val="0"/>
            <w:vAlign w:val="center"/>
          </w:tcPr>
          <w:p>
            <w:pPr>
              <w:widowControl/>
              <w:numPr>
                <w:ilvl w:val="0"/>
                <w:numId w:val="0"/>
              </w:numPr>
              <w:spacing w:line="440" w:lineRule="exact"/>
              <w:jc w:val="center"/>
              <w:rPr>
                <w:rFonts w:hint="default" w:ascii="宋体" w:hAnsi="宋体" w:cs="宋体"/>
                <w:b w:val="0"/>
                <w:kern w:val="0"/>
                <w:sz w:val="24"/>
                <w:szCs w:val="24"/>
                <w:highlight w:val="none"/>
                <w:vertAlign w:val="baseline"/>
                <w:lang w:val="en-US" w:eastAsia="zh-CN"/>
              </w:rPr>
            </w:pPr>
            <w:r>
              <w:rPr>
                <w:rFonts w:hint="eastAsia" w:ascii="宋体" w:hAnsi="宋体" w:cs="宋体"/>
                <w:b w:val="0"/>
                <w:kern w:val="0"/>
                <w:sz w:val="24"/>
                <w:szCs w:val="24"/>
                <w:highlight w:val="none"/>
                <w:vertAlign w:val="baseline"/>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40" w:type="dxa"/>
            <w:noWrap w:val="0"/>
            <w:vAlign w:val="center"/>
          </w:tcPr>
          <w:p>
            <w:pPr>
              <w:widowControl/>
              <w:numPr>
                <w:ilvl w:val="0"/>
                <w:numId w:val="0"/>
              </w:numPr>
              <w:spacing w:line="440" w:lineRule="exact"/>
              <w:jc w:val="center"/>
              <w:rPr>
                <w:rFonts w:hint="default" w:ascii="宋体" w:hAnsi="宋体" w:cs="宋体"/>
                <w:b w:val="0"/>
                <w:kern w:val="0"/>
                <w:sz w:val="24"/>
                <w:szCs w:val="24"/>
                <w:highlight w:val="none"/>
                <w:vertAlign w:val="baseline"/>
                <w:lang w:val="en-US" w:eastAsia="zh-CN"/>
              </w:rPr>
            </w:pPr>
            <w:r>
              <w:rPr>
                <w:rFonts w:hint="eastAsia" w:ascii="宋体" w:hAnsi="宋体" w:cs="宋体"/>
                <w:b w:val="0"/>
                <w:kern w:val="0"/>
                <w:sz w:val="24"/>
                <w:szCs w:val="24"/>
                <w:highlight w:val="none"/>
                <w:vertAlign w:val="baseline"/>
                <w:lang w:val="en-US" w:eastAsia="zh-CN"/>
              </w:rPr>
              <w:t>3</w:t>
            </w:r>
          </w:p>
        </w:tc>
        <w:tc>
          <w:tcPr>
            <w:tcW w:w="1650" w:type="dxa"/>
            <w:noWrap w:val="0"/>
            <w:vAlign w:val="center"/>
          </w:tcPr>
          <w:p>
            <w:pPr>
              <w:keepNext w:val="0"/>
              <w:keepLines w:val="0"/>
              <w:widowControl/>
              <w:suppressLineNumbers w:val="0"/>
              <w:jc w:val="center"/>
              <w:textAlignment w:val="center"/>
              <w:rPr>
                <w:rFonts w:hint="eastAsia" w:ascii="宋体" w:hAnsi="宋体" w:cs="宋体"/>
                <w:b w:val="0"/>
                <w:kern w:val="0"/>
                <w:sz w:val="24"/>
                <w:szCs w:val="24"/>
                <w:highlight w:val="none"/>
                <w:vertAlign w:val="baseline"/>
                <w:lang w:eastAsia="zh-CN"/>
              </w:rPr>
            </w:pPr>
            <w:r>
              <w:rPr>
                <w:rFonts w:hint="eastAsia" w:ascii="宋体" w:hAnsi="宋体" w:eastAsia="宋体" w:cs="宋体"/>
                <w:i w:val="0"/>
                <w:iCs w:val="0"/>
                <w:color w:val="000000"/>
                <w:kern w:val="0"/>
                <w:sz w:val="24"/>
                <w:szCs w:val="24"/>
                <w:highlight w:val="none"/>
                <w:u w:val="none"/>
                <w:lang w:val="en-US" w:eastAsia="zh-CN" w:bidi="ar"/>
              </w:rPr>
              <w:t>别  墅</w:t>
            </w:r>
          </w:p>
        </w:tc>
        <w:tc>
          <w:tcPr>
            <w:tcW w:w="2145" w:type="dxa"/>
            <w:noWrap w:val="0"/>
            <w:vAlign w:val="center"/>
          </w:tcPr>
          <w:p>
            <w:pPr>
              <w:keepNext w:val="0"/>
              <w:keepLines w:val="0"/>
              <w:widowControl/>
              <w:suppressLineNumbers w:val="0"/>
              <w:jc w:val="center"/>
              <w:textAlignment w:val="center"/>
              <w:rPr>
                <w:rFonts w:hint="eastAsia" w:ascii="宋体" w:hAnsi="宋体" w:cs="宋体"/>
                <w:b w:val="0"/>
                <w:kern w:val="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13129.42</w:t>
            </w:r>
          </w:p>
        </w:tc>
        <w:tc>
          <w:tcPr>
            <w:tcW w:w="1950" w:type="dxa"/>
            <w:noWrap w:val="0"/>
            <w:vAlign w:val="center"/>
          </w:tcPr>
          <w:p>
            <w:pPr>
              <w:widowControl/>
              <w:numPr>
                <w:ilvl w:val="0"/>
                <w:numId w:val="0"/>
              </w:numPr>
              <w:spacing w:line="440" w:lineRule="exact"/>
              <w:jc w:val="center"/>
              <w:rPr>
                <w:rFonts w:hint="default" w:ascii="宋体" w:hAnsi="宋体" w:cs="宋体"/>
                <w:b w:val="0"/>
                <w:kern w:val="0"/>
                <w:sz w:val="24"/>
                <w:szCs w:val="24"/>
                <w:highlight w:val="none"/>
                <w:vertAlign w:val="baseline"/>
                <w:lang w:val="en-US" w:eastAsia="zh-CN"/>
              </w:rPr>
            </w:pPr>
            <w:r>
              <w:rPr>
                <w:rFonts w:hint="eastAsia" w:ascii="宋体" w:hAnsi="宋体" w:cs="宋体"/>
                <w:b w:val="0"/>
                <w:kern w:val="0"/>
                <w:sz w:val="24"/>
                <w:szCs w:val="24"/>
                <w:highlight w:val="none"/>
                <w:vertAlign w:val="baseline"/>
                <w:lang w:val="en-US" w:eastAsia="zh-CN"/>
              </w:rPr>
              <w:t>1.4</w:t>
            </w:r>
          </w:p>
        </w:tc>
        <w:tc>
          <w:tcPr>
            <w:tcW w:w="2205" w:type="dxa"/>
            <w:noWrap w:val="0"/>
            <w:vAlign w:val="center"/>
          </w:tcPr>
          <w:p>
            <w:pPr>
              <w:widowControl/>
              <w:numPr>
                <w:ilvl w:val="0"/>
                <w:numId w:val="0"/>
              </w:numPr>
              <w:spacing w:line="440" w:lineRule="exact"/>
              <w:jc w:val="center"/>
              <w:rPr>
                <w:rFonts w:hint="default" w:ascii="宋体" w:hAnsi="宋体" w:cs="宋体"/>
                <w:b w:val="0"/>
                <w:kern w:val="0"/>
                <w:sz w:val="24"/>
                <w:szCs w:val="24"/>
                <w:highlight w:val="none"/>
                <w:vertAlign w:val="baseline"/>
                <w:lang w:val="en-US" w:eastAsia="zh-CN"/>
              </w:rPr>
            </w:pPr>
            <w:r>
              <w:rPr>
                <w:rFonts w:hint="eastAsia" w:ascii="宋体" w:hAnsi="宋体" w:cs="宋体"/>
                <w:b w:val="0"/>
                <w:kern w:val="0"/>
                <w:sz w:val="24"/>
                <w:szCs w:val="24"/>
                <w:highlight w:val="none"/>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40" w:type="dxa"/>
            <w:noWrap w:val="0"/>
            <w:vAlign w:val="center"/>
          </w:tcPr>
          <w:p>
            <w:pPr>
              <w:widowControl/>
              <w:numPr>
                <w:ilvl w:val="0"/>
                <w:numId w:val="0"/>
              </w:numPr>
              <w:spacing w:line="440" w:lineRule="exact"/>
              <w:jc w:val="center"/>
              <w:rPr>
                <w:rFonts w:hint="default" w:ascii="宋体" w:hAnsi="宋体" w:cs="宋体"/>
                <w:b w:val="0"/>
                <w:kern w:val="0"/>
                <w:sz w:val="24"/>
                <w:szCs w:val="24"/>
                <w:highlight w:val="none"/>
                <w:vertAlign w:val="baseline"/>
                <w:lang w:val="en-US" w:eastAsia="zh-CN"/>
              </w:rPr>
            </w:pPr>
            <w:r>
              <w:rPr>
                <w:rFonts w:hint="eastAsia" w:ascii="宋体" w:hAnsi="宋体" w:cs="宋体"/>
                <w:b w:val="0"/>
                <w:kern w:val="0"/>
                <w:sz w:val="24"/>
                <w:szCs w:val="24"/>
                <w:highlight w:val="none"/>
                <w:vertAlign w:val="baseline"/>
                <w:lang w:val="en-US" w:eastAsia="zh-CN"/>
              </w:rPr>
              <w:t>4</w:t>
            </w:r>
          </w:p>
        </w:tc>
        <w:tc>
          <w:tcPr>
            <w:tcW w:w="1650" w:type="dxa"/>
            <w:noWrap w:val="0"/>
            <w:vAlign w:val="center"/>
          </w:tcPr>
          <w:p>
            <w:pPr>
              <w:keepNext w:val="0"/>
              <w:keepLines w:val="0"/>
              <w:widowControl/>
              <w:suppressLineNumbers w:val="0"/>
              <w:jc w:val="center"/>
              <w:textAlignment w:val="center"/>
              <w:rPr>
                <w:rFonts w:hint="eastAsia" w:ascii="宋体" w:hAnsi="宋体" w:cs="宋体"/>
                <w:b w:val="0"/>
                <w:kern w:val="0"/>
                <w:sz w:val="24"/>
                <w:szCs w:val="24"/>
                <w:highlight w:val="none"/>
                <w:vertAlign w:val="baseline"/>
                <w:lang w:eastAsia="zh-CN"/>
              </w:rPr>
            </w:pPr>
            <w:r>
              <w:rPr>
                <w:rFonts w:hint="eastAsia" w:ascii="宋体" w:hAnsi="宋体" w:eastAsia="宋体" w:cs="宋体"/>
                <w:i w:val="0"/>
                <w:iCs w:val="0"/>
                <w:color w:val="000000"/>
                <w:kern w:val="0"/>
                <w:sz w:val="24"/>
                <w:szCs w:val="24"/>
                <w:highlight w:val="none"/>
                <w:u w:val="none"/>
                <w:lang w:val="en-US" w:eastAsia="zh-CN" w:bidi="ar"/>
              </w:rPr>
              <w:t>商  业</w:t>
            </w:r>
          </w:p>
        </w:tc>
        <w:tc>
          <w:tcPr>
            <w:tcW w:w="2145" w:type="dxa"/>
            <w:noWrap w:val="0"/>
            <w:vAlign w:val="center"/>
          </w:tcPr>
          <w:p>
            <w:pPr>
              <w:keepNext w:val="0"/>
              <w:keepLines w:val="0"/>
              <w:widowControl/>
              <w:suppressLineNumbers w:val="0"/>
              <w:jc w:val="center"/>
              <w:textAlignment w:val="center"/>
              <w:rPr>
                <w:rFonts w:hint="eastAsia" w:ascii="宋体" w:hAnsi="宋体" w:cs="宋体"/>
                <w:b w:val="0"/>
                <w:kern w:val="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4152.51</w:t>
            </w:r>
          </w:p>
        </w:tc>
        <w:tc>
          <w:tcPr>
            <w:tcW w:w="1950" w:type="dxa"/>
            <w:noWrap w:val="0"/>
            <w:vAlign w:val="center"/>
          </w:tcPr>
          <w:p>
            <w:pPr>
              <w:widowControl/>
              <w:numPr>
                <w:ilvl w:val="0"/>
                <w:numId w:val="0"/>
              </w:numPr>
              <w:spacing w:line="440" w:lineRule="exact"/>
              <w:jc w:val="center"/>
              <w:rPr>
                <w:rFonts w:hint="default" w:ascii="宋体" w:hAnsi="宋体" w:cs="宋体"/>
                <w:b w:val="0"/>
                <w:kern w:val="0"/>
                <w:sz w:val="24"/>
                <w:szCs w:val="24"/>
                <w:highlight w:val="none"/>
                <w:vertAlign w:val="baseline"/>
                <w:lang w:val="en-US" w:eastAsia="zh-CN"/>
              </w:rPr>
            </w:pPr>
            <w:r>
              <w:rPr>
                <w:rFonts w:hint="eastAsia" w:ascii="宋体" w:hAnsi="宋体" w:cs="宋体"/>
                <w:b w:val="0"/>
                <w:kern w:val="0"/>
                <w:sz w:val="24"/>
                <w:szCs w:val="24"/>
                <w:highlight w:val="none"/>
                <w:vertAlign w:val="baseline"/>
                <w:lang w:val="en-US" w:eastAsia="zh-CN"/>
              </w:rPr>
              <w:t>1.8</w:t>
            </w:r>
          </w:p>
        </w:tc>
        <w:tc>
          <w:tcPr>
            <w:tcW w:w="2205" w:type="dxa"/>
            <w:noWrap w:val="0"/>
            <w:vAlign w:val="center"/>
          </w:tcPr>
          <w:p>
            <w:pPr>
              <w:widowControl/>
              <w:numPr>
                <w:ilvl w:val="0"/>
                <w:numId w:val="0"/>
              </w:numPr>
              <w:spacing w:line="440" w:lineRule="exact"/>
              <w:jc w:val="center"/>
              <w:rPr>
                <w:rFonts w:hint="default" w:ascii="宋体" w:hAnsi="宋体" w:cs="宋体"/>
                <w:b w:val="0"/>
                <w:kern w:val="0"/>
                <w:sz w:val="24"/>
                <w:szCs w:val="24"/>
                <w:highlight w:val="none"/>
                <w:vertAlign w:val="baseline"/>
                <w:lang w:val="en-US" w:eastAsia="zh-CN"/>
              </w:rPr>
            </w:pPr>
            <w:r>
              <w:rPr>
                <w:rFonts w:hint="eastAsia" w:ascii="宋体" w:hAnsi="宋体" w:cs="宋体"/>
                <w:b w:val="0"/>
                <w:kern w:val="0"/>
                <w:sz w:val="24"/>
                <w:szCs w:val="24"/>
                <w:highlight w:val="none"/>
                <w:vertAlign w:val="baseline"/>
                <w:lang w:val="en-US" w:eastAsia="zh-CN"/>
              </w:rPr>
              <w:t>1.5</w:t>
            </w:r>
          </w:p>
        </w:tc>
      </w:tr>
    </w:tbl>
    <w:p>
      <w:pPr>
        <w:rPr>
          <w:rFonts w:ascii="宋体" w:hAnsi="宋体" w:cs="宋体"/>
          <w:sz w:val="28"/>
          <w:szCs w:val="28"/>
        </w:rPr>
      </w:pPr>
      <w:r>
        <w:rPr>
          <w:rFonts w:hint="eastAsia" w:ascii="宋体" w:hAnsi="宋体" w:cs="宋体"/>
          <w:sz w:val="28"/>
          <w:szCs w:val="28"/>
        </w:rPr>
        <w:br w:type="page"/>
      </w:r>
    </w:p>
    <w:bookmarkEnd w:id="83"/>
    <w:p>
      <w:pPr>
        <w:pStyle w:val="3"/>
        <w:spacing w:before="0" w:after="156" w:afterLines="50" w:line="580" w:lineRule="exact"/>
        <w:jc w:val="center"/>
        <w:rPr>
          <w:rFonts w:ascii="宋体" w:hAnsi="宋体" w:eastAsia="宋体" w:cs="宋体"/>
        </w:rPr>
      </w:pPr>
      <w:bookmarkStart w:id="124" w:name="_Toc19815"/>
      <w:bookmarkStart w:id="125" w:name="_Toc25911"/>
      <w:bookmarkStart w:id="126" w:name="_Toc21831"/>
      <w:r>
        <w:rPr>
          <w:rFonts w:hint="eastAsia" w:ascii="宋体" w:hAnsi="宋体" w:eastAsia="宋体" w:cs="宋体"/>
          <w:sz w:val="28"/>
          <w:szCs w:val="28"/>
        </w:rPr>
        <w:t>四、评分标准</w:t>
      </w:r>
      <w:bookmarkEnd w:id="124"/>
      <w:bookmarkEnd w:id="125"/>
      <w:bookmarkEnd w:id="126"/>
      <w:r>
        <w:rPr>
          <w:rFonts w:hint="eastAsia" w:ascii="宋体" w:hAnsi="宋体"/>
          <w:sz w:val="28"/>
          <w:szCs w:val="28"/>
        </w:rPr>
        <w:t>（综合评分法）</w:t>
      </w:r>
    </w:p>
    <w:p>
      <w:pPr>
        <w:spacing w:line="480" w:lineRule="exact"/>
        <w:ind w:firstLine="482" w:firstLineChars="200"/>
        <w:jc w:val="left"/>
        <w:rPr>
          <w:rFonts w:hint="eastAsia" w:ascii="宋体" w:hAnsi="宋体" w:cs="宋体"/>
          <w:sz w:val="24"/>
          <w:szCs w:val="24"/>
          <w:lang w:val="en-US" w:eastAsia="zh-CN"/>
        </w:rPr>
      </w:pPr>
      <w:r>
        <w:rPr>
          <w:rFonts w:hint="eastAsia" w:ascii="宋体" w:hAnsi="宋体"/>
          <w:b/>
          <w:bCs/>
          <w:kern w:val="0"/>
          <w:sz w:val="24"/>
          <w:lang w:val="en-US" w:eastAsia="zh-CN"/>
        </w:rPr>
        <w:t>（一）</w:t>
      </w:r>
      <w:r>
        <w:rPr>
          <w:rFonts w:hint="eastAsia" w:ascii="宋体" w:hAnsi="宋体" w:cs="宋体"/>
          <w:sz w:val="24"/>
          <w:szCs w:val="24"/>
        </w:rPr>
        <w:t>本次磋商采用综合评分法</w:t>
      </w:r>
      <w:r>
        <w:rPr>
          <w:rFonts w:hint="eastAsia" w:ascii="宋体" w:hAnsi="宋体" w:cs="宋体"/>
          <w:sz w:val="24"/>
          <w:szCs w:val="24"/>
          <w:lang w:eastAsia="zh-CN"/>
        </w:rPr>
        <w:t>，</w:t>
      </w:r>
      <w:r>
        <w:rPr>
          <w:rFonts w:hint="eastAsia" w:ascii="宋体" w:hAnsi="宋体" w:cs="宋体"/>
          <w:sz w:val="24"/>
          <w:szCs w:val="24"/>
        </w:rPr>
        <w:t xml:space="preserve">技术部分综合评分指标80分 </w:t>
      </w:r>
      <w:r>
        <w:rPr>
          <w:rFonts w:hint="eastAsia" w:ascii="宋体" w:hAnsi="宋体" w:cs="宋体"/>
          <w:sz w:val="24"/>
          <w:szCs w:val="24"/>
          <w:lang w:eastAsia="zh-CN"/>
        </w:rPr>
        <w:t>，</w:t>
      </w:r>
      <w:r>
        <w:rPr>
          <w:rFonts w:hint="eastAsia" w:ascii="宋体" w:hAnsi="宋体" w:cs="宋体"/>
          <w:sz w:val="24"/>
          <w:szCs w:val="24"/>
        </w:rPr>
        <w:t>商务标综合评分指标20分</w:t>
      </w:r>
      <w:r>
        <w:rPr>
          <w:rFonts w:hint="eastAsia" w:ascii="宋体" w:hAnsi="宋体" w:cs="宋体"/>
          <w:sz w:val="24"/>
          <w:szCs w:val="24"/>
          <w:lang w:eastAsia="zh-CN"/>
        </w:rPr>
        <w:t>，总计</w:t>
      </w:r>
      <w:r>
        <w:rPr>
          <w:rFonts w:hint="eastAsia" w:ascii="宋体" w:hAnsi="宋体" w:cs="宋体"/>
          <w:sz w:val="24"/>
          <w:szCs w:val="24"/>
          <w:lang w:val="en-US" w:eastAsia="zh-CN"/>
        </w:rPr>
        <w:t>100分。</w:t>
      </w:r>
    </w:p>
    <w:p>
      <w:pPr>
        <w:spacing w:line="480" w:lineRule="exact"/>
        <w:jc w:val="left"/>
        <w:rPr>
          <w:rFonts w:hint="default" w:ascii="宋体" w:hAnsi="宋体" w:cs="宋体"/>
          <w:sz w:val="24"/>
          <w:szCs w:val="24"/>
          <w:lang w:val="en-US" w:eastAsia="zh-CN"/>
        </w:rPr>
      </w:pPr>
      <w:r>
        <w:rPr>
          <w:rFonts w:hint="eastAsia" w:ascii="宋体" w:hAnsi="宋体"/>
          <w:b/>
          <w:bCs/>
          <w:kern w:val="0"/>
          <w:sz w:val="24"/>
        </w:rPr>
        <w:t>技术部分综合评分指标，80分</w:t>
      </w:r>
      <w:r>
        <w:rPr>
          <w:rFonts w:hint="eastAsia" w:ascii="宋体" w:hAnsi="宋体" w:cs="宋体"/>
          <w:b/>
          <w:kern w:val="10"/>
          <w:sz w:val="24"/>
          <w:szCs w:val="24"/>
        </w:rPr>
        <w:t xml:space="preserve"> </w:t>
      </w:r>
    </w:p>
    <w:tbl>
      <w:tblPr>
        <w:tblStyle w:val="36"/>
        <w:tblpPr w:leftFromText="180" w:rightFromText="180" w:vertAnchor="text" w:horzAnchor="page" w:tblpX="1212" w:tblpY="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724"/>
        <w:gridCol w:w="555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39" w:type="dxa"/>
            <w:noWrap w:val="0"/>
            <w:vAlign w:val="center"/>
          </w:tcPr>
          <w:p>
            <w:pPr>
              <w:ind w:firstLine="200"/>
              <w:jc w:val="center"/>
              <w:rPr>
                <w:rFonts w:hint="eastAsia" w:ascii="宋体" w:hAnsi="宋体" w:cs="宋体"/>
                <w:b/>
                <w:bCs/>
                <w:sz w:val="24"/>
                <w:szCs w:val="24"/>
              </w:rPr>
            </w:pPr>
            <w:r>
              <w:rPr>
                <w:rFonts w:hint="eastAsia" w:ascii="宋体" w:hAnsi="宋体" w:cs="宋体"/>
                <w:b/>
                <w:bCs/>
                <w:sz w:val="24"/>
                <w:szCs w:val="24"/>
              </w:rPr>
              <w:t>类别</w:t>
            </w:r>
          </w:p>
        </w:tc>
        <w:tc>
          <w:tcPr>
            <w:tcW w:w="1724" w:type="dxa"/>
            <w:noWrap w:val="0"/>
            <w:vAlign w:val="center"/>
          </w:tcPr>
          <w:p>
            <w:pPr>
              <w:ind w:firstLine="200"/>
              <w:jc w:val="center"/>
              <w:rPr>
                <w:rFonts w:hint="eastAsia" w:ascii="宋体" w:hAnsi="宋体" w:cs="宋体"/>
                <w:b/>
                <w:bCs/>
                <w:sz w:val="24"/>
                <w:szCs w:val="24"/>
              </w:rPr>
            </w:pPr>
            <w:r>
              <w:rPr>
                <w:rFonts w:hint="eastAsia" w:ascii="宋体" w:hAnsi="宋体" w:cs="宋体"/>
                <w:b/>
                <w:bCs/>
                <w:sz w:val="24"/>
                <w:szCs w:val="24"/>
              </w:rPr>
              <w:t>评分内容</w:t>
            </w:r>
          </w:p>
        </w:tc>
        <w:tc>
          <w:tcPr>
            <w:tcW w:w="5550" w:type="dxa"/>
            <w:noWrap w:val="0"/>
            <w:vAlign w:val="center"/>
          </w:tcPr>
          <w:p>
            <w:pPr>
              <w:ind w:firstLine="200"/>
              <w:jc w:val="center"/>
              <w:rPr>
                <w:rFonts w:hint="eastAsia" w:ascii="宋体" w:hAnsi="宋体" w:cs="宋体"/>
                <w:b/>
                <w:bCs/>
                <w:sz w:val="24"/>
                <w:szCs w:val="24"/>
              </w:rPr>
            </w:pPr>
            <w:r>
              <w:rPr>
                <w:rFonts w:hint="eastAsia" w:ascii="宋体" w:hAnsi="宋体" w:cs="宋体"/>
                <w:b/>
                <w:bCs/>
                <w:sz w:val="24"/>
                <w:szCs w:val="24"/>
              </w:rPr>
              <w:t>评分标准</w:t>
            </w:r>
          </w:p>
        </w:tc>
        <w:tc>
          <w:tcPr>
            <w:tcW w:w="1237"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1139" w:type="dxa"/>
            <w:vMerge w:val="restart"/>
            <w:noWrap w:val="0"/>
            <w:vAlign w:val="center"/>
          </w:tcPr>
          <w:p>
            <w:pPr>
              <w:jc w:val="both"/>
              <w:rPr>
                <w:rFonts w:hint="eastAsia" w:ascii="宋体" w:hAnsi="宋体" w:cs="宋体"/>
                <w:sz w:val="24"/>
                <w:szCs w:val="24"/>
                <w:highlight w:val="none"/>
              </w:rPr>
            </w:pPr>
            <w:r>
              <w:rPr>
                <w:rFonts w:hint="eastAsia" w:ascii="宋体" w:hAnsi="宋体" w:cs="宋体"/>
                <w:b/>
                <w:bCs/>
                <w:sz w:val="24"/>
                <w:szCs w:val="24"/>
                <w:highlight w:val="none"/>
              </w:rPr>
              <w:t>技术</w:t>
            </w:r>
            <w:r>
              <w:rPr>
                <w:rFonts w:hint="eastAsia" w:ascii="宋体" w:hAnsi="宋体" w:cs="宋体"/>
                <w:b/>
                <w:bCs/>
                <w:sz w:val="24"/>
                <w:szCs w:val="24"/>
                <w:highlight w:val="none"/>
                <w:lang w:eastAsia="zh-CN"/>
              </w:rPr>
              <w:t>标</w:t>
            </w:r>
            <w:r>
              <w:rPr>
                <w:rFonts w:hint="eastAsia" w:ascii="宋体" w:hAnsi="宋体" w:cs="宋体"/>
                <w:sz w:val="22"/>
                <w:szCs w:val="22"/>
                <w:highlight w:val="none"/>
                <w:lang w:eastAsia="zh-CN"/>
              </w:rPr>
              <w:t>（</w:t>
            </w:r>
            <w:r>
              <w:rPr>
                <w:rFonts w:hint="eastAsia" w:ascii="宋体" w:hAnsi="宋体" w:eastAsia="宋体"/>
                <w:sz w:val="22"/>
                <w:szCs w:val="22"/>
              </w:rPr>
              <w:t>物业管理服务实施方案</w:t>
            </w:r>
            <w:r>
              <w:rPr>
                <w:rFonts w:hint="eastAsia" w:ascii="宋体" w:hAnsi="宋体" w:eastAsia="宋体"/>
                <w:sz w:val="22"/>
                <w:szCs w:val="22"/>
                <w:lang w:eastAsia="zh-CN"/>
              </w:rPr>
              <w:t>，</w:t>
            </w:r>
            <w:r>
              <w:rPr>
                <w:rFonts w:hint="eastAsia" w:ascii="宋体" w:hAnsi="宋体" w:cs="宋体"/>
                <w:sz w:val="22"/>
                <w:szCs w:val="22"/>
                <w:highlight w:val="none"/>
                <w:lang w:val="en-US" w:eastAsia="zh-CN"/>
              </w:rPr>
              <w:t>48</w:t>
            </w:r>
            <w:r>
              <w:rPr>
                <w:rFonts w:hint="eastAsia" w:ascii="宋体" w:hAnsi="宋体" w:cs="宋体"/>
                <w:sz w:val="22"/>
                <w:szCs w:val="22"/>
                <w:highlight w:val="none"/>
              </w:rPr>
              <w:t>分）</w:t>
            </w:r>
          </w:p>
        </w:tc>
        <w:tc>
          <w:tcPr>
            <w:tcW w:w="1724" w:type="dxa"/>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提高物业服务水平的整体设想及策划</w:t>
            </w:r>
          </w:p>
        </w:tc>
        <w:tc>
          <w:tcPr>
            <w:tcW w:w="5550" w:type="dxa"/>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根据有关法规、政策、标准及公寓等特点，拟提出整体设想及策划。</w:t>
            </w:r>
          </w:p>
          <w:p>
            <w:pPr>
              <w:rPr>
                <w:rFonts w:hint="eastAsia" w:ascii="宋体" w:hAnsi="宋体" w:cs="宋体"/>
                <w:sz w:val="24"/>
                <w:szCs w:val="24"/>
                <w:highlight w:val="none"/>
              </w:rPr>
            </w:pPr>
            <w:r>
              <w:rPr>
                <w:rFonts w:hint="eastAsia" w:ascii="宋体" w:hAnsi="宋体" w:cs="宋体"/>
                <w:sz w:val="24"/>
                <w:szCs w:val="24"/>
                <w:highlight w:val="none"/>
              </w:rPr>
              <w:t>1.物业管理总体设想，提供对本项目的认知与总体管理策划；</w:t>
            </w:r>
          </w:p>
          <w:p>
            <w:pPr>
              <w:rPr>
                <w:rFonts w:hint="eastAsia" w:ascii="宋体" w:hAnsi="宋体" w:cs="宋体"/>
                <w:sz w:val="24"/>
                <w:szCs w:val="24"/>
                <w:highlight w:val="none"/>
              </w:rPr>
            </w:pPr>
            <w:r>
              <w:rPr>
                <w:rFonts w:hint="eastAsia" w:ascii="宋体" w:hAnsi="宋体" w:cs="宋体"/>
                <w:sz w:val="24"/>
                <w:szCs w:val="24"/>
                <w:highlight w:val="none"/>
              </w:rPr>
              <w:t>2.明确服务本项目的管理服务方式及工作计划，管理深度和广度的做法；</w:t>
            </w:r>
          </w:p>
          <w:p>
            <w:pPr>
              <w:rPr>
                <w:rFonts w:hint="eastAsia" w:ascii="宋体" w:hAnsi="宋体" w:cs="宋体"/>
                <w:sz w:val="24"/>
                <w:szCs w:val="24"/>
                <w:highlight w:val="none"/>
              </w:rPr>
            </w:pPr>
            <w:r>
              <w:rPr>
                <w:rFonts w:hint="eastAsia" w:ascii="宋体" w:hAnsi="宋体" w:cs="宋体"/>
                <w:sz w:val="24"/>
                <w:szCs w:val="24"/>
                <w:highlight w:val="none"/>
              </w:rPr>
              <w:t>3.提供物业维修及养护计划，具备超前性、创造性、全方位贴心服务的意识；</w:t>
            </w:r>
          </w:p>
          <w:p>
            <w:pPr>
              <w:rPr>
                <w:rFonts w:hint="eastAsia" w:ascii="宋体" w:hAnsi="宋体" w:cs="宋体"/>
                <w:sz w:val="24"/>
                <w:szCs w:val="24"/>
                <w:highlight w:val="none"/>
              </w:rPr>
            </w:pPr>
            <w:r>
              <w:rPr>
                <w:rFonts w:hint="eastAsia" w:ascii="宋体" w:hAnsi="宋体" w:cs="宋体"/>
                <w:sz w:val="24"/>
                <w:szCs w:val="24"/>
                <w:highlight w:val="none"/>
              </w:rPr>
              <w:t>4.创造优美舒适、安全文明、洁净环境的设想；</w:t>
            </w:r>
          </w:p>
          <w:p>
            <w:pPr>
              <w:rPr>
                <w:rFonts w:hint="eastAsia" w:ascii="宋体" w:hAnsi="宋体" w:cs="宋体"/>
                <w:sz w:val="24"/>
                <w:szCs w:val="24"/>
                <w:highlight w:val="none"/>
              </w:rPr>
            </w:pPr>
            <w:r>
              <w:rPr>
                <w:rFonts w:hint="eastAsia" w:ascii="宋体" w:hAnsi="宋体" w:cs="宋体"/>
                <w:sz w:val="24"/>
                <w:szCs w:val="24"/>
                <w:highlight w:val="none"/>
              </w:rPr>
              <w:t>5.提供服务本项目的物业管理方案（应包括前期介入、中期入驻、后期管理子方案、人员配备等方案）</w:t>
            </w:r>
          </w:p>
          <w:p>
            <w:pPr>
              <w:rPr>
                <w:rFonts w:hint="eastAsia" w:ascii="宋体" w:hAnsi="宋体" w:eastAsia="宋体" w:cs="宋体"/>
                <w:sz w:val="24"/>
                <w:szCs w:val="24"/>
                <w:highlight w:val="none"/>
                <w:lang w:eastAsia="zh-CN"/>
              </w:rPr>
            </w:pPr>
            <w:r>
              <w:rPr>
                <w:rFonts w:hint="eastAsia" w:ascii="宋体" w:hAnsi="宋体" w:cs="宋体"/>
                <w:sz w:val="24"/>
                <w:szCs w:val="24"/>
              </w:rPr>
              <w:t>很好的得</w:t>
            </w:r>
            <w:r>
              <w:rPr>
                <w:rFonts w:hint="eastAsia" w:ascii="宋体" w:hAnsi="宋体" w:cs="宋体"/>
                <w:sz w:val="24"/>
                <w:szCs w:val="24"/>
                <w:lang w:val="en-US" w:eastAsia="zh-CN"/>
              </w:rPr>
              <w:t>5</w:t>
            </w: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分，较好的得</w:t>
            </w: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分，一般的得0-</w:t>
            </w:r>
            <w:r>
              <w:rPr>
                <w:rFonts w:hint="eastAsia" w:ascii="宋体" w:hAnsi="宋体" w:cs="宋体"/>
                <w:sz w:val="24"/>
                <w:szCs w:val="24"/>
                <w:lang w:val="en-US" w:eastAsia="zh-CN"/>
              </w:rPr>
              <w:t>2</w:t>
            </w:r>
            <w:r>
              <w:rPr>
                <w:rFonts w:hint="eastAsia" w:ascii="宋体" w:hAnsi="宋体" w:cs="宋体"/>
                <w:sz w:val="24"/>
                <w:szCs w:val="24"/>
              </w:rPr>
              <w:t>.9分</w:t>
            </w:r>
            <w:r>
              <w:rPr>
                <w:rFonts w:hint="eastAsia" w:ascii="宋体" w:hAnsi="宋体" w:cs="宋体"/>
                <w:sz w:val="24"/>
                <w:szCs w:val="24"/>
                <w:lang w:eastAsia="zh-CN"/>
              </w:rPr>
              <w:t>。</w:t>
            </w:r>
          </w:p>
        </w:tc>
        <w:tc>
          <w:tcPr>
            <w:tcW w:w="1237" w:type="dxa"/>
            <w:noWrap w:val="0"/>
            <w:vAlign w:val="center"/>
          </w:tcPr>
          <w:p>
            <w:pPr>
              <w:ind w:firstLine="20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139" w:type="dxa"/>
            <w:vMerge w:val="continue"/>
            <w:noWrap w:val="0"/>
            <w:vAlign w:val="center"/>
          </w:tcPr>
          <w:p>
            <w:pPr>
              <w:ind w:firstLine="200"/>
              <w:jc w:val="center"/>
              <w:rPr>
                <w:rFonts w:hint="eastAsia" w:ascii="宋体" w:hAnsi="宋体" w:cs="宋体"/>
                <w:sz w:val="24"/>
                <w:szCs w:val="24"/>
                <w:highlight w:val="none"/>
              </w:rPr>
            </w:pPr>
          </w:p>
        </w:tc>
        <w:tc>
          <w:tcPr>
            <w:tcW w:w="1724" w:type="dxa"/>
            <w:noWrap w:val="0"/>
            <w:vAlign w:val="center"/>
          </w:tcPr>
          <w:p>
            <w:pPr>
              <w:ind w:firstLine="200"/>
              <w:jc w:val="center"/>
              <w:rPr>
                <w:rFonts w:hint="eastAsia" w:ascii="宋体" w:hAnsi="宋体" w:cs="宋体"/>
                <w:sz w:val="24"/>
                <w:szCs w:val="24"/>
                <w:highlight w:val="none"/>
              </w:rPr>
            </w:pPr>
            <w:r>
              <w:rPr>
                <w:rFonts w:hint="eastAsia" w:ascii="宋体" w:hAnsi="宋体" w:cs="宋体"/>
                <w:sz w:val="24"/>
                <w:szCs w:val="24"/>
                <w:highlight w:val="none"/>
              </w:rPr>
              <w:t>管理方式、工作计划</w:t>
            </w:r>
          </w:p>
        </w:tc>
        <w:tc>
          <w:tcPr>
            <w:tcW w:w="5550" w:type="dxa"/>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管理方式：内部管理架构、激励机制、监督机制、自我约束机制、信息反馈及处理机制等。</w:t>
            </w:r>
          </w:p>
          <w:p>
            <w:pPr>
              <w:rPr>
                <w:rFonts w:hint="eastAsia" w:ascii="宋体" w:hAnsi="宋体" w:cs="宋体"/>
                <w:sz w:val="24"/>
                <w:szCs w:val="24"/>
                <w:highlight w:val="none"/>
              </w:rPr>
            </w:pPr>
            <w:r>
              <w:rPr>
                <w:rFonts w:hint="eastAsia" w:ascii="宋体" w:hAnsi="宋体" w:cs="宋体"/>
                <w:sz w:val="24"/>
                <w:szCs w:val="24"/>
                <w:highlight w:val="none"/>
              </w:rPr>
              <w:t>工作计划：工作流程、各项管理、服务项目的长远计划和短期安排等。</w:t>
            </w:r>
          </w:p>
          <w:p>
            <w:pPr>
              <w:rPr>
                <w:rFonts w:hint="eastAsia" w:ascii="宋体" w:hAnsi="宋体" w:cs="宋体"/>
                <w:sz w:val="24"/>
                <w:szCs w:val="24"/>
                <w:highlight w:val="none"/>
              </w:rPr>
            </w:pPr>
            <w:r>
              <w:rPr>
                <w:rFonts w:hint="eastAsia" w:ascii="宋体" w:hAnsi="宋体" w:cs="宋体"/>
                <w:sz w:val="24"/>
                <w:szCs w:val="24"/>
              </w:rPr>
              <w:t>很好的得</w:t>
            </w:r>
            <w:r>
              <w:rPr>
                <w:rFonts w:hint="eastAsia" w:ascii="宋体" w:hAnsi="宋体" w:cs="宋体"/>
                <w:sz w:val="24"/>
                <w:szCs w:val="24"/>
                <w:lang w:val="en-US" w:eastAsia="zh-CN"/>
              </w:rPr>
              <w:t>5</w:t>
            </w: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分，较好的得</w:t>
            </w: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分，一般的得0-</w:t>
            </w:r>
            <w:r>
              <w:rPr>
                <w:rFonts w:hint="eastAsia" w:ascii="宋体" w:hAnsi="宋体" w:cs="宋体"/>
                <w:sz w:val="24"/>
                <w:szCs w:val="24"/>
                <w:lang w:val="en-US" w:eastAsia="zh-CN"/>
              </w:rPr>
              <w:t>2</w:t>
            </w:r>
            <w:r>
              <w:rPr>
                <w:rFonts w:hint="eastAsia" w:ascii="宋体" w:hAnsi="宋体" w:cs="宋体"/>
                <w:sz w:val="24"/>
                <w:szCs w:val="24"/>
              </w:rPr>
              <w:t>.9分</w:t>
            </w:r>
            <w:r>
              <w:rPr>
                <w:rFonts w:hint="eastAsia" w:ascii="宋体" w:hAnsi="宋体" w:cs="宋体"/>
                <w:sz w:val="24"/>
                <w:szCs w:val="24"/>
                <w:lang w:eastAsia="zh-CN"/>
              </w:rPr>
              <w:t>。</w:t>
            </w:r>
          </w:p>
        </w:tc>
        <w:tc>
          <w:tcPr>
            <w:tcW w:w="1237" w:type="dxa"/>
            <w:noWrap w:val="0"/>
            <w:vAlign w:val="center"/>
          </w:tcPr>
          <w:p>
            <w:pPr>
              <w:ind w:firstLine="20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139" w:type="dxa"/>
            <w:vMerge w:val="continue"/>
            <w:noWrap w:val="0"/>
            <w:vAlign w:val="center"/>
          </w:tcPr>
          <w:p>
            <w:pPr>
              <w:ind w:firstLine="200"/>
              <w:jc w:val="center"/>
              <w:rPr>
                <w:rFonts w:hint="eastAsia" w:ascii="宋体" w:hAnsi="宋体" w:cs="宋体"/>
                <w:sz w:val="24"/>
                <w:szCs w:val="24"/>
                <w:highlight w:val="none"/>
              </w:rPr>
            </w:pPr>
          </w:p>
        </w:tc>
        <w:tc>
          <w:tcPr>
            <w:tcW w:w="1724" w:type="dxa"/>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各类人员的培训、管理</w:t>
            </w:r>
          </w:p>
        </w:tc>
        <w:tc>
          <w:tcPr>
            <w:tcW w:w="5550" w:type="dxa"/>
            <w:noWrap w:val="0"/>
            <w:vAlign w:val="center"/>
          </w:tcPr>
          <w:p>
            <w:pPr>
              <w:rPr>
                <w:rFonts w:hint="eastAsia" w:ascii="宋体" w:hAnsi="宋体" w:cs="宋体"/>
                <w:sz w:val="24"/>
                <w:szCs w:val="24"/>
                <w:lang w:val="en-US" w:eastAsia="zh-CN"/>
              </w:rPr>
            </w:pPr>
            <w:r>
              <w:rPr>
                <w:rFonts w:hint="eastAsia" w:ascii="宋体" w:hAnsi="宋体" w:cs="宋体"/>
                <w:sz w:val="24"/>
                <w:szCs w:val="24"/>
                <w:lang w:val="en-US" w:eastAsia="zh-CN"/>
              </w:rPr>
              <w:t>1.培训：对各类人员的培训有计划、方式、目标和实施办法等。</w:t>
            </w:r>
          </w:p>
          <w:p>
            <w:pPr>
              <w:rPr>
                <w:rFonts w:hint="eastAsia" w:ascii="宋体" w:hAnsi="宋体" w:cs="宋体"/>
                <w:sz w:val="24"/>
                <w:szCs w:val="24"/>
                <w:lang w:val="en-US" w:eastAsia="zh-CN"/>
              </w:rPr>
            </w:pPr>
            <w:r>
              <w:rPr>
                <w:rFonts w:hint="eastAsia" w:ascii="宋体" w:hAnsi="宋体" w:cs="宋体"/>
                <w:sz w:val="24"/>
                <w:szCs w:val="24"/>
                <w:lang w:val="en-US" w:eastAsia="zh-CN"/>
              </w:rPr>
              <w:t>2.管理：录用与考核、淘汰机制、奖罚等。</w:t>
            </w:r>
          </w:p>
          <w:p>
            <w:pPr>
              <w:rPr>
                <w:rFonts w:hint="eastAsia" w:ascii="宋体" w:hAnsi="宋体" w:cs="宋体"/>
                <w:sz w:val="24"/>
                <w:szCs w:val="24"/>
                <w:highlight w:val="none"/>
              </w:rPr>
            </w:pPr>
            <w:r>
              <w:rPr>
                <w:rFonts w:hint="eastAsia" w:ascii="宋体" w:hAnsi="宋体" w:cs="宋体"/>
                <w:sz w:val="24"/>
                <w:szCs w:val="24"/>
              </w:rPr>
              <w:t>很好的得</w:t>
            </w:r>
            <w:r>
              <w:rPr>
                <w:rFonts w:hint="eastAsia" w:ascii="宋体" w:hAnsi="宋体" w:cs="宋体"/>
                <w:sz w:val="24"/>
                <w:szCs w:val="24"/>
                <w:lang w:val="en-US" w:eastAsia="zh-CN"/>
              </w:rPr>
              <w:t>5</w:t>
            </w: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分，较好的得</w:t>
            </w: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分，一般的得0-</w:t>
            </w:r>
            <w:r>
              <w:rPr>
                <w:rFonts w:hint="eastAsia" w:ascii="宋体" w:hAnsi="宋体" w:cs="宋体"/>
                <w:sz w:val="24"/>
                <w:szCs w:val="24"/>
                <w:lang w:val="en-US" w:eastAsia="zh-CN"/>
              </w:rPr>
              <w:t>2</w:t>
            </w:r>
            <w:r>
              <w:rPr>
                <w:rFonts w:hint="eastAsia" w:ascii="宋体" w:hAnsi="宋体" w:cs="宋体"/>
                <w:sz w:val="24"/>
                <w:szCs w:val="24"/>
              </w:rPr>
              <w:t>.9分</w:t>
            </w:r>
            <w:r>
              <w:rPr>
                <w:rFonts w:hint="eastAsia" w:ascii="宋体" w:hAnsi="宋体" w:cs="宋体"/>
                <w:sz w:val="24"/>
                <w:szCs w:val="24"/>
                <w:lang w:eastAsia="zh-CN"/>
              </w:rPr>
              <w:t>。</w:t>
            </w:r>
          </w:p>
        </w:tc>
        <w:tc>
          <w:tcPr>
            <w:tcW w:w="1237" w:type="dxa"/>
            <w:noWrap w:val="0"/>
            <w:vAlign w:val="center"/>
          </w:tcPr>
          <w:p>
            <w:pPr>
              <w:ind w:firstLine="200"/>
              <w:jc w:val="center"/>
              <w:rPr>
                <w:rFonts w:hint="eastAsia" w:ascii="宋体" w:hAnsi="宋体" w:cs="宋体"/>
                <w:w w:val="91"/>
                <w:sz w:val="24"/>
                <w:szCs w:val="24"/>
                <w:highlight w:val="none"/>
              </w:rPr>
            </w:pP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39" w:type="dxa"/>
            <w:vMerge w:val="continue"/>
            <w:noWrap w:val="0"/>
            <w:vAlign w:val="center"/>
          </w:tcPr>
          <w:p>
            <w:pPr>
              <w:ind w:firstLine="200"/>
              <w:jc w:val="center"/>
              <w:rPr>
                <w:rFonts w:hint="eastAsia" w:ascii="宋体" w:hAnsi="宋体" w:cs="宋体"/>
                <w:sz w:val="24"/>
                <w:szCs w:val="24"/>
                <w:highlight w:val="none"/>
              </w:rPr>
            </w:pPr>
          </w:p>
        </w:tc>
        <w:tc>
          <w:tcPr>
            <w:tcW w:w="1724" w:type="dxa"/>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管理规章制度</w:t>
            </w:r>
          </w:p>
        </w:tc>
        <w:tc>
          <w:tcPr>
            <w:tcW w:w="5550" w:type="dxa"/>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企业内部岗位</w:t>
            </w:r>
            <w:r>
              <w:rPr>
                <w:rFonts w:hint="eastAsia" w:ascii="宋体" w:hAnsi="宋体" w:cs="宋体"/>
                <w:sz w:val="24"/>
                <w:szCs w:val="24"/>
                <w:highlight w:val="none"/>
                <w:lang w:eastAsia="zh-CN"/>
              </w:rPr>
              <w:t>职责</w:t>
            </w:r>
            <w:r>
              <w:rPr>
                <w:rFonts w:hint="eastAsia" w:ascii="宋体" w:hAnsi="宋体" w:cs="宋体"/>
                <w:sz w:val="24"/>
                <w:szCs w:val="24"/>
                <w:highlight w:val="none"/>
              </w:rPr>
              <w:t>、管理人员考核制度及标准等，要求符合规范，体现高标准、科学合理、详细完整。</w:t>
            </w:r>
          </w:p>
          <w:p>
            <w:pPr>
              <w:rPr>
                <w:rFonts w:hint="eastAsia" w:ascii="宋体" w:hAnsi="宋体" w:cs="宋体"/>
                <w:sz w:val="24"/>
                <w:szCs w:val="24"/>
                <w:highlight w:val="none"/>
              </w:rPr>
            </w:pPr>
            <w:r>
              <w:rPr>
                <w:rFonts w:hint="eastAsia" w:ascii="宋体" w:hAnsi="宋体" w:cs="宋体"/>
                <w:sz w:val="24"/>
                <w:szCs w:val="24"/>
              </w:rPr>
              <w:t>很好的得</w:t>
            </w:r>
            <w:r>
              <w:rPr>
                <w:rFonts w:hint="eastAsia" w:ascii="宋体" w:hAnsi="宋体" w:cs="宋体"/>
                <w:sz w:val="24"/>
                <w:szCs w:val="24"/>
                <w:lang w:val="en-US" w:eastAsia="zh-CN"/>
              </w:rPr>
              <w:t>5</w:t>
            </w: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分，较好的得</w:t>
            </w: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分，一般的得0-</w:t>
            </w:r>
            <w:r>
              <w:rPr>
                <w:rFonts w:hint="eastAsia" w:ascii="宋体" w:hAnsi="宋体" w:cs="宋体"/>
                <w:sz w:val="24"/>
                <w:szCs w:val="24"/>
                <w:lang w:val="en-US" w:eastAsia="zh-CN"/>
              </w:rPr>
              <w:t>2</w:t>
            </w:r>
            <w:r>
              <w:rPr>
                <w:rFonts w:hint="eastAsia" w:ascii="宋体" w:hAnsi="宋体" w:cs="宋体"/>
                <w:sz w:val="24"/>
                <w:szCs w:val="24"/>
              </w:rPr>
              <w:t>.9分</w:t>
            </w:r>
            <w:r>
              <w:rPr>
                <w:rFonts w:hint="eastAsia" w:ascii="宋体" w:hAnsi="宋体" w:cs="宋体"/>
                <w:sz w:val="24"/>
                <w:szCs w:val="24"/>
                <w:highlight w:val="none"/>
              </w:rPr>
              <w:t>。</w:t>
            </w:r>
          </w:p>
        </w:tc>
        <w:tc>
          <w:tcPr>
            <w:tcW w:w="1237" w:type="dxa"/>
            <w:noWrap w:val="0"/>
            <w:vAlign w:val="center"/>
          </w:tcPr>
          <w:p>
            <w:pPr>
              <w:ind w:firstLine="20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1139" w:type="dxa"/>
            <w:vMerge w:val="continue"/>
            <w:noWrap w:val="0"/>
            <w:vAlign w:val="center"/>
          </w:tcPr>
          <w:p>
            <w:pPr>
              <w:ind w:firstLine="200"/>
              <w:jc w:val="center"/>
              <w:rPr>
                <w:rFonts w:hint="eastAsia" w:ascii="宋体" w:hAnsi="宋体" w:cs="宋体"/>
                <w:sz w:val="24"/>
                <w:szCs w:val="24"/>
                <w:highlight w:val="none"/>
              </w:rPr>
            </w:pPr>
          </w:p>
        </w:tc>
        <w:tc>
          <w:tcPr>
            <w:tcW w:w="1724" w:type="dxa"/>
            <w:shd w:val="clear" w:color="auto" w:fill="auto"/>
            <w:noWrap w:val="0"/>
            <w:vAlign w:val="center"/>
          </w:tcPr>
          <w:p>
            <w:pPr>
              <w:jc w:val="center"/>
              <w:rPr>
                <w:rFonts w:hint="eastAsia" w:ascii="宋体" w:hAnsi="宋体" w:cs="宋体"/>
                <w:sz w:val="24"/>
                <w:szCs w:val="24"/>
                <w:highlight w:val="yellow"/>
              </w:rPr>
            </w:pPr>
            <w:r>
              <w:rPr>
                <w:rFonts w:hint="eastAsia" w:ascii="宋体" w:hAnsi="宋体" w:cs="宋体"/>
                <w:sz w:val="24"/>
                <w:szCs w:val="24"/>
                <w:highlight w:val="none"/>
              </w:rPr>
              <w:t>各项指标的承诺</w:t>
            </w:r>
          </w:p>
        </w:tc>
        <w:tc>
          <w:tcPr>
            <w:tcW w:w="5550" w:type="dxa"/>
            <w:shd w:val="clear" w:color="auto" w:fill="auto"/>
            <w:noWrap w:val="0"/>
            <w:vAlign w:val="center"/>
          </w:tcPr>
          <w:p>
            <w:pPr>
              <w:numPr>
                <w:ilvl w:val="0"/>
                <w:numId w:val="0"/>
              </w:numPr>
              <w:rPr>
                <w:rFonts w:hint="eastAsia" w:ascii="宋体" w:hAnsi="宋体" w:cs="宋体"/>
                <w:sz w:val="24"/>
                <w:szCs w:val="24"/>
                <w:highlight w:val="none"/>
              </w:rPr>
            </w:pPr>
            <w:r>
              <w:rPr>
                <w:rFonts w:hint="eastAsia" w:ascii="宋体" w:hAnsi="宋体" w:cs="宋体"/>
                <w:kern w:val="2"/>
                <w:sz w:val="24"/>
                <w:szCs w:val="24"/>
                <w:highlight w:val="none"/>
                <w:lang w:val="en-US" w:eastAsia="zh-CN" w:bidi="ar-SA"/>
              </w:rPr>
              <w:t>1.</w:t>
            </w:r>
            <w:r>
              <w:rPr>
                <w:rFonts w:hint="eastAsia" w:ascii="宋体" w:hAnsi="宋体" w:cs="宋体"/>
                <w:sz w:val="24"/>
                <w:szCs w:val="24"/>
                <w:highlight w:val="none"/>
              </w:rPr>
              <w:t>房屋完好</w:t>
            </w:r>
            <w:r>
              <w:rPr>
                <w:rFonts w:hint="eastAsia" w:ascii="宋体" w:hAnsi="宋体" w:cs="宋体"/>
                <w:sz w:val="24"/>
                <w:szCs w:val="24"/>
                <w:highlight w:val="none"/>
                <w:lang w:eastAsia="zh-CN"/>
              </w:rPr>
              <w:t>、</w:t>
            </w:r>
            <w:r>
              <w:rPr>
                <w:rFonts w:hint="eastAsia" w:ascii="宋体" w:hAnsi="宋体" w:cs="宋体"/>
                <w:sz w:val="24"/>
                <w:szCs w:val="24"/>
                <w:highlight w:val="none"/>
              </w:rPr>
              <w:t>房屋零修、急修及时率</w:t>
            </w:r>
            <w:r>
              <w:rPr>
                <w:rFonts w:hint="eastAsia" w:ascii="宋体" w:hAnsi="宋体" w:cs="宋体"/>
                <w:sz w:val="24"/>
                <w:szCs w:val="24"/>
                <w:highlight w:val="none"/>
                <w:lang w:val="en-US" w:eastAsia="zh-CN"/>
              </w:rPr>
              <w:t>95%及以上</w:t>
            </w:r>
            <w:r>
              <w:rPr>
                <w:rFonts w:hint="eastAsia" w:ascii="宋体" w:hAnsi="宋体" w:cs="宋体"/>
                <w:sz w:val="24"/>
                <w:szCs w:val="24"/>
                <w:highlight w:val="none"/>
              </w:rPr>
              <w:t>；</w:t>
            </w:r>
          </w:p>
          <w:p>
            <w:pPr>
              <w:numPr>
                <w:ilvl w:val="0"/>
                <w:numId w:val="0"/>
              </w:numPr>
              <w:rPr>
                <w:rFonts w:hint="eastAsia" w:ascii="宋体" w:hAnsi="宋体" w:cs="宋体"/>
                <w:sz w:val="24"/>
                <w:szCs w:val="24"/>
                <w:highlight w:val="none"/>
              </w:rPr>
            </w:pPr>
            <w:r>
              <w:rPr>
                <w:rFonts w:hint="eastAsia" w:ascii="宋体" w:hAnsi="宋体" w:cs="宋体"/>
                <w:kern w:val="2"/>
                <w:sz w:val="24"/>
                <w:szCs w:val="24"/>
                <w:highlight w:val="none"/>
                <w:lang w:val="en-US" w:eastAsia="zh-CN" w:bidi="ar-SA"/>
              </w:rPr>
              <w:t>2.</w:t>
            </w:r>
            <w:r>
              <w:rPr>
                <w:rFonts w:hint="eastAsia" w:ascii="宋体" w:hAnsi="宋体" w:cs="宋体"/>
                <w:sz w:val="24"/>
                <w:szCs w:val="24"/>
                <w:highlight w:val="none"/>
              </w:rPr>
              <w:t>维修工程质量合格率</w:t>
            </w:r>
            <w:r>
              <w:rPr>
                <w:rFonts w:hint="eastAsia" w:ascii="宋体" w:hAnsi="宋体" w:cs="宋体"/>
                <w:sz w:val="24"/>
                <w:szCs w:val="24"/>
                <w:highlight w:val="none"/>
                <w:lang w:val="en-US" w:eastAsia="zh-CN"/>
              </w:rPr>
              <w:t>95%及以上</w:t>
            </w:r>
            <w:r>
              <w:rPr>
                <w:rFonts w:hint="eastAsia" w:ascii="宋体" w:hAnsi="宋体" w:cs="宋体"/>
                <w:sz w:val="24"/>
                <w:szCs w:val="24"/>
                <w:highlight w:val="none"/>
              </w:rPr>
              <w:t>；</w:t>
            </w:r>
          </w:p>
          <w:p>
            <w:pPr>
              <w:numPr>
                <w:ilvl w:val="0"/>
                <w:numId w:val="0"/>
              </w:numPr>
              <w:rPr>
                <w:rFonts w:hint="eastAsia" w:ascii="宋体" w:hAnsi="宋体" w:cs="宋体"/>
                <w:sz w:val="24"/>
                <w:szCs w:val="24"/>
                <w:highlight w:val="none"/>
              </w:rPr>
            </w:pPr>
            <w:r>
              <w:rPr>
                <w:rFonts w:hint="eastAsia" w:ascii="宋体" w:hAnsi="宋体" w:cs="宋体"/>
                <w:kern w:val="2"/>
                <w:sz w:val="24"/>
                <w:szCs w:val="24"/>
                <w:highlight w:val="none"/>
                <w:lang w:val="en-US" w:eastAsia="zh-CN" w:bidi="ar-SA"/>
              </w:rPr>
              <w:t>3.</w:t>
            </w:r>
            <w:r>
              <w:rPr>
                <w:rFonts w:hint="eastAsia" w:ascii="宋体" w:hAnsi="宋体" w:cs="宋体"/>
                <w:sz w:val="24"/>
                <w:szCs w:val="24"/>
                <w:highlight w:val="none"/>
              </w:rPr>
              <w:t>绿化完好率</w:t>
            </w:r>
            <w:r>
              <w:rPr>
                <w:rFonts w:hint="eastAsia" w:ascii="宋体" w:hAnsi="宋体" w:cs="宋体"/>
                <w:sz w:val="24"/>
                <w:szCs w:val="24"/>
                <w:highlight w:val="none"/>
                <w:lang w:val="en-US" w:eastAsia="zh-CN"/>
              </w:rPr>
              <w:t>95%及以上</w:t>
            </w:r>
            <w:r>
              <w:rPr>
                <w:rFonts w:hint="eastAsia" w:ascii="宋体" w:hAnsi="宋体" w:cs="宋体"/>
                <w:sz w:val="24"/>
                <w:szCs w:val="24"/>
                <w:highlight w:val="none"/>
              </w:rPr>
              <w:t>；</w:t>
            </w:r>
          </w:p>
          <w:p>
            <w:pPr>
              <w:numPr>
                <w:ilvl w:val="0"/>
                <w:numId w:val="0"/>
              </w:numPr>
              <w:rPr>
                <w:rFonts w:hint="eastAsia" w:ascii="宋体" w:hAnsi="宋体" w:cs="宋体"/>
                <w:sz w:val="24"/>
                <w:szCs w:val="24"/>
                <w:highlight w:val="none"/>
              </w:rPr>
            </w:pPr>
            <w:r>
              <w:rPr>
                <w:rFonts w:hint="eastAsia" w:ascii="宋体" w:hAnsi="宋体" w:cs="宋体"/>
                <w:kern w:val="2"/>
                <w:sz w:val="24"/>
                <w:szCs w:val="24"/>
                <w:highlight w:val="none"/>
                <w:lang w:val="en-US" w:eastAsia="zh-CN" w:bidi="ar-SA"/>
              </w:rPr>
              <w:t>4.</w:t>
            </w:r>
            <w:r>
              <w:rPr>
                <w:rFonts w:hint="eastAsia" w:ascii="宋体" w:hAnsi="宋体" w:cs="宋体"/>
                <w:sz w:val="24"/>
                <w:szCs w:val="24"/>
                <w:highlight w:val="none"/>
              </w:rPr>
              <w:t>清洁、保洁率</w:t>
            </w:r>
            <w:r>
              <w:rPr>
                <w:rFonts w:hint="eastAsia" w:ascii="宋体" w:hAnsi="宋体" w:cs="宋体"/>
                <w:sz w:val="24"/>
                <w:szCs w:val="24"/>
                <w:highlight w:val="none"/>
                <w:lang w:val="en-US" w:eastAsia="zh-CN"/>
              </w:rPr>
              <w:t>95%及以上；</w:t>
            </w:r>
            <w:r>
              <w:rPr>
                <w:rFonts w:hint="eastAsia" w:ascii="宋体" w:hAnsi="宋体" w:cs="宋体"/>
                <w:sz w:val="24"/>
                <w:szCs w:val="24"/>
                <w:highlight w:val="none"/>
              </w:rPr>
              <w:t>物业服务满意</w:t>
            </w:r>
            <w:r>
              <w:rPr>
                <w:rFonts w:hint="eastAsia" w:ascii="宋体" w:hAnsi="宋体" w:cs="宋体"/>
                <w:sz w:val="24"/>
                <w:szCs w:val="24"/>
                <w:highlight w:val="none"/>
                <w:shd w:val="clear"/>
              </w:rPr>
              <w:t>率</w:t>
            </w:r>
            <w:r>
              <w:rPr>
                <w:rFonts w:hint="eastAsia" w:ascii="宋体" w:hAnsi="宋体" w:cs="宋体"/>
                <w:sz w:val="24"/>
                <w:szCs w:val="24"/>
                <w:highlight w:val="none"/>
                <w:shd w:val="clear"/>
                <w:lang w:val="en-US" w:eastAsia="zh-CN"/>
              </w:rPr>
              <w:t>95%</w:t>
            </w:r>
            <w:r>
              <w:rPr>
                <w:rFonts w:hint="eastAsia" w:ascii="宋体" w:hAnsi="宋体" w:cs="宋体"/>
                <w:sz w:val="24"/>
                <w:szCs w:val="24"/>
                <w:highlight w:val="none"/>
                <w:lang w:val="en-US" w:eastAsia="zh-CN"/>
              </w:rPr>
              <w:t>及以上</w:t>
            </w:r>
            <w:r>
              <w:rPr>
                <w:rFonts w:hint="eastAsia" w:ascii="宋体" w:hAnsi="宋体" w:cs="宋体"/>
                <w:sz w:val="24"/>
                <w:szCs w:val="24"/>
                <w:highlight w:val="none"/>
              </w:rPr>
              <w:t>；</w:t>
            </w:r>
          </w:p>
          <w:p>
            <w:pPr>
              <w:numPr>
                <w:ilvl w:val="0"/>
                <w:numId w:val="0"/>
              </w:numPr>
              <w:rPr>
                <w:rFonts w:hint="eastAsia" w:ascii="宋体" w:hAnsi="宋体" w:cs="宋体"/>
                <w:sz w:val="24"/>
                <w:szCs w:val="24"/>
                <w:highlight w:val="none"/>
              </w:rPr>
            </w:pPr>
            <w:r>
              <w:rPr>
                <w:rFonts w:hint="eastAsia" w:ascii="宋体" w:hAnsi="宋体" w:cs="宋体"/>
                <w:kern w:val="2"/>
                <w:sz w:val="24"/>
                <w:szCs w:val="24"/>
                <w:highlight w:val="none"/>
                <w:lang w:val="en-US" w:eastAsia="zh-CN" w:bidi="ar-SA"/>
              </w:rPr>
              <w:t>5.</w:t>
            </w:r>
            <w:r>
              <w:rPr>
                <w:rFonts w:hint="eastAsia" w:ascii="宋体" w:hAnsi="宋体" w:cs="宋体"/>
                <w:sz w:val="24"/>
                <w:szCs w:val="24"/>
                <w:highlight w:val="none"/>
              </w:rPr>
              <w:t>道路、化粪池、雨水井、污水井完好率</w:t>
            </w:r>
            <w:r>
              <w:rPr>
                <w:rFonts w:hint="eastAsia" w:ascii="宋体" w:hAnsi="宋体" w:cs="宋体"/>
                <w:sz w:val="24"/>
                <w:szCs w:val="24"/>
                <w:highlight w:val="none"/>
                <w:lang w:val="en-US" w:eastAsia="zh-CN"/>
              </w:rPr>
              <w:t>95%及以上</w:t>
            </w:r>
            <w:r>
              <w:rPr>
                <w:rFonts w:hint="eastAsia" w:ascii="宋体" w:hAnsi="宋体" w:cs="宋体"/>
                <w:sz w:val="24"/>
                <w:szCs w:val="24"/>
                <w:highlight w:val="none"/>
              </w:rPr>
              <w:t>；</w:t>
            </w:r>
          </w:p>
          <w:p>
            <w:pPr>
              <w:numPr>
                <w:ilvl w:val="0"/>
                <w:numId w:val="0"/>
              </w:numPr>
              <w:rPr>
                <w:rFonts w:hint="eastAsia" w:ascii="宋体" w:hAnsi="宋体" w:cs="宋体"/>
                <w:sz w:val="24"/>
                <w:szCs w:val="24"/>
                <w:highlight w:val="none"/>
              </w:rPr>
            </w:pPr>
            <w:r>
              <w:rPr>
                <w:rFonts w:hint="eastAsia" w:ascii="宋体" w:hAnsi="宋体" w:cs="宋体"/>
                <w:kern w:val="2"/>
                <w:sz w:val="24"/>
                <w:szCs w:val="24"/>
                <w:highlight w:val="none"/>
                <w:lang w:val="en-US" w:eastAsia="zh-CN" w:bidi="ar-SA"/>
              </w:rPr>
              <w:t>6.</w:t>
            </w:r>
            <w:r>
              <w:rPr>
                <w:rFonts w:hint="eastAsia" w:ascii="宋体" w:hAnsi="宋体" w:cs="宋体"/>
                <w:sz w:val="24"/>
                <w:szCs w:val="24"/>
                <w:highlight w:val="none"/>
              </w:rPr>
              <w:t>排水管、明暗沟完好率</w:t>
            </w:r>
            <w:r>
              <w:rPr>
                <w:rFonts w:hint="eastAsia" w:ascii="宋体" w:hAnsi="宋体" w:cs="宋体"/>
                <w:sz w:val="24"/>
                <w:szCs w:val="24"/>
                <w:highlight w:val="none"/>
                <w:lang w:val="en-US" w:eastAsia="zh-CN"/>
              </w:rPr>
              <w:t>95%及以上</w:t>
            </w:r>
            <w:r>
              <w:rPr>
                <w:rFonts w:hint="eastAsia" w:ascii="宋体" w:hAnsi="宋体" w:cs="宋体"/>
                <w:sz w:val="24"/>
                <w:szCs w:val="24"/>
                <w:highlight w:val="none"/>
              </w:rPr>
              <w:t>；</w:t>
            </w:r>
          </w:p>
          <w:p>
            <w:pPr>
              <w:numPr>
                <w:ilvl w:val="0"/>
                <w:numId w:val="0"/>
              </w:numPr>
              <w:rPr>
                <w:rFonts w:hint="eastAsia" w:ascii="宋体" w:hAnsi="宋体" w:cs="宋体"/>
                <w:sz w:val="24"/>
                <w:szCs w:val="24"/>
                <w:highlight w:val="none"/>
              </w:rPr>
            </w:pPr>
            <w:r>
              <w:rPr>
                <w:rFonts w:hint="eastAsia" w:ascii="宋体" w:hAnsi="宋体" w:cs="宋体"/>
                <w:kern w:val="2"/>
                <w:sz w:val="24"/>
                <w:szCs w:val="24"/>
                <w:highlight w:val="none"/>
                <w:lang w:val="en-US" w:eastAsia="zh-CN" w:bidi="ar-SA"/>
              </w:rPr>
              <w:t>7.</w:t>
            </w:r>
            <w:r>
              <w:rPr>
                <w:rFonts w:hint="eastAsia" w:ascii="宋体" w:hAnsi="宋体" w:cs="宋体"/>
                <w:sz w:val="24"/>
                <w:szCs w:val="24"/>
                <w:highlight w:val="none"/>
              </w:rPr>
              <w:t>路灯、停车场完好率</w:t>
            </w:r>
            <w:r>
              <w:rPr>
                <w:rFonts w:hint="eastAsia" w:ascii="宋体" w:hAnsi="宋体" w:cs="宋体"/>
                <w:sz w:val="24"/>
                <w:szCs w:val="24"/>
                <w:highlight w:val="none"/>
                <w:lang w:val="en-US" w:eastAsia="zh-CN"/>
              </w:rPr>
              <w:t>95%及以上</w:t>
            </w:r>
            <w:r>
              <w:rPr>
                <w:rFonts w:hint="eastAsia" w:ascii="宋体" w:hAnsi="宋体" w:cs="宋体"/>
                <w:sz w:val="24"/>
                <w:szCs w:val="24"/>
                <w:highlight w:val="none"/>
              </w:rPr>
              <w:t>；</w:t>
            </w:r>
          </w:p>
          <w:p>
            <w:pPr>
              <w:numPr>
                <w:ilvl w:val="0"/>
                <w:numId w:val="0"/>
              </w:numPr>
              <w:rPr>
                <w:rFonts w:hint="eastAsia" w:ascii="宋体" w:hAnsi="宋体" w:cs="宋体"/>
                <w:sz w:val="24"/>
                <w:szCs w:val="24"/>
                <w:highlight w:val="none"/>
              </w:rPr>
            </w:pPr>
            <w:r>
              <w:rPr>
                <w:rFonts w:hint="eastAsia" w:ascii="宋体" w:hAnsi="宋体" w:cs="宋体"/>
                <w:kern w:val="2"/>
                <w:sz w:val="24"/>
                <w:szCs w:val="24"/>
                <w:highlight w:val="none"/>
                <w:lang w:val="en-US" w:eastAsia="zh-CN" w:bidi="ar-SA"/>
              </w:rPr>
              <w:t>8.</w:t>
            </w:r>
            <w:r>
              <w:rPr>
                <w:rFonts w:hint="eastAsia" w:ascii="宋体" w:hAnsi="宋体" w:cs="宋体"/>
                <w:sz w:val="24"/>
                <w:szCs w:val="24"/>
                <w:highlight w:val="none"/>
              </w:rPr>
              <w:t>区域内治安案件发生率</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p>
          <w:p>
            <w:pPr>
              <w:numPr>
                <w:ilvl w:val="0"/>
                <w:numId w:val="0"/>
              </w:numPr>
              <w:rPr>
                <w:rFonts w:hint="eastAsia" w:ascii="宋体" w:hAnsi="宋体" w:cs="宋体"/>
                <w:sz w:val="24"/>
                <w:szCs w:val="24"/>
                <w:highlight w:val="none"/>
              </w:rPr>
            </w:pPr>
            <w:r>
              <w:rPr>
                <w:rFonts w:hint="eastAsia" w:ascii="宋体" w:hAnsi="宋体" w:cs="宋体"/>
                <w:kern w:val="2"/>
                <w:sz w:val="24"/>
                <w:szCs w:val="24"/>
                <w:highlight w:val="none"/>
                <w:lang w:val="en-US" w:eastAsia="zh-CN" w:bidi="ar-SA"/>
              </w:rPr>
              <w:t>9.</w:t>
            </w:r>
            <w:r>
              <w:rPr>
                <w:rFonts w:hint="eastAsia" w:ascii="宋体" w:hAnsi="宋体" w:cs="宋体"/>
                <w:sz w:val="24"/>
                <w:szCs w:val="24"/>
                <w:highlight w:val="none"/>
              </w:rPr>
              <w:t>消防设施设备完好率</w:t>
            </w:r>
            <w:r>
              <w:rPr>
                <w:rFonts w:hint="eastAsia" w:ascii="宋体" w:hAnsi="宋体" w:cs="宋体"/>
                <w:sz w:val="24"/>
                <w:szCs w:val="24"/>
                <w:highlight w:val="none"/>
                <w:lang w:val="en-US" w:eastAsia="zh-CN"/>
              </w:rPr>
              <w:t>100%</w:t>
            </w:r>
            <w:r>
              <w:rPr>
                <w:rFonts w:hint="eastAsia" w:ascii="宋体" w:hAnsi="宋体" w:cs="宋体"/>
                <w:sz w:val="24"/>
                <w:szCs w:val="24"/>
                <w:highlight w:val="none"/>
              </w:rPr>
              <w:t>；</w:t>
            </w:r>
          </w:p>
          <w:p>
            <w:pPr>
              <w:numPr>
                <w:ilvl w:val="0"/>
                <w:numId w:val="0"/>
              </w:numPr>
              <w:rPr>
                <w:rFonts w:hint="eastAsia" w:ascii="宋体" w:hAnsi="宋体" w:cs="宋体"/>
                <w:sz w:val="24"/>
                <w:szCs w:val="24"/>
                <w:highlight w:val="none"/>
              </w:rPr>
            </w:pPr>
            <w:r>
              <w:rPr>
                <w:rFonts w:hint="eastAsia" w:ascii="宋体" w:hAnsi="宋体" w:cs="宋体"/>
                <w:kern w:val="2"/>
                <w:sz w:val="24"/>
                <w:szCs w:val="24"/>
                <w:highlight w:val="none"/>
                <w:lang w:val="en-US" w:eastAsia="zh-CN" w:bidi="ar-SA"/>
              </w:rPr>
              <w:t>10.</w:t>
            </w:r>
            <w:r>
              <w:rPr>
                <w:rFonts w:hint="eastAsia" w:ascii="宋体" w:hAnsi="宋体" w:cs="宋体"/>
                <w:sz w:val="24"/>
                <w:szCs w:val="24"/>
                <w:highlight w:val="none"/>
              </w:rPr>
              <w:t>火灾发生率</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p>
          <w:p>
            <w:pPr>
              <w:numPr>
                <w:ilvl w:val="0"/>
                <w:numId w:val="0"/>
              </w:numPr>
              <w:rPr>
                <w:rFonts w:hint="eastAsia" w:ascii="宋体" w:hAnsi="宋体" w:cs="宋体"/>
                <w:sz w:val="24"/>
                <w:szCs w:val="24"/>
                <w:highlight w:val="none"/>
              </w:rPr>
            </w:pPr>
            <w:r>
              <w:rPr>
                <w:rFonts w:hint="eastAsia" w:ascii="宋体" w:hAnsi="宋体" w:cs="宋体"/>
                <w:kern w:val="2"/>
                <w:sz w:val="24"/>
                <w:szCs w:val="24"/>
                <w:highlight w:val="none"/>
                <w:lang w:val="en-US" w:eastAsia="zh-CN" w:bidi="ar-SA"/>
              </w:rPr>
              <w:t>11.</w:t>
            </w:r>
            <w:r>
              <w:rPr>
                <w:rFonts w:hint="eastAsia" w:ascii="宋体" w:hAnsi="宋体" w:cs="宋体"/>
                <w:sz w:val="24"/>
                <w:szCs w:val="24"/>
                <w:highlight w:val="none"/>
              </w:rPr>
              <w:t>业主有效投诉处理率</w:t>
            </w:r>
            <w:r>
              <w:rPr>
                <w:rFonts w:hint="eastAsia" w:ascii="宋体" w:hAnsi="宋体" w:cs="宋体"/>
                <w:sz w:val="24"/>
                <w:szCs w:val="24"/>
                <w:highlight w:val="none"/>
                <w:lang w:val="en-US" w:eastAsia="zh-CN"/>
              </w:rPr>
              <w:t>95%及以上</w:t>
            </w:r>
            <w:r>
              <w:rPr>
                <w:rFonts w:hint="eastAsia" w:ascii="宋体" w:hAnsi="宋体" w:cs="宋体"/>
                <w:sz w:val="24"/>
                <w:szCs w:val="24"/>
                <w:highlight w:val="none"/>
              </w:rPr>
              <w:t>；</w:t>
            </w:r>
          </w:p>
          <w:p>
            <w:pPr>
              <w:numPr>
                <w:ilvl w:val="0"/>
                <w:numId w:val="0"/>
              </w:numPr>
              <w:rPr>
                <w:rFonts w:hint="eastAsia" w:ascii="宋体" w:hAnsi="宋体" w:cs="宋体"/>
                <w:sz w:val="24"/>
                <w:szCs w:val="24"/>
                <w:highlight w:val="none"/>
              </w:rPr>
            </w:pPr>
            <w:r>
              <w:rPr>
                <w:rFonts w:hint="eastAsia" w:ascii="宋体" w:hAnsi="宋体" w:cs="宋体"/>
                <w:kern w:val="2"/>
                <w:sz w:val="24"/>
                <w:szCs w:val="24"/>
                <w:highlight w:val="none"/>
                <w:lang w:val="en-US" w:eastAsia="zh-CN" w:bidi="ar-SA"/>
              </w:rPr>
              <w:t>12.</w:t>
            </w:r>
            <w:r>
              <w:rPr>
                <w:rFonts w:hint="eastAsia" w:ascii="宋体" w:hAnsi="宋体" w:cs="宋体"/>
                <w:sz w:val="24"/>
                <w:szCs w:val="24"/>
                <w:highlight w:val="none"/>
              </w:rPr>
              <w:t>管理人员专业培训合格率</w:t>
            </w:r>
            <w:r>
              <w:rPr>
                <w:rFonts w:hint="eastAsia" w:ascii="宋体" w:hAnsi="宋体" w:cs="宋体"/>
                <w:sz w:val="24"/>
                <w:szCs w:val="24"/>
                <w:highlight w:val="none"/>
                <w:lang w:val="en-US" w:eastAsia="zh-CN"/>
              </w:rPr>
              <w:t>100%</w:t>
            </w:r>
            <w:r>
              <w:rPr>
                <w:rFonts w:hint="eastAsia" w:ascii="宋体" w:hAnsi="宋体" w:cs="宋体"/>
                <w:sz w:val="24"/>
                <w:szCs w:val="24"/>
                <w:highlight w:val="none"/>
              </w:rPr>
              <w:t>；</w:t>
            </w:r>
          </w:p>
          <w:p>
            <w:pPr>
              <w:numPr>
                <w:ilvl w:val="0"/>
                <w:numId w:val="0"/>
              </w:numPr>
              <w:rPr>
                <w:rFonts w:hint="eastAsia" w:ascii="宋体" w:hAnsi="宋体" w:cs="宋体"/>
                <w:sz w:val="24"/>
                <w:szCs w:val="24"/>
                <w:highlight w:val="none"/>
              </w:rPr>
            </w:pPr>
            <w:r>
              <w:rPr>
                <w:rFonts w:hint="eastAsia" w:ascii="宋体" w:hAnsi="宋体" w:cs="宋体"/>
                <w:kern w:val="2"/>
                <w:sz w:val="24"/>
                <w:szCs w:val="24"/>
                <w:highlight w:val="none"/>
                <w:lang w:val="en-US" w:eastAsia="zh-CN" w:bidi="ar-SA"/>
              </w:rPr>
              <w:t>13.</w:t>
            </w:r>
            <w:r>
              <w:rPr>
                <w:rFonts w:hint="eastAsia" w:ascii="宋体" w:hAnsi="宋体" w:cs="宋体"/>
                <w:sz w:val="24"/>
                <w:szCs w:val="24"/>
                <w:highlight w:val="none"/>
              </w:rPr>
              <w:t>维修服务回访率</w:t>
            </w:r>
            <w:r>
              <w:rPr>
                <w:rFonts w:hint="eastAsia" w:ascii="宋体" w:hAnsi="宋体" w:cs="宋体"/>
                <w:sz w:val="24"/>
                <w:szCs w:val="24"/>
                <w:highlight w:val="none"/>
                <w:lang w:val="en-US" w:eastAsia="zh-CN"/>
              </w:rPr>
              <w:t>100%</w:t>
            </w:r>
            <w:r>
              <w:rPr>
                <w:rFonts w:hint="eastAsia" w:ascii="宋体" w:hAnsi="宋体" w:cs="宋体"/>
                <w:sz w:val="24"/>
                <w:szCs w:val="24"/>
                <w:highlight w:val="none"/>
              </w:rPr>
              <w:t>；</w:t>
            </w:r>
          </w:p>
          <w:p>
            <w:pPr>
              <w:rPr>
                <w:rFonts w:hint="eastAsia" w:ascii="宋体" w:hAnsi="宋体" w:eastAsia="宋体" w:cs="宋体"/>
                <w:sz w:val="24"/>
                <w:szCs w:val="24"/>
                <w:highlight w:val="yellow"/>
                <w:lang w:val="en-US" w:eastAsia="zh-CN"/>
              </w:rPr>
            </w:pPr>
            <w:r>
              <w:rPr>
                <w:rFonts w:hint="eastAsia" w:ascii="宋体" w:hAnsi="宋体" w:cs="宋体"/>
                <w:sz w:val="24"/>
                <w:szCs w:val="24"/>
              </w:rPr>
              <w:t>很好的得3.1-4分，较好的得2-3分，一般的得0-1.9分</w:t>
            </w:r>
            <w:r>
              <w:rPr>
                <w:rFonts w:hint="eastAsia" w:ascii="宋体" w:hAnsi="宋体" w:cs="宋体"/>
                <w:sz w:val="24"/>
                <w:szCs w:val="24"/>
                <w:lang w:eastAsia="zh-CN"/>
              </w:rPr>
              <w:t>。</w:t>
            </w:r>
          </w:p>
        </w:tc>
        <w:tc>
          <w:tcPr>
            <w:tcW w:w="1237" w:type="dxa"/>
            <w:noWrap w:val="0"/>
            <w:vAlign w:val="center"/>
          </w:tcPr>
          <w:p>
            <w:pPr>
              <w:ind w:firstLine="20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cs="宋体"/>
                <w:sz w:val="24"/>
                <w:szCs w:val="24"/>
                <w:highlight w:val="none"/>
              </w:rPr>
              <w:t>分</w:t>
            </w:r>
          </w:p>
        </w:tc>
      </w:tr>
    </w:tbl>
    <w:tbl>
      <w:tblPr>
        <w:tblStyle w:val="36"/>
        <w:tblpPr w:leftFromText="180" w:rightFromText="180" w:vertAnchor="text" w:horzAnchor="page" w:tblpX="1212" w:tblpY="1"/>
        <w:tblOverlap w:val="never"/>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722"/>
        <w:gridCol w:w="5550"/>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7" w:type="dxa"/>
            <w:vMerge w:val="restart"/>
            <w:noWrap w:val="0"/>
            <w:vAlign w:val="center"/>
          </w:tcPr>
          <w:p>
            <w:pPr>
              <w:ind w:firstLine="200"/>
              <w:jc w:val="center"/>
              <w:rPr>
                <w:rFonts w:hint="eastAsia" w:ascii="宋体" w:hAnsi="宋体" w:cs="宋体"/>
                <w:sz w:val="24"/>
                <w:szCs w:val="24"/>
                <w:highlight w:val="none"/>
              </w:rPr>
            </w:pPr>
          </w:p>
        </w:tc>
        <w:tc>
          <w:tcPr>
            <w:tcW w:w="1722" w:type="dxa"/>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针对本项目特点制定日常物业管理方案</w:t>
            </w:r>
          </w:p>
        </w:tc>
        <w:tc>
          <w:tcPr>
            <w:tcW w:w="5550" w:type="dxa"/>
            <w:noWrap w:val="0"/>
            <w:vAlign w:val="center"/>
          </w:tcPr>
          <w:p>
            <w:pPr>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物业管理区域内公共秩序维护方案。</w:t>
            </w:r>
          </w:p>
          <w:p>
            <w:pPr>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物业管理区域内共用设施设备的运行、维修养护方案：内容涵盖房屋和给排水、供电系统、中央空调和暖通系统、消防系统。</w:t>
            </w:r>
          </w:p>
          <w:p>
            <w:pPr>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物业管理区域内环境清洁服务方案。</w:t>
            </w:r>
          </w:p>
          <w:p>
            <w:pPr>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绿化养护方案。</w:t>
            </w:r>
          </w:p>
          <w:p>
            <w:pPr>
              <w:rPr>
                <w:rFonts w:hint="eastAsia"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会务咨询服务方案。</w:t>
            </w:r>
          </w:p>
          <w:p>
            <w:pPr>
              <w:rPr>
                <w:rFonts w:hint="eastAsia" w:ascii="宋体" w:hAnsi="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智能化系统的日常运行及维护方案。</w:t>
            </w:r>
          </w:p>
          <w:p>
            <w:pPr>
              <w:rPr>
                <w:rFonts w:hint="eastAsia"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满意度回访及投诉处置方案。</w:t>
            </w:r>
          </w:p>
          <w:p>
            <w:pPr>
              <w:rPr>
                <w:rFonts w:hint="eastAsia" w:ascii="宋体" w:hAnsi="宋体" w:cs="宋体"/>
                <w:sz w:val="24"/>
                <w:szCs w:val="24"/>
                <w:highlight w:val="none"/>
              </w:rPr>
            </w:pPr>
            <w:r>
              <w:rPr>
                <w:rFonts w:hint="eastAsia" w:ascii="宋体" w:hAnsi="宋体" w:cs="宋体"/>
                <w:sz w:val="24"/>
                <w:szCs w:val="24"/>
              </w:rPr>
              <w:t>很好的得</w:t>
            </w:r>
            <w:r>
              <w:rPr>
                <w:rFonts w:hint="eastAsia" w:ascii="宋体" w:hAnsi="宋体" w:cs="宋体"/>
                <w:sz w:val="24"/>
                <w:szCs w:val="24"/>
                <w:lang w:val="en-US" w:eastAsia="zh-CN"/>
              </w:rPr>
              <w:t>5</w:t>
            </w: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分，较好的得</w:t>
            </w: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分，一般的得0-</w:t>
            </w:r>
            <w:r>
              <w:rPr>
                <w:rFonts w:hint="eastAsia" w:ascii="宋体" w:hAnsi="宋体" w:cs="宋体"/>
                <w:sz w:val="24"/>
                <w:szCs w:val="24"/>
                <w:lang w:val="en-US" w:eastAsia="zh-CN"/>
              </w:rPr>
              <w:t>2</w:t>
            </w:r>
            <w:r>
              <w:rPr>
                <w:rFonts w:hint="eastAsia" w:ascii="宋体" w:hAnsi="宋体" w:cs="宋体"/>
                <w:sz w:val="24"/>
                <w:szCs w:val="24"/>
              </w:rPr>
              <w:t>.9分</w:t>
            </w:r>
            <w:r>
              <w:rPr>
                <w:rFonts w:hint="eastAsia" w:ascii="宋体" w:hAnsi="宋体" w:cs="宋体"/>
                <w:sz w:val="24"/>
                <w:szCs w:val="24"/>
                <w:lang w:eastAsia="zh-CN"/>
              </w:rPr>
              <w:t>。</w:t>
            </w:r>
          </w:p>
        </w:tc>
        <w:tc>
          <w:tcPr>
            <w:tcW w:w="1223" w:type="dxa"/>
            <w:noWrap w:val="0"/>
            <w:vAlign w:val="center"/>
          </w:tcPr>
          <w:p>
            <w:pPr>
              <w:ind w:firstLine="20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1167" w:type="dxa"/>
            <w:vMerge w:val="continue"/>
            <w:noWrap w:val="0"/>
            <w:vAlign w:val="center"/>
          </w:tcPr>
          <w:p>
            <w:pPr>
              <w:ind w:firstLine="200"/>
              <w:jc w:val="center"/>
              <w:rPr>
                <w:rFonts w:hint="eastAsia" w:ascii="宋体" w:hAnsi="宋体" w:cs="宋体"/>
                <w:sz w:val="24"/>
                <w:szCs w:val="24"/>
                <w:highlight w:val="none"/>
              </w:rPr>
            </w:pPr>
          </w:p>
        </w:tc>
        <w:tc>
          <w:tcPr>
            <w:tcW w:w="1722" w:type="dxa"/>
            <w:noWrap w:val="0"/>
            <w:vAlign w:val="center"/>
          </w:tcPr>
          <w:p>
            <w:pPr>
              <w:ind w:firstLine="200"/>
              <w:jc w:val="center"/>
              <w:rPr>
                <w:rFonts w:hint="eastAsia" w:ascii="宋体" w:hAnsi="宋体" w:cs="宋体"/>
                <w:sz w:val="24"/>
                <w:szCs w:val="24"/>
                <w:highlight w:val="none"/>
              </w:rPr>
            </w:pPr>
            <w:r>
              <w:rPr>
                <w:rFonts w:hint="eastAsia" w:ascii="宋体" w:hAnsi="宋体" w:cs="宋体"/>
                <w:sz w:val="24"/>
                <w:szCs w:val="24"/>
                <w:highlight w:val="none"/>
              </w:rPr>
              <w:t>应急预案</w:t>
            </w:r>
          </w:p>
        </w:tc>
        <w:tc>
          <w:tcPr>
            <w:tcW w:w="5550" w:type="dxa"/>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根据本项目物业特点制定有针对性的应急预案。包括建筑物及其附属设施设备发生危险或其他不可预见的事件，影响他人安全时的应急预案(供水、供电、消防等)。</w:t>
            </w:r>
          </w:p>
          <w:p>
            <w:pPr>
              <w:spacing w:line="360" w:lineRule="exact"/>
              <w:rPr>
                <w:rFonts w:hint="eastAsia" w:ascii="宋体" w:hAnsi="宋体" w:cs="宋体"/>
                <w:sz w:val="24"/>
                <w:szCs w:val="24"/>
              </w:rPr>
            </w:pPr>
            <w:r>
              <w:rPr>
                <w:rFonts w:hint="eastAsia" w:ascii="宋体" w:hAnsi="宋体" w:cs="宋体"/>
                <w:sz w:val="24"/>
                <w:szCs w:val="24"/>
              </w:rPr>
              <w:t>1.项目范围内突然断水、断电、无天然气的应急措施；</w:t>
            </w:r>
          </w:p>
          <w:p>
            <w:pPr>
              <w:spacing w:line="360" w:lineRule="exact"/>
              <w:rPr>
                <w:rFonts w:hint="eastAsia" w:ascii="宋体" w:hAnsi="宋体" w:cs="宋体"/>
                <w:sz w:val="24"/>
                <w:szCs w:val="24"/>
              </w:rPr>
            </w:pPr>
            <w:r>
              <w:rPr>
                <w:rFonts w:hint="eastAsia" w:ascii="宋体" w:hAnsi="宋体" w:cs="宋体"/>
                <w:sz w:val="24"/>
                <w:szCs w:val="24"/>
              </w:rPr>
              <w:t>2.项目范围内雨、污水管及排水管网阻塞的应急措施；</w:t>
            </w:r>
          </w:p>
          <w:p>
            <w:pPr>
              <w:spacing w:line="360" w:lineRule="exact"/>
              <w:rPr>
                <w:rFonts w:hint="eastAsia" w:ascii="宋体" w:hAnsi="宋体" w:cs="宋体"/>
                <w:sz w:val="24"/>
                <w:szCs w:val="24"/>
              </w:rPr>
            </w:pPr>
            <w:r>
              <w:rPr>
                <w:rFonts w:hint="eastAsia" w:ascii="宋体" w:hAnsi="宋体" w:cs="宋体"/>
                <w:sz w:val="24"/>
                <w:szCs w:val="24"/>
              </w:rPr>
              <w:t>3.电梯故障的应急措施；</w:t>
            </w:r>
          </w:p>
          <w:p>
            <w:pPr>
              <w:spacing w:line="360" w:lineRule="exact"/>
              <w:rPr>
                <w:rFonts w:hint="eastAsia" w:ascii="宋体" w:hAnsi="宋体" w:cs="宋体"/>
                <w:sz w:val="24"/>
                <w:szCs w:val="24"/>
              </w:rPr>
            </w:pPr>
            <w:r>
              <w:rPr>
                <w:rFonts w:hint="eastAsia" w:ascii="宋体" w:hAnsi="宋体" w:cs="宋体"/>
                <w:sz w:val="24"/>
                <w:szCs w:val="24"/>
              </w:rPr>
              <w:t>4.消防应急措施；</w:t>
            </w:r>
          </w:p>
          <w:p>
            <w:pPr>
              <w:spacing w:line="360" w:lineRule="exact"/>
              <w:rPr>
                <w:rFonts w:hint="eastAsia" w:ascii="宋体" w:hAnsi="宋体" w:cs="宋体"/>
                <w:sz w:val="24"/>
                <w:szCs w:val="24"/>
              </w:rPr>
            </w:pPr>
            <w:r>
              <w:rPr>
                <w:rFonts w:hint="eastAsia" w:ascii="宋体" w:hAnsi="宋体" w:cs="宋体"/>
                <w:sz w:val="24"/>
                <w:szCs w:val="24"/>
              </w:rPr>
              <w:t>5.治安刑事案件的确应急措施；</w:t>
            </w:r>
          </w:p>
          <w:p>
            <w:pPr>
              <w:spacing w:line="360" w:lineRule="exact"/>
              <w:rPr>
                <w:rFonts w:hint="eastAsia" w:ascii="宋体" w:hAnsi="宋体" w:cs="宋体"/>
                <w:sz w:val="24"/>
                <w:szCs w:val="24"/>
              </w:rPr>
            </w:pPr>
            <w:r>
              <w:rPr>
                <w:rFonts w:hint="eastAsia" w:ascii="宋体" w:hAnsi="宋体" w:cs="宋体"/>
                <w:sz w:val="24"/>
                <w:szCs w:val="24"/>
              </w:rPr>
              <w:t>6.公共卫生事件；</w:t>
            </w:r>
          </w:p>
          <w:p>
            <w:pPr>
              <w:spacing w:line="360" w:lineRule="exact"/>
              <w:rPr>
                <w:rFonts w:hint="eastAsia" w:ascii="宋体" w:hAnsi="宋体" w:cs="宋体"/>
                <w:sz w:val="24"/>
                <w:szCs w:val="24"/>
              </w:rPr>
            </w:pPr>
            <w:r>
              <w:rPr>
                <w:rFonts w:hint="eastAsia" w:ascii="宋体" w:hAnsi="宋体" w:cs="宋体"/>
                <w:sz w:val="24"/>
                <w:szCs w:val="24"/>
              </w:rPr>
              <w:t>7.自然灾害应急措施。</w:t>
            </w:r>
          </w:p>
          <w:p>
            <w:pPr>
              <w:rPr>
                <w:rFonts w:hint="eastAsia" w:ascii="宋体" w:hAnsi="宋体" w:cs="宋体"/>
                <w:sz w:val="24"/>
                <w:szCs w:val="24"/>
                <w:highlight w:val="none"/>
              </w:rPr>
            </w:pPr>
            <w:r>
              <w:rPr>
                <w:rFonts w:hint="eastAsia" w:ascii="宋体" w:hAnsi="宋体" w:cs="宋体"/>
                <w:sz w:val="24"/>
                <w:szCs w:val="24"/>
              </w:rPr>
              <w:t>很好的得</w:t>
            </w:r>
            <w:r>
              <w:rPr>
                <w:rFonts w:hint="eastAsia" w:ascii="宋体" w:hAnsi="宋体" w:cs="宋体"/>
                <w:sz w:val="24"/>
                <w:szCs w:val="24"/>
                <w:lang w:val="en-US" w:eastAsia="zh-CN"/>
              </w:rPr>
              <w:t>6</w:t>
            </w:r>
            <w:r>
              <w:rPr>
                <w:rFonts w:hint="eastAsia" w:ascii="宋体" w:hAnsi="宋体" w:cs="宋体"/>
                <w:sz w:val="24"/>
                <w:szCs w:val="24"/>
              </w:rPr>
              <w:t>.1-</w:t>
            </w:r>
            <w:r>
              <w:rPr>
                <w:rFonts w:hint="eastAsia" w:ascii="宋体" w:hAnsi="宋体" w:cs="宋体"/>
                <w:sz w:val="24"/>
                <w:szCs w:val="24"/>
                <w:lang w:val="en-US" w:eastAsia="zh-CN"/>
              </w:rPr>
              <w:t>9</w:t>
            </w:r>
            <w:r>
              <w:rPr>
                <w:rFonts w:hint="eastAsia" w:ascii="宋体" w:hAnsi="宋体" w:cs="宋体"/>
                <w:sz w:val="24"/>
                <w:szCs w:val="24"/>
              </w:rPr>
              <w:t>分，较好的得</w:t>
            </w: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分，一般的得0-</w:t>
            </w:r>
            <w:r>
              <w:rPr>
                <w:rFonts w:hint="eastAsia" w:ascii="宋体" w:hAnsi="宋体" w:cs="宋体"/>
                <w:sz w:val="24"/>
                <w:szCs w:val="24"/>
                <w:lang w:val="en-US" w:eastAsia="zh-CN"/>
              </w:rPr>
              <w:t>2</w:t>
            </w:r>
            <w:r>
              <w:rPr>
                <w:rFonts w:hint="eastAsia" w:ascii="宋体" w:hAnsi="宋体" w:cs="宋体"/>
                <w:sz w:val="24"/>
                <w:szCs w:val="24"/>
              </w:rPr>
              <w:t>.9分</w:t>
            </w:r>
            <w:r>
              <w:rPr>
                <w:rFonts w:hint="eastAsia" w:ascii="宋体" w:hAnsi="宋体" w:cs="宋体"/>
                <w:sz w:val="24"/>
                <w:szCs w:val="24"/>
                <w:lang w:eastAsia="zh-CN"/>
              </w:rPr>
              <w:t>。</w:t>
            </w:r>
          </w:p>
        </w:tc>
        <w:tc>
          <w:tcPr>
            <w:tcW w:w="1223" w:type="dxa"/>
            <w:noWrap w:val="0"/>
            <w:vAlign w:val="center"/>
          </w:tcPr>
          <w:p>
            <w:pPr>
              <w:ind w:firstLine="20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9</w:t>
            </w:r>
            <w:r>
              <w:rPr>
                <w:rFonts w:hint="eastAsia" w:ascii="宋体" w:hAnsi="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2" w:hRule="atLeast"/>
        </w:trPr>
        <w:tc>
          <w:tcPr>
            <w:tcW w:w="1167" w:type="dxa"/>
            <w:vMerge w:val="restart"/>
            <w:noWrap w:val="0"/>
            <w:vAlign w:val="center"/>
          </w:tcPr>
          <w:p>
            <w:pPr>
              <w:ind w:firstLine="200"/>
              <w:jc w:val="both"/>
              <w:rPr>
                <w:rFonts w:hint="eastAsia" w:ascii="宋体" w:hAnsi="宋体" w:cs="宋体"/>
                <w:sz w:val="24"/>
                <w:szCs w:val="24"/>
              </w:rPr>
            </w:pPr>
            <w:r>
              <w:rPr>
                <w:rFonts w:hint="eastAsia" w:ascii="宋体" w:hAnsi="宋体" w:cs="宋体"/>
                <w:b/>
                <w:bCs/>
                <w:sz w:val="24"/>
                <w:szCs w:val="24"/>
                <w:highlight w:val="none"/>
                <w:lang w:val="en-US" w:eastAsia="zh-CN"/>
              </w:rPr>
              <w:t>资信</w:t>
            </w:r>
            <w:r>
              <w:rPr>
                <w:rFonts w:hint="eastAsia" w:ascii="宋体" w:hAnsi="宋体" w:cs="宋体"/>
                <w:b/>
                <w:bCs/>
                <w:sz w:val="24"/>
                <w:szCs w:val="24"/>
                <w:highlight w:val="none"/>
                <w:lang w:eastAsia="zh-CN"/>
              </w:rPr>
              <w:t>标</w:t>
            </w:r>
            <w:r>
              <w:rPr>
                <w:rFonts w:hint="eastAsia" w:ascii="宋体" w:hAnsi="宋体" w:eastAsia="宋体" w:cs="宋体"/>
                <w:sz w:val="24"/>
                <w:szCs w:val="24"/>
                <w:highlight w:val="none"/>
                <w:lang w:val="en-US" w:eastAsia="zh-CN"/>
              </w:rPr>
              <w:t>（项目物业管理服务机构及人员配备，3</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w:t>
            </w:r>
          </w:p>
        </w:tc>
        <w:tc>
          <w:tcPr>
            <w:tcW w:w="1722" w:type="dxa"/>
            <w:noWrap w:val="0"/>
            <w:vAlign w:val="center"/>
          </w:tcPr>
          <w:p>
            <w:pPr>
              <w:ind w:firstLine="200"/>
              <w:jc w:val="center"/>
              <w:rPr>
                <w:rFonts w:hint="eastAsia" w:ascii="宋体" w:hAnsi="宋体" w:cs="宋体"/>
                <w:sz w:val="24"/>
                <w:szCs w:val="24"/>
              </w:rPr>
            </w:pPr>
            <w:r>
              <w:rPr>
                <w:rFonts w:hint="eastAsia" w:ascii="宋体" w:hAnsi="宋体" w:cs="宋体"/>
                <w:sz w:val="24"/>
                <w:szCs w:val="24"/>
              </w:rPr>
              <w:t>人员素质</w:t>
            </w:r>
          </w:p>
        </w:tc>
        <w:tc>
          <w:tcPr>
            <w:tcW w:w="5550" w:type="dxa"/>
            <w:noWrap w:val="0"/>
            <w:vAlign w:val="center"/>
          </w:tcPr>
          <w:p>
            <w:pPr>
              <w:rPr>
                <w:rFonts w:hint="eastAsia" w:ascii="宋体" w:hAnsi="宋体" w:cs="宋体"/>
                <w:b/>
                <w:bCs/>
                <w:sz w:val="24"/>
                <w:szCs w:val="24"/>
              </w:rPr>
            </w:pPr>
            <w:r>
              <w:rPr>
                <w:rFonts w:hint="eastAsia" w:ascii="宋体" w:hAnsi="宋体" w:cs="宋体"/>
                <w:b/>
                <w:bCs/>
                <w:sz w:val="24"/>
                <w:szCs w:val="24"/>
              </w:rPr>
              <w:t>1、</w:t>
            </w:r>
            <w:r>
              <w:rPr>
                <w:rFonts w:hint="eastAsia" w:ascii="宋体" w:hAnsi="宋体" w:cs="宋体"/>
                <w:b/>
                <w:bCs/>
                <w:sz w:val="24"/>
                <w:szCs w:val="24"/>
                <w:lang w:eastAsia="zh-CN"/>
              </w:rPr>
              <w:t>项目负责人</w:t>
            </w:r>
            <w:r>
              <w:rPr>
                <w:rFonts w:hint="eastAsia" w:ascii="宋体" w:hAnsi="宋体" w:cs="宋体"/>
                <w:b/>
                <w:bCs/>
                <w:sz w:val="24"/>
                <w:szCs w:val="24"/>
              </w:rPr>
              <w:t>（1人）（满分</w:t>
            </w:r>
            <w:r>
              <w:rPr>
                <w:rFonts w:hint="eastAsia" w:ascii="宋体" w:hAnsi="宋体" w:cs="宋体"/>
                <w:b/>
                <w:bCs/>
                <w:sz w:val="24"/>
                <w:szCs w:val="24"/>
                <w:lang w:val="en-US" w:eastAsia="zh-CN"/>
              </w:rPr>
              <w:t>8</w:t>
            </w:r>
            <w:r>
              <w:rPr>
                <w:rFonts w:hint="eastAsia" w:ascii="宋体" w:hAnsi="宋体" w:cs="宋体"/>
                <w:b/>
                <w:bCs/>
                <w:sz w:val="24"/>
                <w:szCs w:val="24"/>
              </w:rPr>
              <w:t>分）：</w:t>
            </w:r>
          </w:p>
          <w:p>
            <w:pPr>
              <w:rPr>
                <w:rFonts w:hint="eastAsia" w:ascii="宋体" w:hAnsi="宋体" w:cs="宋体"/>
                <w:sz w:val="24"/>
                <w:szCs w:val="24"/>
                <w:highlight w:val="none"/>
              </w:rPr>
            </w:pPr>
            <w:r>
              <w:rPr>
                <w:rFonts w:hint="eastAsia" w:ascii="宋体" w:hAnsi="宋体" w:cs="宋体"/>
                <w:sz w:val="24"/>
                <w:szCs w:val="24"/>
              </w:rPr>
              <w:t>①</w:t>
            </w:r>
            <w:r>
              <w:rPr>
                <w:rFonts w:hint="eastAsia" w:ascii="宋体" w:hAnsi="宋体" w:eastAsia="宋体" w:cs="宋体"/>
                <w:color w:val="auto"/>
                <w:kern w:val="0"/>
                <w:sz w:val="24"/>
                <w:szCs w:val="24"/>
                <w:lang w:val="en-US" w:eastAsia="zh-CN" w:bidi="ar"/>
              </w:rPr>
              <w:t>具</w:t>
            </w:r>
            <w:r>
              <w:rPr>
                <w:rFonts w:hint="eastAsia" w:ascii="宋体" w:hAnsi="宋体" w:cs="宋体"/>
                <w:color w:val="auto"/>
                <w:sz w:val="24"/>
                <w:szCs w:val="24"/>
                <w:highlight w:val="none"/>
              </w:rPr>
              <w:t>有</w:t>
            </w:r>
            <w:r>
              <w:rPr>
                <w:rFonts w:hint="eastAsia" w:ascii="宋体" w:hAnsi="宋体" w:cs="宋体"/>
                <w:sz w:val="24"/>
                <w:szCs w:val="24"/>
                <w:highlight w:val="none"/>
              </w:rPr>
              <w:t>全国物业管理企业经理岗位证书或物业管理师证书的得</w:t>
            </w:r>
            <w:r>
              <w:rPr>
                <w:rFonts w:hint="eastAsia" w:ascii="宋体" w:hAnsi="宋体" w:cs="宋体"/>
                <w:sz w:val="24"/>
                <w:szCs w:val="24"/>
                <w:highlight w:val="none"/>
                <w:lang w:val="en-US" w:eastAsia="zh-CN"/>
              </w:rPr>
              <w:t>1</w:t>
            </w:r>
            <w:r>
              <w:rPr>
                <w:rFonts w:hint="eastAsia" w:ascii="宋体" w:hAnsi="宋体" w:cs="宋体"/>
                <w:sz w:val="24"/>
                <w:szCs w:val="24"/>
                <w:highlight w:val="none"/>
              </w:rPr>
              <w:t>分；</w:t>
            </w:r>
          </w:p>
          <w:p>
            <w:pPr>
              <w:keepNext w:val="0"/>
              <w:keepLines w:val="0"/>
              <w:widowControl/>
              <w:suppressLineNumbers w:val="0"/>
              <w:jc w:val="left"/>
              <w:rPr>
                <w:rFonts w:hint="eastAsia" w:ascii="宋体" w:hAnsi="宋体" w:cs="宋体"/>
                <w:sz w:val="24"/>
                <w:szCs w:val="24"/>
                <w:highlight w:val="none"/>
              </w:rPr>
            </w:pPr>
            <w:r>
              <w:rPr>
                <w:rFonts w:hint="eastAsia" w:ascii="宋体" w:hAnsi="宋体" w:cs="宋体"/>
                <w:sz w:val="24"/>
                <w:szCs w:val="24"/>
                <w:highlight w:val="none"/>
              </w:rPr>
              <w:t>②</w:t>
            </w:r>
            <w:r>
              <w:rPr>
                <w:rFonts w:hint="eastAsia" w:ascii="宋体" w:hAnsi="宋体" w:eastAsia="宋体" w:cs="宋体"/>
                <w:color w:val="auto"/>
                <w:kern w:val="0"/>
                <w:sz w:val="24"/>
                <w:szCs w:val="24"/>
                <w:lang w:val="en-US" w:eastAsia="zh-CN" w:bidi="ar"/>
              </w:rPr>
              <w:t>具有市场监督管理部门颁发的</w:t>
            </w:r>
            <w:r>
              <w:rPr>
                <w:rFonts w:hint="eastAsia" w:ascii="宋体" w:hAnsi="宋体" w:cs="宋体"/>
                <w:sz w:val="24"/>
                <w:szCs w:val="24"/>
                <w:highlight w:val="none"/>
                <w:lang w:eastAsia="zh-CN"/>
              </w:rPr>
              <w:t>持有特种设备安全管理和作业人员</w:t>
            </w:r>
            <w:r>
              <w:rPr>
                <w:rFonts w:hint="eastAsia" w:ascii="宋体" w:hAnsi="宋体" w:cs="宋体"/>
                <w:sz w:val="24"/>
                <w:szCs w:val="24"/>
                <w:highlight w:val="none"/>
              </w:rPr>
              <w:t>证</w:t>
            </w:r>
            <w:r>
              <w:rPr>
                <w:rFonts w:hint="eastAsia" w:ascii="宋体" w:hAnsi="宋体" w:cs="宋体"/>
                <w:sz w:val="24"/>
                <w:szCs w:val="24"/>
                <w:highlight w:val="none"/>
                <w:lang w:eastAsia="zh-CN"/>
              </w:rPr>
              <w:t>的得</w:t>
            </w:r>
            <w:r>
              <w:rPr>
                <w:rFonts w:hint="eastAsia" w:ascii="宋体" w:hAnsi="宋体" w:cs="宋体"/>
                <w:sz w:val="24"/>
                <w:szCs w:val="24"/>
                <w:highlight w:val="none"/>
                <w:lang w:val="en-US" w:eastAsia="zh-CN"/>
              </w:rPr>
              <w:t>2分；</w:t>
            </w:r>
          </w:p>
          <w:p>
            <w:pPr>
              <w:rPr>
                <w:rFonts w:hint="eastAsia" w:ascii="宋体" w:hAnsi="宋体" w:cs="宋体"/>
                <w:color w:val="auto"/>
                <w:sz w:val="24"/>
                <w:szCs w:val="24"/>
                <w:highlight w:val="none"/>
              </w:rPr>
            </w:pPr>
            <w:r>
              <w:rPr>
                <w:rFonts w:hint="eastAsia" w:ascii="宋体" w:hAnsi="宋体" w:cs="宋体"/>
                <w:sz w:val="24"/>
                <w:szCs w:val="24"/>
                <w:highlight w:val="none"/>
              </w:rPr>
              <w:t>③</w:t>
            </w:r>
            <w:r>
              <w:rPr>
                <w:rFonts w:hint="eastAsia" w:ascii="宋体" w:hAnsi="宋体" w:cs="宋体"/>
                <w:sz w:val="24"/>
                <w:szCs w:val="24"/>
                <w:highlight w:val="none"/>
                <w:lang w:eastAsia="zh-CN"/>
              </w:rPr>
              <w:t>具有</w:t>
            </w:r>
            <w:r>
              <w:rPr>
                <w:rFonts w:hint="eastAsia" w:ascii="宋体" w:hAnsi="宋体" w:cs="宋体"/>
                <w:color w:val="auto"/>
                <w:sz w:val="24"/>
                <w:szCs w:val="24"/>
                <w:highlight w:val="none"/>
                <w:lang w:val="en-US" w:eastAsia="zh-CN"/>
              </w:rPr>
              <w:t>专科及以上</w:t>
            </w:r>
            <w:r>
              <w:rPr>
                <w:rFonts w:hint="eastAsia" w:ascii="宋体" w:hAnsi="宋体" w:cs="宋体"/>
                <w:color w:val="auto"/>
                <w:sz w:val="24"/>
                <w:szCs w:val="24"/>
                <w:highlight w:val="none"/>
              </w:rPr>
              <w:t>学历的得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p>
            <w:pPr>
              <w:rPr>
                <w:rFonts w:hint="default"/>
                <w:color w:val="auto"/>
                <w:lang w:val="en-US"/>
              </w:rPr>
            </w:pPr>
            <w:r>
              <w:rPr>
                <w:rFonts w:hint="eastAsia" w:ascii="宋体" w:hAnsi="宋体" w:cs="宋体"/>
                <w:sz w:val="24"/>
                <w:szCs w:val="24"/>
                <w:highlight w:val="none"/>
                <w:lang w:val="en-US" w:eastAsia="zh-CN"/>
              </w:rPr>
              <w:t>④</w:t>
            </w:r>
            <w:r>
              <w:rPr>
                <w:rFonts w:hint="eastAsia" w:ascii="宋体" w:hAnsi="宋体" w:cs="宋体"/>
                <w:color w:val="auto"/>
                <w:sz w:val="24"/>
                <w:szCs w:val="24"/>
                <w:highlight w:val="none"/>
                <w:lang w:eastAsia="zh-CN"/>
              </w:rPr>
              <w:t>获得县级物业管理协会或政府部门颁发荣誉的得</w:t>
            </w:r>
            <w:r>
              <w:rPr>
                <w:rFonts w:hint="eastAsia" w:ascii="宋体" w:hAnsi="宋体" w:cs="宋体"/>
                <w:color w:val="auto"/>
                <w:sz w:val="24"/>
                <w:szCs w:val="24"/>
                <w:highlight w:val="none"/>
                <w:lang w:val="en-US" w:eastAsia="zh-CN"/>
              </w:rPr>
              <w:t>1分，最高得1分；</w:t>
            </w:r>
            <w:r>
              <w:rPr>
                <w:rFonts w:hint="eastAsia" w:ascii="宋体" w:hAnsi="宋体" w:cs="宋体"/>
                <w:color w:val="auto"/>
                <w:sz w:val="24"/>
                <w:szCs w:val="24"/>
                <w:highlight w:val="none"/>
                <w:lang w:eastAsia="zh-CN"/>
              </w:rPr>
              <w:t>获得市级及以上物业管理协会或政府部门颁发的荣誉得</w:t>
            </w:r>
            <w:r>
              <w:rPr>
                <w:rFonts w:hint="eastAsia" w:ascii="宋体" w:hAnsi="宋体" w:cs="宋体"/>
                <w:color w:val="auto"/>
                <w:sz w:val="24"/>
                <w:szCs w:val="24"/>
                <w:highlight w:val="none"/>
                <w:lang w:val="en-US" w:eastAsia="zh-CN"/>
              </w:rPr>
              <w:t>2分。本项满分2</w:t>
            </w:r>
            <w:r>
              <w:rPr>
                <w:rFonts w:hint="eastAsia" w:ascii="宋体" w:hAnsi="宋体" w:cs="宋体"/>
                <w:color w:val="auto"/>
                <w:sz w:val="24"/>
                <w:szCs w:val="24"/>
                <w:highlight w:val="none"/>
                <w:lang w:eastAsia="zh-CN"/>
              </w:rPr>
              <w:t>分；</w:t>
            </w:r>
          </w:p>
          <w:p>
            <w:pPr>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⑤</w:t>
            </w:r>
            <w:r>
              <w:rPr>
                <w:rFonts w:hint="eastAsia" w:ascii="宋体" w:hAnsi="宋体" w:cs="宋体"/>
                <w:color w:val="auto"/>
                <w:sz w:val="24"/>
                <w:szCs w:val="24"/>
                <w:highlight w:val="none"/>
                <w:lang w:val="en-US" w:eastAsia="zh-CN"/>
              </w:rPr>
              <w:t>提供所属社保机构出具的包括磋商截止日所属月份（含）为基点起往前计算已经过去的连续5个月内不少于连续缴费3个月的社保证明得2分。</w:t>
            </w:r>
          </w:p>
          <w:p>
            <w:pPr>
              <w:numPr>
                <w:ilvl w:val="0"/>
                <w:numId w:val="6"/>
              </w:numPr>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eastAsia="zh-CN"/>
              </w:rPr>
              <w:t>秩序维护部主管</w:t>
            </w:r>
            <w:r>
              <w:rPr>
                <w:rFonts w:hint="eastAsia" w:ascii="宋体" w:hAnsi="宋体" w:cs="宋体"/>
                <w:b/>
                <w:bCs/>
                <w:color w:val="auto"/>
                <w:sz w:val="24"/>
                <w:szCs w:val="24"/>
                <w:highlight w:val="none"/>
              </w:rPr>
              <w:t>（1人）（满分</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分）：</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①具有退伍或退役军人证的得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p>
            <w:pPr>
              <w:rPr>
                <w:rFonts w:hint="eastAsia"/>
                <w:color w:val="auto"/>
              </w:rPr>
            </w:pPr>
            <w:r>
              <w:rPr>
                <w:rFonts w:hint="eastAsia" w:ascii="宋体" w:hAnsi="宋体" w:cs="宋体"/>
                <w:color w:val="auto"/>
                <w:sz w:val="24"/>
                <w:szCs w:val="24"/>
                <w:highlight w:val="none"/>
              </w:rPr>
              <w:t>②</w:t>
            </w:r>
            <w:r>
              <w:rPr>
                <w:rFonts w:hint="eastAsia" w:ascii="宋体" w:hAnsi="宋体" w:cs="宋体"/>
                <w:color w:val="auto"/>
                <w:sz w:val="24"/>
                <w:szCs w:val="24"/>
                <w:highlight w:val="none"/>
                <w:lang w:eastAsia="zh-CN"/>
              </w:rPr>
              <w:t>获得县级物业管理协会或政府部门颁发的荣誉得</w:t>
            </w:r>
            <w:r>
              <w:rPr>
                <w:rFonts w:hint="eastAsia" w:ascii="宋体" w:hAnsi="宋体" w:cs="宋体"/>
                <w:color w:val="auto"/>
                <w:sz w:val="24"/>
                <w:szCs w:val="24"/>
                <w:highlight w:val="none"/>
                <w:lang w:val="en-US" w:eastAsia="zh-CN"/>
              </w:rPr>
              <w:t>1分，最高得1分；</w:t>
            </w:r>
            <w:r>
              <w:rPr>
                <w:rFonts w:hint="eastAsia" w:ascii="宋体" w:hAnsi="宋体" w:cs="宋体"/>
                <w:color w:val="auto"/>
                <w:sz w:val="24"/>
                <w:szCs w:val="24"/>
                <w:highlight w:val="none"/>
                <w:lang w:eastAsia="zh-CN"/>
              </w:rPr>
              <w:t>获得市级及以上物业管理协会或政府部门颁发的荣誉得</w:t>
            </w:r>
            <w:r>
              <w:rPr>
                <w:rFonts w:hint="eastAsia" w:ascii="宋体" w:hAnsi="宋体" w:cs="宋体"/>
                <w:color w:val="auto"/>
                <w:sz w:val="24"/>
                <w:szCs w:val="24"/>
                <w:highlight w:val="none"/>
                <w:lang w:val="en-US" w:eastAsia="zh-CN"/>
              </w:rPr>
              <w:t>2分，本项满分2</w:t>
            </w:r>
            <w:r>
              <w:rPr>
                <w:rFonts w:hint="eastAsia" w:ascii="宋体" w:hAnsi="宋体" w:cs="宋体"/>
                <w:color w:val="auto"/>
                <w:sz w:val="24"/>
                <w:szCs w:val="24"/>
                <w:highlight w:val="none"/>
                <w:lang w:eastAsia="zh-CN"/>
              </w:rPr>
              <w:t>分；</w:t>
            </w:r>
          </w:p>
          <w:p>
            <w:pPr>
              <w:rPr>
                <w:rFonts w:hint="eastAsia" w:ascii="宋体" w:hAnsi="宋体" w:cs="宋体"/>
                <w:sz w:val="24"/>
                <w:szCs w:val="24"/>
                <w:highlight w:val="none"/>
              </w:rPr>
            </w:pPr>
            <w:r>
              <w:rPr>
                <w:rFonts w:hint="eastAsia" w:ascii="宋体" w:hAnsi="宋体" w:cs="宋体"/>
                <w:color w:val="auto"/>
                <w:sz w:val="24"/>
                <w:szCs w:val="24"/>
                <w:highlight w:val="none"/>
              </w:rPr>
              <w:t>③</w:t>
            </w:r>
            <w:r>
              <w:rPr>
                <w:rFonts w:hint="eastAsia" w:ascii="宋体" w:hAnsi="宋体" w:cs="宋体"/>
                <w:color w:val="auto"/>
                <w:sz w:val="24"/>
                <w:szCs w:val="24"/>
                <w:highlight w:val="none"/>
                <w:lang w:val="en-US" w:eastAsia="zh-CN"/>
              </w:rPr>
              <w:t>提供所属社保机构出具的包括</w:t>
            </w:r>
            <w:r>
              <w:rPr>
                <w:rFonts w:hint="eastAsia" w:ascii="宋体" w:hAnsi="宋体" w:cs="宋体"/>
                <w:sz w:val="24"/>
                <w:szCs w:val="24"/>
                <w:highlight w:val="none"/>
                <w:lang w:val="en-US" w:eastAsia="zh-CN"/>
              </w:rPr>
              <w:t>磋商</w:t>
            </w:r>
            <w:r>
              <w:rPr>
                <w:rFonts w:hint="eastAsia" w:ascii="宋体" w:hAnsi="宋体" w:cs="宋体"/>
                <w:color w:val="auto"/>
                <w:sz w:val="24"/>
                <w:szCs w:val="24"/>
                <w:highlight w:val="none"/>
                <w:lang w:val="en-US" w:eastAsia="zh-CN"/>
              </w:rPr>
              <w:t>截止日</w:t>
            </w:r>
            <w:r>
              <w:rPr>
                <w:rFonts w:hint="eastAsia" w:ascii="宋体" w:hAnsi="宋体" w:cs="宋体"/>
                <w:sz w:val="24"/>
                <w:szCs w:val="24"/>
                <w:highlight w:val="none"/>
                <w:lang w:val="en-US" w:eastAsia="zh-CN"/>
              </w:rPr>
              <w:t>所属月份（含）为基点起往前计算已经过去的连续5个月内不少于连续缴费3个月的社保证明得1分。</w:t>
            </w:r>
          </w:p>
          <w:p>
            <w:pPr>
              <w:numPr>
                <w:ilvl w:val="0"/>
                <w:numId w:val="6"/>
              </w:numP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工程</w:t>
            </w:r>
            <w:r>
              <w:rPr>
                <w:rFonts w:hint="eastAsia" w:ascii="宋体" w:hAnsi="宋体" w:cs="宋体"/>
                <w:b/>
                <w:bCs/>
                <w:color w:val="000000" w:themeColor="text1"/>
                <w:sz w:val="24"/>
                <w:szCs w:val="24"/>
                <w:highlight w:val="none"/>
                <w:lang w:eastAsia="zh-CN"/>
                <w14:textFill>
                  <w14:solidFill>
                    <w14:schemeClr w14:val="tx1"/>
                  </w14:solidFill>
                </w14:textFill>
              </w:rPr>
              <w:t>维护部主管</w:t>
            </w:r>
            <w:r>
              <w:rPr>
                <w:rFonts w:hint="eastAsia" w:ascii="宋体" w:hAnsi="宋体" w:cs="宋体"/>
                <w:b/>
                <w:bCs/>
                <w:color w:val="000000" w:themeColor="text1"/>
                <w:sz w:val="24"/>
                <w:szCs w:val="24"/>
                <w:highlight w:val="none"/>
                <w14:textFill>
                  <w14:solidFill>
                    <w14:schemeClr w14:val="tx1"/>
                  </w14:solidFill>
                </w14:textFill>
              </w:rPr>
              <w:t>（1人）（满分</w:t>
            </w:r>
            <w:r>
              <w:rPr>
                <w:rFonts w:hint="eastAsia" w:ascii="宋体" w:hAnsi="宋体" w:cs="宋体"/>
                <w:b/>
                <w:bCs/>
                <w:color w:val="000000" w:themeColor="text1"/>
                <w:sz w:val="24"/>
                <w:szCs w:val="24"/>
                <w:highlight w:val="none"/>
                <w:lang w:val="en-US" w:eastAsia="zh-CN"/>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分）：</w:t>
            </w:r>
          </w:p>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w:t>
            </w:r>
            <w:r>
              <w:rPr>
                <w:rFonts w:hint="eastAsia" w:ascii="宋体" w:hAnsi="宋体" w:cs="宋体"/>
                <w:color w:val="000000" w:themeColor="text1"/>
                <w:sz w:val="24"/>
                <w:szCs w:val="24"/>
                <w:highlight w:val="none"/>
                <w:lang w:val="en-US" w:eastAsia="zh-CN"/>
                <w14:textFill>
                  <w14:solidFill>
                    <w14:schemeClr w14:val="tx1"/>
                  </w14:solidFill>
                </w14:textFill>
              </w:rPr>
              <w:t>具有应急管理部门颁发的特种作业操作证 （电工作业）的得1分；</w:t>
            </w:r>
          </w:p>
          <w:p>
            <w:pPr>
              <w:rPr>
                <w:rFonts w:hint="default"/>
                <w:lang w:val="en-US"/>
              </w:rPr>
            </w:pPr>
            <w:r>
              <w:rPr>
                <w:rFonts w:hint="eastAsia" w:ascii="宋体" w:hAnsi="宋体" w:cs="宋体"/>
                <w:sz w:val="24"/>
                <w:szCs w:val="24"/>
                <w:highlight w:val="none"/>
              </w:rPr>
              <w:t>②</w:t>
            </w:r>
            <w:r>
              <w:rPr>
                <w:rFonts w:hint="eastAsia" w:ascii="宋体" w:hAnsi="宋体" w:cs="宋体"/>
                <w:sz w:val="24"/>
                <w:szCs w:val="24"/>
                <w:highlight w:val="none"/>
                <w:lang w:eastAsia="zh-CN"/>
              </w:rPr>
              <w:t>获得县级物业管理协会或政府部门颁发的荣誉得</w:t>
            </w:r>
            <w:r>
              <w:rPr>
                <w:rFonts w:hint="eastAsia" w:ascii="宋体" w:hAnsi="宋体" w:cs="宋体"/>
                <w:sz w:val="24"/>
                <w:szCs w:val="24"/>
                <w:highlight w:val="none"/>
                <w:lang w:val="en-US" w:eastAsia="zh-CN"/>
              </w:rPr>
              <w:t>1分</w:t>
            </w:r>
            <w:r>
              <w:rPr>
                <w:rFonts w:hint="eastAsia" w:ascii="宋体" w:hAnsi="宋体" w:cs="宋体"/>
                <w:color w:val="auto"/>
                <w:sz w:val="24"/>
                <w:szCs w:val="24"/>
                <w:highlight w:val="none"/>
                <w:lang w:val="en-US" w:eastAsia="zh-CN"/>
              </w:rPr>
              <w:t>，最高得1分；</w:t>
            </w:r>
            <w:r>
              <w:rPr>
                <w:rFonts w:hint="eastAsia" w:ascii="宋体" w:hAnsi="宋体" w:cs="宋体"/>
                <w:color w:val="auto"/>
                <w:sz w:val="24"/>
                <w:szCs w:val="24"/>
                <w:highlight w:val="none"/>
                <w:lang w:eastAsia="zh-CN"/>
              </w:rPr>
              <w:t>获得市级及以上物业管理协会或政府部门颁发的荣誉得</w:t>
            </w:r>
            <w:r>
              <w:rPr>
                <w:rFonts w:hint="eastAsia" w:ascii="宋体" w:hAnsi="宋体" w:cs="宋体"/>
                <w:color w:val="auto"/>
                <w:sz w:val="24"/>
                <w:szCs w:val="24"/>
                <w:highlight w:val="none"/>
                <w:lang w:val="en-US" w:eastAsia="zh-CN"/>
              </w:rPr>
              <w:t>2分，本项满分2</w:t>
            </w:r>
            <w:r>
              <w:rPr>
                <w:rFonts w:hint="eastAsia" w:ascii="宋体" w:hAnsi="宋体" w:cs="宋体"/>
                <w:color w:val="auto"/>
                <w:sz w:val="24"/>
                <w:szCs w:val="24"/>
                <w:highlight w:val="none"/>
                <w:lang w:eastAsia="zh-CN"/>
              </w:rPr>
              <w:t>分；</w:t>
            </w:r>
          </w:p>
          <w:p>
            <w:pPr>
              <w:pStyle w:val="34"/>
              <w:ind w:left="0" w:leftChars="0" w:firstLine="0" w:firstLineChars="0"/>
              <w:jc w:val="both"/>
              <w:rPr>
                <w:rFonts w:hint="eastAsia"/>
                <w:sz w:val="24"/>
                <w:szCs w:val="24"/>
                <w:highlight w:val="none"/>
              </w:rPr>
            </w:pPr>
            <w:r>
              <w:rPr>
                <w:rFonts w:hint="eastAsia" w:ascii="宋体" w:hAnsi="宋体" w:cs="宋体"/>
                <w:sz w:val="24"/>
                <w:szCs w:val="24"/>
                <w:highlight w:val="none"/>
              </w:rPr>
              <w:t>③</w:t>
            </w:r>
            <w:r>
              <w:rPr>
                <w:rFonts w:hint="eastAsia" w:ascii="宋体" w:hAnsi="宋体" w:cs="宋体"/>
                <w:sz w:val="24"/>
                <w:szCs w:val="24"/>
                <w:highlight w:val="none"/>
                <w:lang w:val="en-US" w:eastAsia="zh-CN"/>
              </w:rPr>
              <w:t>提供所属社保机构出具的包括磋商截止日所属月份（含）为基点起往前计算已经过去的连续5个月内不少于连续缴费3个月的社保证明得1分。</w:t>
            </w:r>
          </w:p>
          <w:p>
            <w:pPr>
              <w:numPr>
                <w:ilvl w:val="0"/>
                <w:numId w:val="6"/>
              </w:numPr>
              <w:rPr>
                <w:rFonts w:hint="eastAsia" w:ascii="宋体" w:hAnsi="宋体" w:cs="宋体"/>
                <w:b/>
                <w:bCs/>
                <w:sz w:val="24"/>
                <w:szCs w:val="24"/>
                <w:highlight w:val="none"/>
              </w:rPr>
            </w:pPr>
            <w:r>
              <w:rPr>
                <w:rFonts w:hint="eastAsia" w:ascii="宋体" w:hAnsi="宋体" w:cs="宋体"/>
                <w:b/>
                <w:bCs/>
                <w:sz w:val="24"/>
                <w:szCs w:val="24"/>
                <w:highlight w:val="none"/>
              </w:rPr>
              <w:t>客户服务部</w:t>
            </w:r>
            <w:r>
              <w:rPr>
                <w:rFonts w:hint="eastAsia" w:ascii="宋体" w:hAnsi="宋体" w:cs="宋体"/>
                <w:b/>
                <w:bCs/>
                <w:sz w:val="24"/>
                <w:szCs w:val="24"/>
                <w:highlight w:val="none"/>
                <w:lang w:eastAsia="zh-CN"/>
              </w:rPr>
              <w:t>主管</w:t>
            </w:r>
            <w:r>
              <w:rPr>
                <w:rFonts w:hint="eastAsia" w:ascii="宋体" w:hAnsi="宋体" w:cs="宋体"/>
                <w:b/>
                <w:bCs/>
                <w:sz w:val="24"/>
                <w:szCs w:val="24"/>
                <w:highlight w:val="none"/>
              </w:rPr>
              <w:t>（1人）（满分</w:t>
            </w: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分）：</w:t>
            </w:r>
          </w:p>
          <w:p>
            <w:pPr>
              <w:rPr>
                <w:rFonts w:hint="eastAsia" w:ascii="宋体" w:hAnsi="宋体" w:cs="宋体"/>
                <w:sz w:val="24"/>
                <w:szCs w:val="24"/>
                <w:highlight w:val="none"/>
              </w:rPr>
            </w:pPr>
            <w:r>
              <w:rPr>
                <w:rFonts w:hint="eastAsia" w:ascii="宋体" w:hAnsi="宋体" w:cs="宋体"/>
                <w:sz w:val="24"/>
                <w:szCs w:val="24"/>
                <w:highlight w:val="none"/>
              </w:rPr>
              <w:t>①</w:t>
            </w:r>
            <w:r>
              <w:rPr>
                <w:rFonts w:hint="eastAsia" w:ascii="宋体" w:hAnsi="宋体" w:cs="宋体"/>
                <w:sz w:val="24"/>
                <w:szCs w:val="24"/>
                <w:highlight w:val="none"/>
                <w:lang w:eastAsia="zh-CN"/>
              </w:rPr>
              <w:t>具有专科及以上学历</w:t>
            </w:r>
            <w:r>
              <w:rPr>
                <w:rFonts w:hint="eastAsia" w:ascii="宋体" w:hAnsi="宋体" w:cs="宋体"/>
                <w:sz w:val="24"/>
                <w:szCs w:val="24"/>
                <w:highlight w:val="none"/>
              </w:rPr>
              <w:t>得</w:t>
            </w:r>
            <w:r>
              <w:rPr>
                <w:rFonts w:hint="eastAsia" w:ascii="宋体" w:hAnsi="宋体" w:cs="宋体"/>
                <w:sz w:val="24"/>
                <w:szCs w:val="24"/>
                <w:highlight w:val="none"/>
                <w:lang w:val="en-US" w:eastAsia="zh-CN"/>
              </w:rPr>
              <w:t>1</w:t>
            </w:r>
            <w:r>
              <w:rPr>
                <w:rFonts w:hint="eastAsia" w:ascii="宋体" w:hAnsi="宋体" w:cs="宋体"/>
                <w:sz w:val="24"/>
                <w:szCs w:val="24"/>
                <w:highlight w:val="none"/>
              </w:rPr>
              <w:t>分；</w:t>
            </w:r>
          </w:p>
          <w:p>
            <w:pPr>
              <w:rPr>
                <w:rFonts w:hint="default" w:ascii="宋体" w:hAnsi="宋体" w:eastAsia="宋体" w:cs="宋体"/>
                <w:sz w:val="24"/>
                <w:szCs w:val="24"/>
                <w:highlight w:val="none"/>
                <w:lang w:val="en-US" w:eastAsia="zh-CN"/>
              </w:rPr>
            </w:pPr>
            <w:r>
              <w:rPr>
                <w:rFonts w:hint="eastAsia" w:ascii="宋体" w:hAnsi="宋体" w:cs="宋体"/>
                <w:sz w:val="24"/>
                <w:szCs w:val="24"/>
                <w:highlight w:val="none"/>
              </w:rPr>
              <w:t>②</w:t>
            </w:r>
            <w:r>
              <w:rPr>
                <w:rFonts w:hint="eastAsia" w:ascii="宋体" w:hAnsi="宋体" w:cs="宋体"/>
                <w:sz w:val="24"/>
                <w:szCs w:val="24"/>
                <w:highlight w:val="none"/>
                <w:lang w:eastAsia="zh-CN"/>
              </w:rPr>
              <w:t>获得县级物业管理协会或政府部门颁发的荣誉得</w:t>
            </w:r>
            <w:r>
              <w:rPr>
                <w:rFonts w:hint="eastAsia" w:ascii="宋体" w:hAnsi="宋体" w:cs="宋体"/>
                <w:sz w:val="24"/>
                <w:szCs w:val="24"/>
                <w:highlight w:val="none"/>
                <w:lang w:val="en-US" w:eastAsia="zh-CN"/>
              </w:rPr>
              <w:t>1分</w:t>
            </w:r>
            <w:r>
              <w:rPr>
                <w:rFonts w:hint="eastAsia" w:ascii="宋体" w:hAnsi="宋体" w:cs="宋体"/>
                <w:color w:val="auto"/>
                <w:sz w:val="24"/>
                <w:szCs w:val="24"/>
                <w:highlight w:val="none"/>
                <w:lang w:val="en-US" w:eastAsia="zh-CN"/>
              </w:rPr>
              <w:t>，最高得1分；</w:t>
            </w:r>
            <w:r>
              <w:rPr>
                <w:rFonts w:hint="eastAsia" w:ascii="宋体" w:hAnsi="宋体" w:cs="宋体"/>
                <w:color w:val="auto"/>
                <w:sz w:val="24"/>
                <w:szCs w:val="24"/>
                <w:highlight w:val="none"/>
                <w:lang w:eastAsia="zh-CN"/>
              </w:rPr>
              <w:t>获得市级及以上物业管理协会或政府部门颁发的荣誉得</w:t>
            </w:r>
            <w:r>
              <w:rPr>
                <w:rFonts w:hint="eastAsia" w:ascii="宋体" w:hAnsi="宋体" w:cs="宋体"/>
                <w:color w:val="auto"/>
                <w:sz w:val="24"/>
                <w:szCs w:val="24"/>
                <w:highlight w:val="none"/>
                <w:lang w:val="en-US" w:eastAsia="zh-CN"/>
              </w:rPr>
              <w:t>2分，本项满分2</w:t>
            </w:r>
            <w:r>
              <w:rPr>
                <w:rFonts w:hint="eastAsia" w:ascii="宋体" w:hAnsi="宋体" w:cs="宋体"/>
                <w:color w:val="auto"/>
                <w:sz w:val="24"/>
                <w:szCs w:val="24"/>
                <w:highlight w:val="none"/>
                <w:lang w:eastAsia="zh-CN"/>
              </w:rPr>
              <w:t>分</w:t>
            </w:r>
            <w:r>
              <w:rPr>
                <w:rFonts w:hint="eastAsia" w:ascii="宋体" w:hAnsi="宋体" w:cs="宋体"/>
                <w:sz w:val="24"/>
                <w:szCs w:val="24"/>
                <w:highlight w:val="none"/>
                <w:lang w:val="en-US" w:eastAsia="zh-CN"/>
              </w:rPr>
              <w:t>；</w:t>
            </w:r>
          </w:p>
          <w:p>
            <w:pPr>
              <w:rPr>
                <w:rFonts w:hint="eastAsia" w:ascii="宋体" w:hAnsi="宋体" w:cs="宋体"/>
                <w:sz w:val="24"/>
                <w:szCs w:val="24"/>
                <w:highlight w:val="green"/>
              </w:rPr>
            </w:pPr>
            <w:r>
              <w:rPr>
                <w:rFonts w:hint="eastAsia" w:ascii="宋体" w:hAnsi="宋体" w:cs="宋体"/>
                <w:sz w:val="24"/>
                <w:szCs w:val="24"/>
                <w:highlight w:val="none"/>
              </w:rPr>
              <w:t>③</w:t>
            </w:r>
            <w:r>
              <w:rPr>
                <w:rFonts w:hint="eastAsia" w:ascii="宋体" w:hAnsi="宋体" w:cs="宋体"/>
                <w:sz w:val="24"/>
                <w:szCs w:val="24"/>
                <w:highlight w:val="none"/>
                <w:lang w:val="en-US" w:eastAsia="zh-CN"/>
              </w:rPr>
              <w:t>提供所属社保机构出具的包括磋商截止日所属月份（含）为基点起往前计算已经过去的连续5个月内不少于连续缴费3个月的社保证明得1分。</w:t>
            </w:r>
          </w:p>
          <w:p>
            <w:pPr>
              <w:rPr>
                <w:rFonts w:hint="eastAsia" w:ascii="宋体" w:hAnsi="宋体" w:eastAsia="宋体" w:cs="宋体"/>
                <w:sz w:val="24"/>
                <w:szCs w:val="24"/>
                <w:lang w:eastAsia="zh-CN"/>
              </w:rPr>
            </w:pPr>
            <w:r>
              <w:rPr>
                <w:rFonts w:hint="eastAsia" w:ascii="仿宋" w:hAnsi="仿宋" w:eastAsia="仿宋" w:cs="仿宋"/>
                <w:b/>
                <w:bCs/>
                <w:sz w:val="24"/>
                <w:szCs w:val="24"/>
                <w:highlight w:val="none"/>
              </w:rPr>
              <w:t>注：</w:t>
            </w:r>
            <w:r>
              <w:rPr>
                <w:rFonts w:hint="eastAsia" w:ascii="仿宋" w:hAnsi="仿宋" w:eastAsia="仿宋" w:cs="仿宋"/>
                <w:b/>
                <w:bCs/>
                <w:sz w:val="24"/>
                <w:szCs w:val="24"/>
                <w:highlight w:val="none"/>
                <w:lang w:eastAsia="zh-CN"/>
              </w:rPr>
              <w:t>响应</w:t>
            </w:r>
            <w:r>
              <w:rPr>
                <w:rFonts w:hint="eastAsia" w:ascii="仿宋" w:hAnsi="仿宋" w:eastAsia="仿宋" w:cs="仿宋"/>
                <w:b/>
                <w:bCs/>
                <w:sz w:val="24"/>
                <w:szCs w:val="24"/>
                <w:highlight w:val="none"/>
              </w:rPr>
              <w:t>文件中须提供人员证书材料扫描件或</w:t>
            </w:r>
            <w:r>
              <w:rPr>
                <w:rFonts w:hint="eastAsia" w:ascii="仿宋" w:hAnsi="仿宋" w:eastAsia="仿宋" w:cs="仿宋"/>
                <w:b/>
                <w:bCs/>
                <w:sz w:val="24"/>
                <w:szCs w:val="24"/>
                <w:highlight w:val="none"/>
                <w:lang w:eastAsia="zh-CN"/>
              </w:rPr>
              <w:t>复印件</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eastAsia="zh-CN"/>
              </w:rPr>
              <w:t>以上人员提供的荣誉</w:t>
            </w:r>
            <w:r>
              <w:rPr>
                <w:rFonts w:hint="eastAsia" w:ascii="仿宋" w:hAnsi="仿宋" w:eastAsia="仿宋" w:cs="仿宋"/>
                <w:b/>
                <w:bCs/>
                <w:sz w:val="24"/>
                <w:szCs w:val="24"/>
                <w:highlight w:val="none"/>
              </w:rPr>
              <w:t>自20</w:t>
            </w:r>
            <w:r>
              <w:rPr>
                <w:rFonts w:hint="eastAsia" w:ascii="仿宋" w:hAnsi="仿宋" w:eastAsia="仿宋" w:cs="仿宋"/>
                <w:b/>
                <w:bCs/>
                <w:sz w:val="24"/>
                <w:szCs w:val="24"/>
                <w:highlight w:val="none"/>
                <w:lang w:val="en-US" w:eastAsia="zh-CN"/>
              </w:rPr>
              <w:t>20</w:t>
            </w:r>
            <w:r>
              <w:rPr>
                <w:rFonts w:hint="eastAsia" w:ascii="仿宋" w:hAnsi="仿宋" w:eastAsia="仿宋" w:cs="仿宋"/>
                <w:b/>
                <w:bCs/>
                <w:sz w:val="24"/>
                <w:szCs w:val="24"/>
                <w:highlight w:val="none"/>
              </w:rPr>
              <w:t>年1月1日以来（以颁发时间为准）</w:t>
            </w:r>
            <w:r>
              <w:rPr>
                <w:rFonts w:hint="eastAsia" w:ascii="仿宋" w:hAnsi="仿宋" w:eastAsia="仿宋" w:cs="仿宋"/>
                <w:b/>
                <w:bCs/>
                <w:sz w:val="24"/>
                <w:szCs w:val="24"/>
                <w:highlight w:val="none"/>
                <w:lang w:eastAsia="zh-CN"/>
              </w:rPr>
              <w:t>为准。</w:t>
            </w:r>
          </w:p>
        </w:tc>
        <w:tc>
          <w:tcPr>
            <w:tcW w:w="1223" w:type="dxa"/>
            <w:noWrap w:val="0"/>
            <w:vAlign w:val="center"/>
          </w:tcPr>
          <w:p>
            <w:pPr>
              <w:ind w:firstLine="200"/>
              <w:jc w:val="center"/>
              <w:rPr>
                <w:rFonts w:hint="eastAsia" w:ascii="宋体" w:hAnsi="宋体" w:cs="宋体"/>
                <w:sz w:val="24"/>
                <w:szCs w:val="24"/>
              </w:rPr>
            </w:pPr>
            <w:r>
              <w:rPr>
                <w:rFonts w:hint="eastAsia" w:ascii="宋体" w:hAnsi="宋体" w:cs="宋体"/>
                <w:sz w:val="24"/>
                <w:szCs w:val="24"/>
              </w:rPr>
              <w:t>0-</w:t>
            </w:r>
            <w:r>
              <w:rPr>
                <w:rFonts w:hint="eastAsia" w:ascii="宋体" w:hAnsi="宋体" w:cs="宋体"/>
                <w:sz w:val="24"/>
                <w:szCs w:val="24"/>
                <w:lang w:val="en-US" w:eastAsia="zh-CN"/>
              </w:rPr>
              <w:t>20</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trPr>
        <w:tc>
          <w:tcPr>
            <w:tcW w:w="1167" w:type="dxa"/>
            <w:vMerge w:val="continue"/>
            <w:noWrap w:val="0"/>
            <w:vAlign w:val="center"/>
          </w:tcPr>
          <w:p>
            <w:pPr>
              <w:ind w:firstLine="200"/>
              <w:jc w:val="both"/>
              <w:rPr>
                <w:rFonts w:hint="eastAsia" w:ascii="宋体" w:hAnsi="宋体" w:cs="宋体"/>
                <w:sz w:val="24"/>
                <w:szCs w:val="24"/>
                <w:lang w:val="en-US" w:eastAsia="zh-CN"/>
              </w:rPr>
            </w:pPr>
          </w:p>
        </w:tc>
        <w:tc>
          <w:tcPr>
            <w:tcW w:w="1722" w:type="dxa"/>
            <w:noWrap w:val="0"/>
            <w:vAlign w:val="center"/>
          </w:tcPr>
          <w:p>
            <w:pPr>
              <w:ind w:firstLine="200" w:firstLineChars="0"/>
              <w:jc w:val="center"/>
              <w:rPr>
                <w:rFonts w:hint="eastAsia" w:ascii="宋体" w:hAnsi="宋体" w:eastAsia="宋体" w:cs="宋体"/>
                <w:kern w:val="2"/>
                <w:sz w:val="24"/>
                <w:szCs w:val="24"/>
                <w:highlight w:val="yellow"/>
                <w:lang w:val="en-US" w:eastAsia="zh-CN" w:bidi="ar-SA"/>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业绩</w:t>
            </w:r>
          </w:p>
        </w:tc>
        <w:tc>
          <w:tcPr>
            <w:tcW w:w="5550"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szCs w:val="24"/>
                <w:highlight w:val="none"/>
                <w:lang w:eastAsia="zh-CN"/>
              </w:rPr>
            </w:pPr>
            <w:r>
              <w:rPr>
                <w:rFonts w:hint="eastAsia" w:ascii="宋体" w:hAnsi="宋体" w:cs="宋体"/>
                <w:sz w:val="24"/>
                <w:szCs w:val="24"/>
                <w:highlight w:val="none"/>
              </w:rPr>
              <w:t>自20</w:t>
            </w:r>
            <w:r>
              <w:rPr>
                <w:rFonts w:hint="eastAsia" w:ascii="宋体" w:hAnsi="宋体" w:cs="宋体"/>
                <w:sz w:val="24"/>
                <w:szCs w:val="24"/>
                <w:highlight w:val="none"/>
                <w:lang w:val="en-US" w:eastAsia="zh-CN"/>
              </w:rPr>
              <w:t>20</w:t>
            </w:r>
            <w:r>
              <w:rPr>
                <w:rFonts w:hint="eastAsia" w:ascii="宋体" w:hAnsi="宋体" w:cs="宋体"/>
                <w:sz w:val="24"/>
                <w:szCs w:val="24"/>
                <w:highlight w:val="none"/>
              </w:rPr>
              <w:t>年1月1日（以合同签订时间为准）以来，</w:t>
            </w:r>
            <w:r>
              <w:rPr>
                <w:rFonts w:hint="eastAsia" w:ascii="宋体" w:hAnsi="宋体" w:cs="宋体"/>
                <w:kern w:val="0"/>
                <w:sz w:val="24"/>
                <w:szCs w:val="24"/>
                <w:highlight w:val="none"/>
                <w:lang w:eastAsia="zh-CN"/>
              </w:rPr>
              <w:t>供应商</w:t>
            </w:r>
            <w:r>
              <w:rPr>
                <w:rFonts w:hint="eastAsia" w:ascii="宋体" w:hAnsi="宋体" w:eastAsia="宋体" w:cs="宋体"/>
                <w:kern w:val="0"/>
                <w:sz w:val="24"/>
                <w:szCs w:val="24"/>
                <w:highlight w:val="none"/>
              </w:rPr>
              <w:t>提供一个建筑面积</w:t>
            </w:r>
            <w:r>
              <w:rPr>
                <w:rFonts w:hint="eastAsia" w:ascii="宋体" w:hAnsi="宋体" w:cs="宋体"/>
                <w:kern w:val="0"/>
                <w:sz w:val="24"/>
                <w:szCs w:val="24"/>
                <w:highlight w:val="none"/>
                <w:lang w:val="en-US" w:eastAsia="zh-CN"/>
              </w:rPr>
              <w:t>10</w:t>
            </w:r>
            <w:r>
              <w:rPr>
                <w:rFonts w:hint="eastAsia" w:ascii="宋体" w:hAnsi="宋体" w:eastAsia="宋体" w:cs="宋体"/>
                <w:kern w:val="0"/>
                <w:sz w:val="24"/>
                <w:szCs w:val="24"/>
                <w:highlight w:val="none"/>
              </w:rPr>
              <w:t>万平方米及以上的</w:t>
            </w:r>
            <w:r>
              <w:rPr>
                <w:rFonts w:hint="eastAsia" w:ascii="宋体" w:hAnsi="宋体" w:eastAsia="宋体" w:cs="宋体"/>
                <w:kern w:val="0"/>
                <w:sz w:val="24"/>
                <w:szCs w:val="24"/>
                <w:highlight w:val="none"/>
                <w:lang w:eastAsia="zh-CN"/>
              </w:rPr>
              <w:t>小区</w:t>
            </w:r>
            <w:r>
              <w:rPr>
                <w:rFonts w:hint="eastAsia" w:ascii="宋体" w:hAnsi="宋体" w:eastAsia="宋体" w:cs="宋体"/>
                <w:kern w:val="0"/>
                <w:sz w:val="24"/>
                <w:szCs w:val="24"/>
                <w:highlight w:val="none"/>
              </w:rPr>
              <w:t>业绩得</w:t>
            </w:r>
            <w:r>
              <w:rPr>
                <w:rFonts w:hint="eastAsia" w:ascii="宋体" w:hAnsi="宋体" w:cs="宋体"/>
                <w:kern w:val="0"/>
                <w:sz w:val="24"/>
                <w:szCs w:val="24"/>
                <w:highlight w:val="none"/>
                <w:lang w:val="en-US" w:eastAsia="zh-CN"/>
              </w:rPr>
              <w:t>1</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lang w:val="en-US" w:eastAsia="zh-CN"/>
              </w:rPr>
              <w:t>，满分</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rPr>
              <w:t>分</w:t>
            </w:r>
            <w:r>
              <w:rPr>
                <w:rFonts w:hint="eastAsia" w:ascii="宋体" w:hAnsi="宋体" w:cs="宋体"/>
                <w:kern w:val="0"/>
                <w:sz w:val="24"/>
                <w:szCs w:val="24"/>
                <w:highlight w:val="none"/>
                <w:lang w:eastAsia="zh-CN"/>
              </w:rPr>
              <w:t>。</w:t>
            </w:r>
          </w:p>
          <w:p>
            <w:pPr>
              <w:pStyle w:val="35"/>
              <w:spacing w:line="240" w:lineRule="auto"/>
              <w:ind w:left="0" w:leftChars="0" w:firstLine="0" w:firstLineChars="0"/>
              <w:rPr>
                <w:rFonts w:hint="eastAsia" w:ascii="宋体" w:hAnsi="宋体" w:eastAsia="宋体" w:cs="宋体"/>
                <w:kern w:val="2"/>
                <w:sz w:val="24"/>
                <w:szCs w:val="24"/>
                <w:highlight w:val="yellow"/>
                <w:lang w:val="en-US" w:eastAsia="zh-CN" w:bidi="ar-SA"/>
              </w:rPr>
            </w:pPr>
            <w:r>
              <w:rPr>
                <w:rFonts w:hint="eastAsia" w:ascii="仿宋" w:hAnsi="仿宋" w:eastAsia="仿宋" w:cs="仿宋"/>
                <w:b/>
                <w:bCs/>
                <w:kern w:val="2"/>
                <w:sz w:val="24"/>
                <w:szCs w:val="24"/>
                <w:highlight w:val="none"/>
                <w:lang w:val="en-US" w:eastAsia="zh-CN" w:bidi="ar-SA"/>
              </w:rPr>
              <w:t>注：本项业绩累计得分满分4分。响应文件中须提供业绩合同扫描件或复印件，若合同中无法提供签订时间、建筑面积等关键内容，须同时另附业主委员会证明。</w:t>
            </w:r>
          </w:p>
        </w:tc>
        <w:tc>
          <w:tcPr>
            <w:tcW w:w="1223" w:type="dxa"/>
            <w:noWrap w:val="0"/>
            <w:vAlign w:val="center"/>
          </w:tcPr>
          <w:p>
            <w:pPr>
              <w:ind w:firstLine="200" w:firstLineChars="0"/>
              <w:jc w:val="center"/>
              <w:rPr>
                <w:rFonts w:hint="eastAsia" w:ascii="宋体" w:hAnsi="宋体" w:eastAsia="宋体" w:cs="宋体"/>
                <w:kern w:val="2"/>
                <w:sz w:val="24"/>
                <w:szCs w:val="24"/>
                <w:lang w:val="en-US" w:eastAsia="zh-CN" w:bidi="ar-SA"/>
              </w:rPr>
            </w:pPr>
            <w:r>
              <w:rPr>
                <w:rFonts w:hint="eastAsia" w:ascii="宋体" w:hAnsi="宋体" w:cs="宋体"/>
                <w:sz w:val="24"/>
                <w:szCs w:val="24"/>
              </w:rPr>
              <w:t>0-</w:t>
            </w:r>
            <w:r>
              <w:rPr>
                <w:rFonts w:hint="eastAsia" w:ascii="宋体" w:hAnsi="宋体" w:cs="宋体"/>
                <w:sz w:val="24"/>
                <w:szCs w:val="24"/>
                <w:lang w:val="en-US" w:eastAsia="zh-CN"/>
              </w:rPr>
              <w:t>4</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2" w:hRule="atLeast"/>
        </w:trPr>
        <w:tc>
          <w:tcPr>
            <w:tcW w:w="1167" w:type="dxa"/>
            <w:vMerge w:val="continue"/>
            <w:noWrap w:val="0"/>
            <w:vAlign w:val="center"/>
          </w:tcPr>
          <w:p>
            <w:pPr>
              <w:ind w:firstLine="200"/>
              <w:jc w:val="both"/>
              <w:rPr>
                <w:rFonts w:hint="eastAsia" w:ascii="宋体" w:hAnsi="宋体" w:cs="宋体"/>
                <w:sz w:val="24"/>
                <w:szCs w:val="24"/>
                <w:lang w:val="en-US" w:eastAsia="zh-CN"/>
              </w:rPr>
            </w:pPr>
          </w:p>
        </w:tc>
        <w:tc>
          <w:tcPr>
            <w:tcW w:w="1722" w:type="dxa"/>
            <w:noWrap w:val="0"/>
            <w:vAlign w:val="center"/>
          </w:tcPr>
          <w:p>
            <w:pPr>
              <w:ind w:firstLine="20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荣誉</w:t>
            </w:r>
          </w:p>
        </w:tc>
        <w:tc>
          <w:tcPr>
            <w:tcW w:w="5550" w:type="dxa"/>
            <w:noWrap w:val="0"/>
            <w:vAlign w:val="center"/>
          </w:tcPr>
          <w:p>
            <w:pPr>
              <w:pStyle w:val="100"/>
              <w:ind w:right="-1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自20</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年1月1</w:t>
            </w:r>
            <w:r>
              <w:rPr>
                <w:rFonts w:hint="eastAsia" w:ascii="宋体" w:hAnsi="宋体" w:eastAsia="宋体" w:cs="宋体"/>
                <w:color w:val="auto"/>
                <w:sz w:val="24"/>
                <w:szCs w:val="24"/>
                <w:highlight w:val="none"/>
              </w:rPr>
              <w:t>日以来（以颁发时间为准），</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具有：</w:t>
            </w:r>
          </w:p>
          <w:p>
            <w:pPr>
              <w:pStyle w:val="100"/>
              <w:ind w:right="-10" w:firstLine="0"/>
              <w:rPr>
                <w:rFonts w:hint="eastAsia" w:ascii="宋体" w:hAnsi="宋体" w:eastAsia="宋体" w:cs="宋体"/>
                <w:sz w:val="24"/>
                <w:szCs w:val="24"/>
                <w:highlight w:val="none"/>
              </w:rPr>
            </w:pPr>
            <w:r>
              <w:rPr>
                <w:rFonts w:hint="eastAsia" w:ascii="宋体" w:hAnsi="宋体" w:cs="宋体"/>
                <w:sz w:val="24"/>
                <w:szCs w:val="24"/>
                <w:highlight w:val="none"/>
              </w:rPr>
              <w:t>①</w:t>
            </w:r>
            <w:r>
              <w:rPr>
                <w:rFonts w:hint="eastAsia" w:ascii="宋体" w:hAnsi="宋体" w:eastAsia="宋体" w:cs="宋体"/>
                <w:sz w:val="24"/>
                <w:szCs w:val="24"/>
                <w:highlight w:val="none"/>
                <w:lang w:eastAsia="zh-CN"/>
              </w:rPr>
              <w:t>被县级</w:t>
            </w:r>
            <w:r>
              <w:rPr>
                <w:rFonts w:hint="eastAsia" w:ascii="宋体" w:hAnsi="宋体" w:eastAsia="宋体" w:cs="宋体"/>
                <w:sz w:val="24"/>
                <w:szCs w:val="24"/>
                <w:highlight w:val="none"/>
              </w:rPr>
              <w:t>及以上政府部门</w:t>
            </w:r>
            <w:r>
              <w:rPr>
                <w:rFonts w:hint="eastAsia" w:ascii="宋体" w:hAnsi="宋体" w:eastAsia="宋体" w:cs="宋体"/>
                <w:sz w:val="24"/>
                <w:szCs w:val="24"/>
                <w:highlight w:val="none"/>
                <w:lang w:eastAsia="zh-CN"/>
              </w:rPr>
              <w:t>或物业部门评为红色物业小区</w:t>
            </w:r>
            <w:r>
              <w:rPr>
                <w:rFonts w:hint="eastAsia" w:ascii="宋体" w:hAnsi="宋体" w:eastAsia="宋体" w:cs="宋体"/>
                <w:sz w:val="24"/>
                <w:szCs w:val="24"/>
                <w:highlight w:val="none"/>
              </w:rPr>
              <w:t>的得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p>
            <w:pPr>
              <w:pStyle w:val="100"/>
              <w:keepNext w:val="0"/>
              <w:keepLines w:val="0"/>
              <w:pageBreakBefore w:val="0"/>
              <w:widowControl w:val="0"/>
              <w:kinsoku/>
              <w:wordWrap/>
              <w:overflowPunct/>
              <w:topLinePunct w:val="0"/>
              <w:autoSpaceDE/>
              <w:autoSpaceDN/>
              <w:bidi w:val="0"/>
              <w:adjustRightInd/>
              <w:snapToGrid/>
              <w:spacing w:line="240" w:lineRule="auto"/>
              <w:ind w:left="0" w:leftChars="0" w:right="-10" w:firstLine="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cs="宋体"/>
                <w:sz w:val="24"/>
                <w:szCs w:val="24"/>
                <w:highlight w:val="none"/>
              </w:rPr>
              <w:t>②</w:t>
            </w:r>
            <w:r>
              <w:rPr>
                <w:rFonts w:hint="eastAsia" w:ascii="宋体" w:hAnsi="宋体" w:eastAsia="宋体" w:cs="宋体"/>
                <w:color w:val="auto"/>
                <w:sz w:val="24"/>
                <w:szCs w:val="24"/>
                <w:highlight w:val="none"/>
                <w:lang w:val="en-US" w:eastAsia="zh-CN" w:bidi="ar-SA"/>
              </w:rPr>
              <w:t>获得县级以上物业部门或行业协会授予的物业管理示范或优秀单位荣誉的得1分；</w:t>
            </w:r>
          </w:p>
          <w:p>
            <w:pPr>
              <w:pStyle w:val="100"/>
              <w:ind w:right="-10" w:firstLine="0"/>
              <w:rPr>
                <w:rFonts w:hint="eastAsia" w:ascii="宋体" w:hAnsi="宋体" w:eastAsia="宋体" w:cs="宋体"/>
                <w:sz w:val="24"/>
                <w:szCs w:val="24"/>
                <w:highlight w:val="none"/>
                <w:lang w:eastAsia="zh-CN"/>
              </w:rPr>
            </w:pPr>
            <w:r>
              <w:rPr>
                <w:rFonts w:hint="eastAsia" w:ascii="宋体" w:hAnsi="宋体" w:cs="宋体"/>
                <w:sz w:val="24"/>
                <w:szCs w:val="24"/>
                <w:highlight w:val="none"/>
              </w:rPr>
              <w:t>③</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党支部获得政府部门颁发的党建工作“优秀单位”荣誉表彰的得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pStyle w:val="100"/>
              <w:ind w:right="-10" w:firstLine="0"/>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④</w:t>
            </w:r>
            <w:r>
              <w:rPr>
                <w:rFonts w:hint="eastAsia" w:ascii="宋体" w:hAnsi="宋体" w:eastAsia="宋体" w:cs="宋体"/>
                <w:kern w:val="2"/>
                <w:sz w:val="24"/>
                <w:szCs w:val="24"/>
                <w:highlight w:val="none"/>
                <w:lang w:val="en-US" w:eastAsia="zh-CN" w:bidi="ar-SA"/>
              </w:rPr>
              <w:t>所服务的小区获得县级及以上平安小区称号的得1分；</w:t>
            </w:r>
          </w:p>
          <w:p>
            <w:pPr>
              <w:pStyle w:val="100"/>
              <w:ind w:right="-10" w:firstLine="0"/>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⑤供应商成立党支部、妇联、工会组织的，每有其中一个得1分，满分3分。</w:t>
            </w:r>
          </w:p>
          <w:p>
            <w:pPr>
              <w:rPr>
                <w:rFonts w:hint="eastAsia" w:ascii="宋体" w:hAnsi="宋体" w:eastAsia="宋体" w:cs="宋体"/>
                <w:kern w:val="2"/>
                <w:sz w:val="24"/>
                <w:szCs w:val="24"/>
                <w:highlight w:val="none"/>
                <w:lang w:val="en-US" w:eastAsia="zh-CN" w:bidi="ar-SA"/>
              </w:rPr>
            </w:pPr>
            <w:r>
              <w:rPr>
                <w:rFonts w:hint="eastAsia" w:ascii="仿宋" w:hAnsi="仿宋" w:eastAsia="仿宋" w:cs="仿宋"/>
                <w:b/>
                <w:bCs/>
                <w:sz w:val="24"/>
                <w:szCs w:val="24"/>
                <w:highlight w:val="none"/>
              </w:rPr>
              <w:t>注：响应文件中须提供获奖证书、批复、颁奖单位颁奖文件、网上公示截图（具有其中之一即可）等证明材料。以上材料提供扫描件或</w:t>
            </w:r>
            <w:r>
              <w:rPr>
                <w:rFonts w:hint="eastAsia" w:ascii="仿宋" w:hAnsi="仿宋" w:eastAsia="仿宋" w:cs="仿宋"/>
                <w:b/>
                <w:bCs/>
                <w:sz w:val="24"/>
                <w:szCs w:val="24"/>
                <w:highlight w:val="none"/>
                <w:lang w:eastAsia="zh-CN"/>
              </w:rPr>
              <w:t>复印件</w:t>
            </w:r>
            <w:r>
              <w:rPr>
                <w:rFonts w:hint="eastAsia" w:ascii="仿宋" w:hAnsi="仿宋" w:eastAsia="仿宋" w:cs="仿宋"/>
                <w:b/>
                <w:bCs/>
                <w:sz w:val="24"/>
                <w:szCs w:val="24"/>
                <w:highlight w:val="none"/>
              </w:rPr>
              <w:t>，如为</w:t>
            </w:r>
            <w:r>
              <w:rPr>
                <w:rFonts w:hint="eastAsia" w:ascii="仿宋" w:hAnsi="仿宋" w:eastAsia="仿宋" w:cs="仿宋"/>
                <w:b/>
                <w:bCs/>
                <w:sz w:val="24"/>
                <w:szCs w:val="24"/>
                <w:highlight w:val="none"/>
                <w:lang w:eastAsia="zh-CN"/>
              </w:rPr>
              <w:t>供应商</w:t>
            </w:r>
            <w:r>
              <w:rPr>
                <w:rFonts w:hint="eastAsia" w:ascii="仿宋" w:hAnsi="仿宋" w:eastAsia="仿宋" w:cs="仿宋"/>
                <w:b/>
                <w:bCs/>
                <w:sz w:val="24"/>
                <w:szCs w:val="24"/>
                <w:highlight w:val="none"/>
              </w:rPr>
              <w:t>所获奖项的，提供的以上材料须能体现</w:t>
            </w:r>
            <w:r>
              <w:rPr>
                <w:rFonts w:hint="eastAsia" w:ascii="仿宋" w:hAnsi="仿宋" w:eastAsia="仿宋" w:cs="仿宋"/>
                <w:b/>
                <w:bCs/>
                <w:sz w:val="24"/>
                <w:szCs w:val="24"/>
                <w:highlight w:val="none"/>
                <w:lang w:eastAsia="zh-CN"/>
              </w:rPr>
              <w:t>供应商</w:t>
            </w:r>
            <w:r>
              <w:rPr>
                <w:rFonts w:hint="eastAsia" w:ascii="仿宋" w:hAnsi="仿宋" w:eastAsia="仿宋" w:cs="仿宋"/>
                <w:b/>
                <w:bCs/>
                <w:sz w:val="24"/>
                <w:szCs w:val="24"/>
                <w:highlight w:val="none"/>
              </w:rPr>
              <w:t>名称，如无法体现，须另附颁奖单位的相关证明材料。</w:t>
            </w:r>
          </w:p>
        </w:tc>
        <w:tc>
          <w:tcPr>
            <w:tcW w:w="1223" w:type="dxa"/>
            <w:noWrap w:val="0"/>
            <w:vAlign w:val="center"/>
          </w:tcPr>
          <w:p>
            <w:pPr>
              <w:ind w:firstLine="20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0-</w:t>
            </w:r>
            <w:r>
              <w:rPr>
                <w:rFonts w:hint="eastAsia" w:ascii="宋体" w:hAnsi="宋体" w:cs="宋体"/>
                <w:sz w:val="24"/>
                <w:szCs w:val="24"/>
                <w:highlight w:val="none"/>
                <w:lang w:val="en-US" w:eastAsia="zh-CN"/>
              </w:rPr>
              <w:t>8</w:t>
            </w:r>
            <w:r>
              <w:rPr>
                <w:rFonts w:hint="eastAsia" w:ascii="宋体" w:hAnsi="宋体" w:cs="宋体"/>
                <w:sz w:val="24"/>
                <w:szCs w:val="24"/>
                <w:highlight w:val="none"/>
              </w:rPr>
              <w:t>分</w:t>
            </w:r>
          </w:p>
        </w:tc>
      </w:tr>
    </w:tbl>
    <w:p>
      <w:pPr>
        <w:adjustRightInd w:val="0"/>
        <w:snapToGrid w:val="0"/>
        <w:spacing w:before="240" w:beforeLines="100" w:after="72" w:afterLines="30" w:line="300" w:lineRule="exact"/>
        <w:rPr>
          <w:rFonts w:hint="eastAsia" w:ascii="宋体" w:hAnsi="宋体" w:cs="宋体"/>
          <w:b/>
          <w:kern w:val="10"/>
          <w:sz w:val="24"/>
          <w:szCs w:val="24"/>
        </w:rPr>
      </w:pPr>
    </w:p>
    <w:p>
      <w:pPr>
        <w:adjustRightInd w:val="0"/>
        <w:snapToGrid w:val="0"/>
        <w:spacing w:before="240" w:beforeLines="100" w:after="72" w:afterLines="30" w:line="300" w:lineRule="exact"/>
        <w:rPr>
          <w:rFonts w:hint="eastAsia" w:ascii="宋体" w:cs="宋体"/>
          <w:b/>
          <w:kern w:val="10"/>
          <w:sz w:val="24"/>
          <w:szCs w:val="24"/>
        </w:rPr>
      </w:pPr>
      <w:r>
        <w:rPr>
          <w:rFonts w:hint="eastAsia" w:ascii="宋体" w:hAnsi="宋体" w:cs="宋体"/>
          <w:b/>
          <w:kern w:val="10"/>
          <w:sz w:val="24"/>
          <w:szCs w:val="24"/>
        </w:rPr>
        <w:t>商务标综合评分指标，20分</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259"/>
        <w:gridCol w:w="700"/>
        <w:gridCol w:w="6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939" w:type="dxa"/>
            <w:noWrap w:val="0"/>
            <w:vAlign w:val="center"/>
          </w:tcPr>
          <w:p>
            <w:pPr>
              <w:spacing w:line="440" w:lineRule="exact"/>
              <w:jc w:val="center"/>
              <w:rPr>
                <w:rFonts w:ascii="宋体" w:cs="宋体"/>
                <w:b/>
                <w:sz w:val="24"/>
                <w:szCs w:val="24"/>
              </w:rPr>
            </w:pPr>
            <w:r>
              <w:rPr>
                <w:rFonts w:hint="eastAsia" w:ascii="宋体" w:hAnsi="宋体" w:cs="宋体"/>
                <w:b/>
                <w:sz w:val="24"/>
                <w:szCs w:val="24"/>
              </w:rPr>
              <w:t>序号</w:t>
            </w:r>
          </w:p>
        </w:tc>
        <w:tc>
          <w:tcPr>
            <w:tcW w:w="1259" w:type="dxa"/>
            <w:noWrap w:val="0"/>
            <w:vAlign w:val="center"/>
          </w:tcPr>
          <w:p>
            <w:pPr>
              <w:spacing w:line="440" w:lineRule="exact"/>
              <w:jc w:val="center"/>
              <w:rPr>
                <w:rFonts w:ascii="宋体" w:cs="宋体"/>
                <w:b/>
                <w:sz w:val="24"/>
                <w:szCs w:val="24"/>
              </w:rPr>
            </w:pPr>
            <w:r>
              <w:rPr>
                <w:rFonts w:hint="eastAsia" w:ascii="宋体" w:hAnsi="宋体" w:cs="宋体"/>
                <w:b/>
                <w:sz w:val="24"/>
                <w:szCs w:val="24"/>
                <w:lang w:eastAsia="zh-CN"/>
              </w:rPr>
              <w:t>采购</w:t>
            </w:r>
            <w:r>
              <w:rPr>
                <w:rFonts w:hint="eastAsia" w:ascii="宋体" w:hAnsi="宋体" w:cs="宋体"/>
                <w:b/>
                <w:sz w:val="24"/>
                <w:szCs w:val="24"/>
              </w:rPr>
              <w:t>内容</w:t>
            </w:r>
          </w:p>
        </w:tc>
        <w:tc>
          <w:tcPr>
            <w:tcW w:w="700" w:type="dxa"/>
            <w:noWrap w:val="0"/>
            <w:vAlign w:val="center"/>
          </w:tcPr>
          <w:p>
            <w:pPr>
              <w:spacing w:line="440" w:lineRule="exact"/>
              <w:jc w:val="center"/>
              <w:rPr>
                <w:rFonts w:ascii="宋体" w:cs="宋体"/>
                <w:b/>
                <w:sz w:val="24"/>
                <w:szCs w:val="24"/>
              </w:rPr>
            </w:pPr>
            <w:r>
              <w:rPr>
                <w:rFonts w:hint="eastAsia" w:ascii="宋体" w:hAnsi="宋体" w:cs="宋体"/>
                <w:b/>
                <w:sz w:val="24"/>
                <w:szCs w:val="24"/>
              </w:rPr>
              <w:t>分值</w:t>
            </w:r>
          </w:p>
        </w:tc>
        <w:tc>
          <w:tcPr>
            <w:tcW w:w="6791" w:type="dxa"/>
            <w:noWrap w:val="0"/>
            <w:vAlign w:val="center"/>
          </w:tcPr>
          <w:p>
            <w:pPr>
              <w:spacing w:line="440" w:lineRule="exact"/>
              <w:jc w:val="center"/>
              <w:rPr>
                <w:rFonts w:ascii="宋体" w:cs="宋体"/>
                <w:b/>
                <w:sz w:val="24"/>
                <w:szCs w:val="24"/>
              </w:rPr>
            </w:pPr>
            <w:r>
              <w:rPr>
                <w:rFonts w:hint="eastAsia" w:ascii="宋体" w:hAnsi="宋体" w:cs="宋体"/>
                <w:b/>
                <w:sz w:val="24"/>
                <w:szCs w:val="24"/>
              </w:rPr>
              <w:t>评</w:t>
            </w:r>
            <w:r>
              <w:rPr>
                <w:rFonts w:ascii="宋体" w:hAnsi="宋体" w:cs="宋体"/>
                <w:b/>
                <w:sz w:val="24"/>
                <w:szCs w:val="24"/>
              </w:rPr>
              <w:t xml:space="preserve"> </w:t>
            </w:r>
            <w:r>
              <w:rPr>
                <w:rFonts w:hint="eastAsia" w:ascii="宋体" w:hAnsi="宋体" w:cs="宋体"/>
                <w:b/>
                <w:sz w:val="24"/>
                <w:szCs w:val="24"/>
              </w:rPr>
              <w:t>分</w:t>
            </w:r>
            <w:r>
              <w:rPr>
                <w:rFonts w:ascii="宋体" w:hAnsi="宋体" w:cs="宋体"/>
                <w:b/>
                <w:sz w:val="24"/>
                <w:szCs w:val="24"/>
              </w:rPr>
              <w:t xml:space="preserve"> </w:t>
            </w:r>
            <w:r>
              <w:rPr>
                <w:rFonts w:hint="eastAsia" w:ascii="宋体" w:hAnsi="宋体" w:cs="宋体"/>
                <w:b/>
                <w:sz w:val="24"/>
                <w:szCs w:val="24"/>
              </w:rPr>
              <w:t>标</w:t>
            </w:r>
            <w:r>
              <w:rPr>
                <w:rFonts w:ascii="宋体" w:hAnsi="宋体" w:cs="宋体"/>
                <w:b/>
                <w:sz w:val="24"/>
                <w:szCs w:val="24"/>
              </w:rPr>
              <w:t xml:space="preserve"> </w:t>
            </w:r>
            <w:r>
              <w:rPr>
                <w:rFonts w:hint="eastAsia" w:ascii="宋体" w:hAnsi="宋体" w:cs="宋体"/>
                <w:b/>
                <w:sz w:val="24"/>
                <w:szCs w:val="24"/>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5" w:hRule="atLeast"/>
          <w:jc w:val="center"/>
        </w:trPr>
        <w:tc>
          <w:tcPr>
            <w:tcW w:w="939" w:type="dxa"/>
            <w:noWrap w:val="0"/>
            <w:vAlign w:val="center"/>
          </w:tcPr>
          <w:p>
            <w:pPr>
              <w:adjustRightInd w:val="0"/>
              <w:snapToGrid w:val="0"/>
              <w:spacing w:line="300" w:lineRule="exact"/>
              <w:jc w:val="center"/>
              <w:rPr>
                <w:rFonts w:hint="eastAsia" w:ascii="宋体" w:cs="宋体"/>
                <w:sz w:val="24"/>
                <w:szCs w:val="24"/>
              </w:rPr>
            </w:pPr>
            <w:r>
              <w:rPr>
                <w:rFonts w:hint="eastAsia" w:ascii="宋体" w:hAnsi="宋体" w:cs="宋体"/>
                <w:sz w:val="24"/>
                <w:szCs w:val="24"/>
              </w:rPr>
              <w:t>1</w:t>
            </w:r>
          </w:p>
        </w:tc>
        <w:tc>
          <w:tcPr>
            <w:tcW w:w="1259" w:type="dxa"/>
            <w:noWrap w:val="0"/>
            <w:vAlign w:val="center"/>
          </w:tcPr>
          <w:p>
            <w:pPr>
              <w:adjustRightInd w:val="0"/>
              <w:snapToGrid w:val="0"/>
              <w:spacing w:line="300" w:lineRule="exact"/>
              <w:jc w:val="center"/>
              <w:rPr>
                <w:rFonts w:asci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报价</w:t>
            </w:r>
          </w:p>
        </w:tc>
        <w:tc>
          <w:tcPr>
            <w:tcW w:w="700" w:type="dxa"/>
            <w:noWrap w:val="0"/>
            <w:vAlign w:val="center"/>
          </w:tcPr>
          <w:p>
            <w:pPr>
              <w:spacing w:line="440" w:lineRule="exact"/>
              <w:jc w:val="center"/>
              <w:rPr>
                <w:rFonts w:ascii="宋体" w:cs="宋体"/>
                <w:sz w:val="24"/>
                <w:szCs w:val="24"/>
              </w:rPr>
            </w:pPr>
            <w:r>
              <w:rPr>
                <w:rFonts w:hint="eastAsia" w:ascii="宋体" w:hAnsi="宋体" w:cs="宋体"/>
                <w:sz w:val="24"/>
                <w:szCs w:val="24"/>
              </w:rPr>
              <w:t>20分</w:t>
            </w:r>
          </w:p>
        </w:tc>
        <w:tc>
          <w:tcPr>
            <w:tcW w:w="6791" w:type="dxa"/>
            <w:noWrap w:val="0"/>
            <w:vAlign w:val="center"/>
          </w:tcPr>
          <w:p>
            <w:pPr>
              <w:widowControl/>
              <w:numPr>
                <w:ilvl w:val="0"/>
                <w:numId w:val="7"/>
              </w:numPr>
              <w:spacing w:line="440" w:lineRule="exact"/>
              <w:ind w:firstLine="480" w:firstLineChars="200"/>
              <w:jc w:val="left"/>
              <w:rPr>
                <w:rFonts w:hint="eastAsia" w:ascii="宋体" w:hAnsi="宋体" w:eastAsia="宋体" w:cs="宋体"/>
                <w:b w:val="0"/>
                <w:kern w:val="0"/>
                <w:sz w:val="24"/>
                <w:szCs w:val="24"/>
                <w:lang w:val="en-US" w:eastAsia="zh-CN"/>
              </w:rPr>
            </w:pPr>
            <w:r>
              <w:rPr>
                <w:rFonts w:hint="eastAsia" w:ascii="宋体" w:hAnsi="宋体" w:eastAsia="宋体" w:cs="宋体"/>
                <w:b w:val="0"/>
                <w:kern w:val="0"/>
                <w:sz w:val="24"/>
                <w:szCs w:val="24"/>
                <w:lang w:val="en-US" w:eastAsia="zh-CN"/>
              </w:rPr>
              <w:t>本项目总价最高限价为</w:t>
            </w:r>
            <w:r>
              <w:rPr>
                <w:rFonts w:hint="eastAsia" w:ascii="宋体" w:hAnsi="宋体" w:eastAsia="宋体" w:cs="宋体"/>
                <w:b w:val="0"/>
                <w:color w:val="auto"/>
                <w:kern w:val="0"/>
                <w:sz w:val="24"/>
                <w:szCs w:val="24"/>
                <w:lang w:val="en-US" w:eastAsia="zh-CN"/>
              </w:rPr>
              <w:t>：</w:t>
            </w:r>
            <w:r>
              <w:rPr>
                <w:rFonts w:hint="eastAsia" w:ascii="宋体" w:hAnsi="宋体" w:cs="宋体"/>
                <w:b w:val="0"/>
                <w:kern w:val="0"/>
                <w:sz w:val="24"/>
                <w:szCs w:val="24"/>
                <w:lang w:val="en-US" w:eastAsia="zh-CN"/>
              </w:rPr>
              <w:t>壹佰柒拾捌万贰仟伍佰柒拾伍元叁角伍分</w:t>
            </w:r>
            <w:r>
              <w:rPr>
                <w:rFonts w:hint="eastAsia" w:ascii="宋体" w:hAnsi="宋体" w:eastAsia="宋体" w:cs="宋体"/>
                <w:b w:val="0"/>
                <w:kern w:val="0"/>
                <w:sz w:val="24"/>
                <w:szCs w:val="24"/>
                <w:lang w:val="en-US" w:eastAsia="zh-CN"/>
              </w:rPr>
              <w:t>（¥</w:t>
            </w:r>
            <w:r>
              <w:rPr>
                <w:rFonts w:hint="eastAsia" w:ascii="宋体" w:hAnsi="宋体" w:cs="宋体"/>
                <w:b w:val="0"/>
                <w:kern w:val="0"/>
                <w:sz w:val="24"/>
                <w:szCs w:val="24"/>
                <w:lang w:val="en-US" w:eastAsia="zh-CN"/>
              </w:rPr>
              <w:t>1782575.35</w:t>
            </w:r>
            <w:r>
              <w:rPr>
                <w:rFonts w:hint="eastAsia" w:ascii="宋体" w:hAnsi="宋体" w:eastAsia="宋体" w:cs="宋体"/>
                <w:b w:val="0"/>
                <w:kern w:val="0"/>
                <w:sz w:val="24"/>
                <w:szCs w:val="24"/>
                <w:lang w:val="en-US" w:eastAsia="zh-CN"/>
              </w:rPr>
              <w:t>元）</w:t>
            </w:r>
            <w:r>
              <w:rPr>
                <w:rFonts w:hint="eastAsia" w:ascii="宋体" w:hAnsi="宋体" w:cs="宋体"/>
                <w:b w:val="0"/>
                <w:kern w:val="0"/>
                <w:sz w:val="24"/>
                <w:szCs w:val="24"/>
                <w:lang w:val="en-US" w:eastAsia="zh-CN"/>
              </w:rPr>
              <w:t>，供应商</w:t>
            </w:r>
            <w:r>
              <w:rPr>
                <w:rFonts w:hint="eastAsia" w:ascii="宋体" w:hAnsi="宋体" w:eastAsia="宋体" w:cs="宋体"/>
                <w:b w:val="0"/>
                <w:kern w:val="0"/>
                <w:sz w:val="24"/>
                <w:szCs w:val="24"/>
                <w:lang w:val="en-US" w:eastAsia="zh-CN"/>
              </w:rPr>
              <w:t>报价时不得超过最高限价，否则视为无效报价。</w:t>
            </w:r>
          </w:p>
          <w:p>
            <w:pPr>
              <w:widowControl/>
              <w:spacing w:line="440" w:lineRule="exact"/>
              <w:ind w:firstLine="480" w:firstLineChars="200"/>
              <w:jc w:val="left"/>
              <w:rPr>
                <w:rFonts w:hint="eastAsia" w:ascii="宋体" w:hAnsi="宋体" w:eastAsia="宋体" w:cs="宋体"/>
                <w:b w:val="0"/>
                <w:kern w:val="0"/>
                <w:sz w:val="24"/>
                <w:szCs w:val="24"/>
                <w:lang w:eastAsia="zh-CN"/>
              </w:rPr>
            </w:pPr>
            <w:r>
              <w:rPr>
                <w:rFonts w:hint="eastAsia" w:ascii="宋体" w:hAnsi="宋体" w:cs="宋体"/>
                <w:b w:val="0"/>
                <w:kern w:val="0"/>
                <w:sz w:val="24"/>
                <w:szCs w:val="24"/>
                <w:lang w:val="en-US" w:eastAsia="zh-CN"/>
              </w:rPr>
              <w:t>2.</w:t>
            </w:r>
            <w:r>
              <w:rPr>
                <w:rFonts w:hint="eastAsia" w:ascii="宋体" w:hAnsi="宋体" w:eastAsia="宋体" w:cs="宋体"/>
                <w:b w:val="0"/>
                <w:kern w:val="0"/>
                <w:sz w:val="24"/>
                <w:szCs w:val="24"/>
              </w:rPr>
              <w:t>依据六</w:t>
            </w:r>
            <w:r>
              <w:rPr>
                <w:rFonts w:hint="eastAsia" w:ascii="宋体" w:hAnsi="宋体" w:eastAsia="宋体" w:cs="宋体"/>
                <w:b w:val="0"/>
                <w:color w:val="000000" w:themeColor="text1"/>
                <w:kern w:val="0"/>
                <w:sz w:val="24"/>
                <w:szCs w:val="24"/>
                <w14:textFill>
                  <w14:solidFill>
                    <w14:schemeClr w14:val="tx1"/>
                  </w14:solidFill>
                </w14:textFill>
              </w:rPr>
              <w:t>安市《</w:t>
            </w:r>
            <w:r>
              <w:rPr>
                <w:rFonts w:hint="eastAsia" w:ascii="宋体" w:hAnsi="宋体" w:cs="宋体"/>
                <w:color w:val="000000" w:themeColor="text1"/>
                <w:kern w:val="0"/>
                <w:sz w:val="24"/>
                <w:szCs w:val="24"/>
                <w14:textFill>
                  <w14:solidFill>
                    <w14:schemeClr w14:val="tx1"/>
                  </w14:solidFill>
                </w14:textFill>
              </w:rPr>
              <w:t>六安市物业服务分等定级标准</w:t>
            </w:r>
            <w:r>
              <w:rPr>
                <w:rFonts w:hint="eastAsia" w:ascii="宋体" w:hAnsi="宋体" w:eastAsia="宋体" w:cs="宋体"/>
                <w:b w:val="0"/>
                <w:color w:val="000000" w:themeColor="text1"/>
                <w:kern w:val="0"/>
                <w:sz w:val="24"/>
                <w:szCs w:val="24"/>
                <w:highlight w:val="none"/>
                <w14:textFill>
                  <w14:solidFill>
                    <w14:schemeClr w14:val="tx1"/>
                  </w14:solidFill>
                </w14:textFill>
              </w:rPr>
              <w:t>》</w:t>
            </w:r>
            <w:r>
              <w:rPr>
                <w:rFonts w:hint="eastAsia" w:ascii="宋体" w:hAnsi="宋体" w:eastAsia="宋体" w:cs="宋体"/>
                <w:b w:val="0"/>
                <w:color w:val="000000" w:themeColor="text1"/>
                <w:kern w:val="0"/>
                <w:sz w:val="24"/>
                <w:szCs w:val="24"/>
                <w14:textFill>
                  <w14:solidFill>
                    <w14:schemeClr w14:val="tx1"/>
                  </w14:solidFill>
                </w14:textFill>
              </w:rPr>
              <w:t>的</w:t>
            </w:r>
            <w:r>
              <w:rPr>
                <w:rFonts w:hint="eastAsia" w:ascii="宋体" w:hAnsi="宋体" w:eastAsia="宋体" w:cs="宋体"/>
                <w:b w:val="0"/>
                <w:kern w:val="0"/>
                <w:sz w:val="24"/>
                <w:szCs w:val="24"/>
              </w:rPr>
              <w:t>规定确定本次招标项目服务</w:t>
            </w:r>
            <w:r>
              <w:rPr>
                <w:rFonts w:hint="eastAsia" w:ascii="宋体" w:hAnsi="宋体" w:eastAsia="宋体" w:cs="宋体"/>
                <w:b w:val="0"/>
                <w:kern w:val="0"/>
                <w:sz w:val="24"/>
                <w:szCs w:val="24"/>
                <w:lang w:eastAsia="zh-CN"/>
              </w:rPr>
              <w:t>为</w:t>
            </w:r>
            <w:r>
              <w:rPr>
                <w:rFonts w:hint="eastAsia" w:ascii="宋体" w:hAnsi="宋体"/>
                <w:b w:val="0"/>
                <w:sz w:val="24"/>
                <w:szCs w:val="24"/>
                <w:highlight w:val="none"/>
                <w:u w:val="single"/>
                <w:lang w:val="en-US" w:eastAsia="zh-CN"/>
              </w:rPr>
              <w:t xml:space="preserve">  一（A）  </w:t>
            </w:r>
            <w:r>
              <w:rPr>
                <w:rFonts w:hint="eastAsia" w:ascii="宋体" w:hAnsi="宋体" w:eastAsia="宋体" w:cs="宋体"/>
                <w:b w:val="0"/>
                <w:kern w:val="0"/>
                <w:sz w:val="24"/>
                <w:szCs w:val="24"/>
                <w:lang w:eastAsia="zh-CN"/>
              </w:rPr>
              <w:t>级</w:t>
            </w:r>
            <w:r>
              <w:rPr>
                <w:rFonts w:hint="eastAsia" w:ascii="宋体" w:hAnsi="宋体" w:eastAsia="宋体" w:cs="宋体"/>
                <w:b w:val="0"/>
                <w:kern w:val="0"/>
                <w:sz w:val="24"/>
                <w:szCs w:val="24"/>
              </w:rPr>
              <w:t>等级。</w:t>
            </w:r>
            <w:r>
              <w:rPr>
                <w:rFonts w:hint="eastAsia" w:ascii="宋体" w:hAnsi="宋体" w:eastAsia="宋体" w:cs="宋体"/>
                <w:b w:val="0"/>
                <w:kern w:val="0"/>
                <w:sz w:val="24"/>
                <w:szCs w:val="24"/>
                <w:lang w:eastAsia="zh-CN"/>
              </w:rPr>
              <w:t>本项目单价上限值</w:t>
            </w:r>
            <w:r>
              <w:rPr>
                <w:rFonts w:hint="eastAsia" w:ascii="宋体" w:hAnsi="宋体" w:cs="宋体"/>
                <w:b w:val="0"/>
                <w:kern w:val="0"/>
                <w:sz w:val="24"/>
                <w:szCs w:val="24"/>
                <w:lang w:eastAsia="zh-CN"/>
              </w:rPr>
              <w:t>和单价</w:t>
            </w:r>
            <w:r>
              <w:rPr>
                <w:rFonts w:hint="eastAsia" w:ascii="宋体" w:hAnsi="宋体" w:eastAsia="宋体" w:cs="宋体"/>
                <w:b w:val="0"/>
                <w:kern w:val="0"/>
                <w:sz w:val="24"/>
                <w:szCs w:val="24"/>
                <w:lang w:eastAsia="zh-CN"/>
              </w:rPr>
              <w:t>下限值如下</w:t>
            </w:r>
            <w:r>
              <w:rPr>
                <w:rFonts w:hint="eastAsia" w:ascii="宋体" w:hAnsi="宋体" w:cs="宋体"/>
                <w:b w:val="0"/>
                <w:kern w:val="0"/>
                <w:sz w:val="24"/>
                <w:szCs w:val="24"/>
                <w:lang w:eastAsia="zh-CN"/>
              </w:rPr>
              <w:t>表，</w:t>
            </w:r>
            <w:r>
              <w:rPr>
                <w:rFonts w:hint="eastAsia" w:ascii="宋体" w:hAnsi="宋体" w:eastAsia="宋体" w:cs="宋体"/>
                <w:b w:val="0"/>
                <w:kern w:val="0"/>
                <w:sz w:val="24"/>
                <w:szCs w:val="24"/>
              </w:rPr>
              <w:t>投标人依次进行报价</w:t>
            </w:r>
            <w:r>
              <w:rPr>
                <w:rFonts w:hint="eastAsia" w:ascii="宋体" w:hAnsi="宋体" w:eastAsia="宋体" w:cs="宋体"/>
                <w:b w:val="0"/>
                <w:kern w:val="0"/>
                <w:sz w:val="24"/>
                <w:szCs w:val="24"/>
                <w:lang w:eastAsia="zh-CN"/>
              </w:rPr>
              <w:t>。</w:t>
            </w:r>
            <w:r>
              <w:rPr>
                <w:rFonts w:hint="eastAsia" w:ascii="宋体" w:hAnsi="宋体" w:eastAsia="宋体" w:cs="宋体"/>
                <w:b w:val="0"/>
                <w:kern w:val="0"/>
                <w:sz w:val="24"/>
                <w:szCs w:val="24"/>
              </w:rPr>
              <w:t>任何高于</w:t>
            </w:r>
            <w:r>
              <w:rPr>
                <w:rFonts w:hint="eastAsia" w:ascii="宋体" w:hAnsi="宋体" w:cs="宋体"/>
                <w:b w:val="0"/>
                <w:kern w:val="0"/>
                <w:sz w:val="24"/>
                <w:szCs w:val="24"/>
                <w:lang w:eastAsia="zh-CN"/>
              </w:rPr>
              <w:t>单价上限值</w:t>
            </w:r>
            <w:r>
              <w:rPr>
                <w:rFonts w:hint="eastAsia" w:ascii="宋体" w:hAnsi="宋体" w:eastAsia="宋体" w:cs="宋体"/>
                <w:b w:val="0"/>
                <w:kern w:val="0"/>
                <w:sz w:val="24"/>
                <w:szCs w:val="24"/>
              </w:rPr>
              <w:t>、低于</w:t>
            </w:r>
            <w:r>
              <w:rPr>
                <w:rFonts w:hint="eastAsia" w:ascii="宋体" w:hAnsi="宋体" w:cs="宋体"/>
                <w:b w:val="0"/>
                <w:kern w:val="0"/>
                <w:sz w:val="24"/>
                <w:szCs w:val="24"/>
                <w:lang w:eastAsia="zh-CN"/>
              </w:rPr>
              <w:t>单价下限值</w:t>
            </w:r>
            <w:r>
              <w:rPr>
                <w:rFonts w:hint="eastAsia" w:ascii="宋体" w:hAnsi="宋体" w:eastAsia="宋体" w:cs="宋体"/>
                <w:b w:val="0"/>
                <w:kern w:val="0"/>
                <w:sz w:val="24"/>
                <w:szCs w:val="24"/>
              </w:rPr>
              <w:t>的投标</w:t>
            </w:r>
            <w:r>
              <w:rPr>
                <w:rFonts w:hint="eastAsia" w:ascii="宋体" w:hAnsi="宋体" w:eastAsia="宋体" w:cs="宋体"/>
                <w:b w:val="0"/>
                <w:kern w:val="0"/>
                <w:sz w:val="24"/>
                <w:szCs w:val="24"/>
                <w:lang w:eastAsia="zh-CN"/>
              </w:rPr>
              <w:t>报价均为无效投标报价，无效投标报价不得参与商务标评审打分并不得被确定为中标人或中标候选人。</w:t>
            </w:r>
          </w:p>
          <w:p>
            <w:pPr>
              <w:widowControl/>
              <w:numPr>
                <w:ilvl w:val="0"/>
                <w:numId w:val="0"/>
              </w:numPr>
              <w:spacing w:line="440" w:lineRule="exact"/>
              <w:ind w:firstLine="240" w:firstLineChars="100"/>
              <w:jc w:val="left"/>
              <w:rPr>
                <w:rFonts w:hint="eastAsia" w:ascii="宋体" w:hAnsi="宋体" w:eastAsia="宋体" w:cs="宋体"/>
                <w:b w:val="0"/>
                <w:kern w:val="0"/>
                <w:sz w:val="24"/>
                <w:szCs w:val="24"/>
              </w:rPr>
            </w:pPr>
            <w:r>
              <w:rPr>
                <w:rFonts w:hint="eastAsia" w:ascii="宋体" w:hAnsi="宋体" w:eastAsia="宋体" w:cs="宋体"/>
                <w:b w:val="0"/>
                <w:kern w:val="0"/>
                <w:sz w:val="24"/>
                <w:szCs w:val="24"/>
                <w:lang w:val="en-US" w:eastAsia="zh-CN"/>
              </w:rPr>
              <w:t>4.</w:t>
            </w:r>
            <w:r>
              <w:rPr>
                <w:rFonts w:hint="eastAsia" w:ascii="宋体" w:hAnsi="宋体" w:eastAsia="宋体" w:cs="宋体"/>
                <w:b w:val="0"/>
                <w:kern w:val="0"/>
                <w:sz w:val="24"/>
                <w:szCs w:val="24"/>
              </w:rPr>
              <w:t>将各投标人的</w:t>
            </w:r>
            <w:r>
              <w:rPr>
                <w:rFonts w:hint="eastAsia" w:ascii="宋体" w:hAnsi="宋体" w:cs="宋体"/>
                <w:b w:val="0"/>
                <w:kern w:val="0"/>
                <w:sz w:val="24"/>
                <w:szCs w:val="24"/>
                <w:lang w:eastAsia="zh-CN"/>
              </w:rPr>
              <w:t>有效</w:t>
            </w:r>
            <w:r>
              <w:rPr>
                <w:rFonts w:hint="eastAsia" w:ascii="宋体" w:hAnsi="宋体" w:eastAsia="宋体" w:cs="宋体"/>
                <w:b w:val="0"/>
                <w:kern w:val="0"/>
                <w:sz w:val="24"/>
                <w:szCs w:val="24"/>
              </w:rPr>
              <w:t>投标报价按照先低后高的原则进行排序，依据得分第一、第二、第三……，则各投标人投标报价得分</w:t>
            </w:r>
            <w:r>
              <w:rPr>
                <w:rFonts w:hint="eastAsia" w:ascii="宋体" w:hAnsi="宋体" w:eastAsia="宋体" w:cs="宋体"/>
                <w:b w:val="0"/>
                <w:color w:val="auto"/>
                <w:kern w:val="0"/>
                <w:sz w:val="24"/>
                <w:szCs w:val="24"/>
              </w:rPr>
              <w:t>依次为</w:t>
            </w:r>
            <w:r>
              <w:rPr>
                <w:rFonts w:hint="eastAsia" w:ascii="宋体" w:hAnsi="宋体" w:eastAsia="宋体" w:cs="宋体"/>
                <w:b w:val="0"/>
                <w:color w:val="auto"/>
                <w:kern w:val="0"/>
                <w:sz w:val="24"/>
                <w:szCs w:val="24"/>
                <w:lang w:val="en-US" w:eastAsia="zh-CN"/>
              </w:rPr>
              <w:t>20</w:t>
            </w:r>
            <w:r>
              <w:rPr>
                <w:rFonts w:hint="eastAsia" w:ascii="宋体" w:hAnsi="宋体" w:eastAsia="宋体" w:cs="宋体"/>
                <w:b w:val="0"/>
                <w:color w:val="auto"/>
                <w:kern w:val="0"/>
                <w:sz w:val="24"/>
                <w:szCs w:val="24"/>
              </w:rPr>
              <w:t>分、</w:t>
            </w:r>
            <w:r>
              <w:rPr>
                <w:rFonts w:hint="eastAsia" w:ascii="宋体" w:hAnsi="宋体" w:eastAsia="宋体" w:cs="宋体"/>
                <w:b w:val="0"/>
                <w:color w:val="auto"/>
                <w:kern w:val="0"/>
                <w:sz w:val="24"/>
                <w:szCs w:val="24"/>
                <w:lang w:val="en-US" w:eastAsia="zh-CN"/>
              </w:rPr>
              <w:t>19</w:t>
            </w:r>
            <w:r>
              <w:rPr>
                <w:rFonts w:hint="eastAsia" w:ascii="宋体" w:hAnsi="宋体" w:eastAsia="宋体" w:cs="宋体"/>
                <w:b w:val="0"/>
                <w:color w:val="auto"/>
                <w:kern w:val="0"/>
                <w:sz w:val="24"/>
                <w:szCs w:val="24"/>
              </w:rPr>
              <w:t>分、</w:t>
            </w:r>
            <w:r>
              <w:rPr>
                <w:rFonts w:hint="eastAsia" w:ascii="宋体" w:hAnsi="宋体" w:eastAsia="宋体" w:cs="宋体"/>
                <w:b w:val="0"/>
                <w:color w:val="auto"/>
                <w:kern w:val="0"/>
                <w:sz w:val="24"/>
                <w:szCs w:val="24"/>
                <w:lang w:val="en-US" w:eastAsia="zh-CN"/>
              </w:rPr>
              <w:t>18</w:t>
            </w:r>
            <w:r>
              <w:rPr>
                <w:rFonts w:hint="eastAsia" w:ascii="宋体" w:hAnsi="宋体" w:eastAsia="宋体" w:cs="宋体"/>
                <w:b w:val="0"/>
                <w:color w:val="auto"/>
                <w:kern w:val="0"/>
                <w:sz w:val="24"/>
                <w:szCs w:val="24"/>
              </w:rPr>
              <w:t>分……。</w:t>
            </w:r>
          </w:p>
          <w:tbl>
            <w:tblPr>
              <w:tblStyle w:val="37"/>
              <w:tblW w:w="6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704"/>
              <w:gridCol w:w="2100"/>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vMerge w:val="restart"/>
                  <w:noWrap w:val="0"/>
                  <w:vAlign w:val="top"/>
                </w:tcPr>
                <w:p>
                  <w:pPr>
                    <w:widowControl/>
                    <w:numPr>
                      <w:ilvl w:val="0"/>
                      <w:numId w:val="0"/>
                    </w:numPr>
                    <w:spacing w:line="440" w:lineRule="exact"/>
                    <w:jc w:val="center"/>
                    <w:rPr>
                      <w:rFonts w:hint="eastAsia" w:ascii="宋体" w:hAnsi="宋体" w:eastAsia="宋体" w:cs="宋体"/>
                      <w:b w:val="0"/>
                      <w:kern w:val="0"/>
                      <w:sz w:val="24"/>
                      <w:szCs w:val="24"/>
                      <w:vertAlign w:val="baseline"/>
                      <w:lang w:eastAsia="zh-CN"/>
                    </w:rPr>
                  </w:pPr>
                </w:p>
                <w:p>
                  <w:pPr>
                    <w:widowControl/>
                    <w:numPr>
                      <w:ilvl w:val="0"/>
                      <w:numId w:val="0"/>
                    </w:numPr>
                    <w:spacing w:line="440" w:lineRule="exact"/>
                    <w:jc w:val="center"/>
                    <w:rPr>
                      <w:rFonts w:hint="eastAsia" w:ascii="宋体" w:hAnsi="宋体" w:eastAsia="宋体" w:cs="宋体"/>
                      <w:b w:val="0"/>
                      <w:kern w:val="0"/>
                      <w:sz w:val="24"/>
                      <w:szCs w:val="24"/>
                      <w:vertAlign w:val="baseline"/>
                      <w:lang w:eastAsia="zh-CN"/>
                    </w:rPr>
                  </w:pPr>
                  <w:r>
                    <w:rPr>
                      <w:rFonts w:hint="eastAsia" w:ascii="宋体" w:hAnsi="宋体" w:eastAsia="宋体" w:cs="宋体"/>
                      <w:b w:val="0"/>
                      <w:kern w:val="0"/>
                      <w:sz w:val="24"/>
                      <w:szCs w:val="24"/>
                      <w:vertAlign w:val="baseline"/>
                      <w:lang w:eastAsia="zh-CN"/>
                    </w:rPr>
                    <w:t>项目名称</w:t>
                  </w:r>
                </w:p>
              </w:tc>
              <w:tc>
                <w:tcPr>
                  <w:tcW w:w="3804" w:type="dxa"/>
                  <w:gridSpan w:val="2"/>
                  <w:noWrap w:val="0"/>
                  <w:vAlign w:val="top"/>
                </w:tcPr>
                <w:p>
                  <w:pPr>
                    <w:widowControl/>
                    <w:numPr>
                      <w:ilvl w:val="0"/>
                      <w:numId w:val="0"/>
                    </w:numPr>
                    <w:spacing w:line="440" w:lineRule="exact"/>
                    <w:ind w:firstLine="720" w:firstLineChars="300"/>
                    <w:jc w:val="left"/>
                    <w:rPr>
                      <w:rFonts w:hint="eastAsia" w:ascii="宋体" w:hAnsi="宋体" w:eastAsia="宋体" w:cs="宋体"/>
                      <w:b w:val="0"/>
                      <w:kern w:val="0"/>
                      <w:sz w:val="24"/>
                      <w:szCs w:val="24"/>
                      <w:vertAlign w:val="baseline"/>
                      <w:lang w:eastAsia="zh-CN"/>
                    </w:rPr>
                  </w:pPr>
                  <w:r>
                    <w:rPr>
                      <w:rFonts w:hint="eastAsia" w:ascii="宋体" w:hAnsi="宋体" w:eastAsia="宋体" w:cs="宋体"/>
                      <w:b w:val="0"/>
                      <w:kern w:val="0"/>
                      <w:sz w:val="24"/>
                      <w:szCs w:val="24"/>
                      <w:highlight w:val="none"/>
                      <w:vertAlign w:val="baseline"/>
                      <w:lang w:eastAsia="zh-CN"/>
                    </w:rPr>
                    <w:t>物业公共服务费</w:t>
                  </w:r>
                </w:p>
              </w:tc>
              <w:tc>
                <w:tcPr>
                  <w:tcW w:w="1537" w:type="dxa"/>
                  <w:vMerge w:val="restart"/>
                  <w:noWrap w:val="0"/>
                  <w:vAlign w:val="top"/>
                </w:tcPr>
                <w:p>
                  <w:pPr>
                    <w:widowControl/>
                    <w:numPr>
                      <w:ilvl w:val="0"/>
                      <w:numId w:val="0"/>
                    </w:numPr>
                    <w:spacing w:line="440" w:lineRule="exact"/>
                    <w:jc w:val="left"/>
                    <w:rPr>
                      <w:rFonts w:hint="eastAsia" w:ascii="宋体" w:hAnsi="宋体" w:eastAsia="宋体" w:cs="宋体"/>
                      <w:b w:val="0"/>
                      <w:kern w:val="0"/>
                      <w:sz w:val="24"/>
                      <w:szCs w:val="24"/>
                      <w:vertAlign w:val="baseline"/>
                      <w:lang w:eastAsia="zh-CN"/>
                    </w:rPr>
                  </w:pPr>
                </w:p>
                <w:p>
                  <w:pPr>
                    <w:widowControl/>
                    <w:numPr>
                      <w:ilvl w:val="0"/>
                      <w:numId w:val="0"/>
                    </w:numPr>
                    <w:spacing w:line="440" w:lineRule="exact"/>
                    <w:ind w:firstLine="480" w:firstLineChars="200"/>
                    <w:jc w:val="left"/>
                    <w:rPr>
                      <w:rFonts w:hint="eastAsia" w:ascii="宋体" w:hAnsi="宋体" w:eastAsia="宋体" w:cs="宋体"/>
                      <w:b w:val="0"/>
                      <w:kern w:val="0"/>
                      <w:sz w:val="24"/>
                      <w:szCs w:val="24"/>
                      <w:vertAlign w:val="baseline"/>
                      <w:lang w:eastAsia="zh-CN"/>
                    </w:rPr>
                  </w:pPr>
                  <w:r>
                    <w:rPr>
                      <w:rFonts w:hint="eastAsia" w:ascii="宋体" w:hAnsi="宋体" w:eastAsia="宋体" w:cs="宋体"/>
                      <w:b w:val="0"/>
                      <w:kern w:val="0"/>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vMerge w:val="continue"/>
                  <w:noWrap w:val="0"/>
                  <w:vAlign w:val="top"/>
                </w:tcPr>
                <w:p>
                  <w:pPr>
                    <w:widowControl/>
                    <w:numPr>
                      <w:ilvl w:val="0"/>
                      <w:numId w:val="0"/>
                    </w:numPr>
                    <w:spacing w:line="440" w:lineRule="exact"/>
                    <w:jc w:val="left"/>
                    <w:rPr>
                      <w:rFonts w:hint="eastAsia" w:ascii="宋体" w:hAnsi="宋体" w:eastAsia="宋体" w:cs="宋体"/>
                      <w:b w:val="0"/>
                      <w:kern w:val="0"/>
                      <w:sz w:val="24"/>
                      <w:szCs w:val="24"/>
                      <w:vertAlign w:val="baseline"/>
                    </w:rPr>
                  </w:pPr>
                </w:p>
              </w:tc>
              <w:tc>
                <w:tcPr>
                  <w:tcW w:w="1704" w:type="dxa"/>
                  <w:noWrap w:val="0"/>
                  <w:vAlign w:val="top"/>
                </w:tcPr>
                <w:p>
                  <w:pPr>
                    <w:widowControl/>
                    <w:numPr>
                      <w:ilvl w:val="0"/>
                      <w:numId w:val="0"/>
                    </w:numPr>
                    <w:spacing w:line="440" w:lineRule="exact"/>
                    <w:jc w:val="center"/>
                    <w:rPr>
                      <w:rFonts w:hint="eastAsia" w:ascii="宋体" w:hAnsi="宋体" w:eastAsia="宋体" w:cs="宋体"/>
                      <w:b w:val="0"/>
                      <w:kern w:val="0"/>
                      <w:sz w:val="24"/>
                      <w:szCs w:val="24"/>
                      <w:vertAlign w:val="baseline"/>
                      <w:lang w:eastAsia="zh-CN"/>
                    </w:rPr>
                  </w:pPr>
                  <w:r>
                    <w:rPr>
                      <w:rFonts w:hint="eastAsia" w:ascii="宋体" w:hAnsi="宋体" w:eastAsia="宋体" w:cs="宋体"/>
                      <w:b w:val="0"/>
                      <w:kern w:val="0"/>
                      <w:sz w:val="24"/>
                      <w:szCs w:val="24"/>
                      <w:vertAlign w:val="baseline"/>
                      <w:lang w:eastAsia="zh-CN"/>
                    </w:rPr>
                    <w:t>单价上限</w:t>
                  </w:r>
                  <w:r>
                    <w:rPr>
                      <w:rFonts w:hint="eastAsia" w:ascii="宋体" w:hAnsi="宋体" w:eastAsia="宋体" w:cs="宋体"/>
                      <w:b w:val="0"/>
                      <w:kern w:val="0"/>
                      <w:sz w:val="24"/>
                      <w:szCs w:val="24"/>
                      <w:lang w:eastAsia="zh-CN"/>
                    </w:rPr>
                    <w:t>值</w:t>
                  </w:r>
                  <w:r>
                    <w:rPr>
                      <w:rFonts w:hint="eastAsia" w:ascii="宋体" w:hAnsi="宋体" w:eastAsia="宋体" w:cs="宋体"/>
                      <w:b w:val="0"/>
                      <w:kern w:val="0"/>
                      <w:sz w:val="24"/>
                      <w:szCs w:val="24"/>
                      <w:vertAlign w:val="baseline"/>
                      <w:lang w:eastAsia="zh-CN"/>
                    </w:rPr>
                    <w:t>（元/㎡/月）</w:t>
                  </w:r>
                </w:p>
              </w:tc>
              <w:tc>
                <w:tcPr>
                  <w:tcW w:w="2100" w:type="dxa"/>
                  <w:noWrap w:val="0"/>
                  <w:vAlign w:val="top"/>
                </w:tcPr>
                <w:p>
                  <w:pPr>
                    <w:widowControl/>
                    <w:numPr>
                      <w:ilvl w:val="0"/>
                      <w:numId w:val="0"/>
                    </w:numPr>
                    <w:spacing w:line="440" w:lineRule="exact"/>
                    <w:jc w:val="center"/>
                    <w:rPr>
                      <w:rFonts w:hint="eastAsia" w:ascii="宋体" w:hAnsi="宋体" w:eastAsia="宋体" w:cs="宋体"/>
                      <w:b w:val="0"/>
                      <w:kern w:val="0"/>
                      <w:sz w:val="24"/>
                      <w:szCs w:val="24"/>
                      <w:vertAlign w:val="baseline"/>
                      <w:lang w:eastAsia="zh-CN"/>
                    </w:rPr>
                  </w:pPr>
                  <w:r>
                    <w:rPr>
                      <w:rFonts w:hint="eastAsia" w:ascii="宋体" w:hAnsi="宋体" w:eastAsia="宋体" w:cs="宋体"/>
                      <w:b w:val="0"/>
                      <w:kern w:val="0"/>
                      <w:sz w:val="24"/>
                      <w:szCs w:val="24"/>
                      <w:vertAlign w:val="baseline"/>
                      <w:lang w:eastAsia="zh-CN"/>
                    </w:rPr>
                    <w:t>单价下限</w:t>
                  </w:r>
                  <w:r>
                    <w:rPr>
                      <w:rFonts w:hint="eastAsia" w:ascii="宋体" w:hAnsi="宋体" w:eastAsia="宋体" w:cs="宋体"/>
                      <w:b w:val="0"/>
                      <w:kern w:val="0"/>
                      <w:sz w:val="24"/>
                      <w:szCs w:val="24"/>
                      <w:lang w:eastAsia="zh-CN"/>
                    </w:rPr>
                    <w:t>值</w:t>
                  </w:r>
                  <w:r>
                    <w:rPr>
                      <w:rFonts w:hint="eastAsia" w:ascii="宋体" w:hAnsi="宋体" w:cs="宋体"/>
                      <w:b w:val="0"/>
                      <w:kern w:val="0"/>
                      <w:sz w:val="24"/>
                      <w:szCs w:val="24"/>
                      <w:lang w:val="en-US" w:eastAsia="zh-CN"/>
                    </w:rPr>
                    <w:t xml:space="preserve">   </w:t>
                  </w:r>
                  <w:r>
                    <w:rPr>
                      <w:rFonts w:hint="eastAsia" w:ascii="宋体" w:hAnsi="宋体" w:eastAsia="宋体" w:cs="宋体"/>
                      <w:b w:val="0"/>
                      <w:kern w:val="0"/>
                      <w:sz w:val="24"/>
                      <w:szCs w:val="24"/>
                      <w:vertAlign w:val="baseline"/>
                      <w:lang w:eastAsia="zh-CN"/>
                    </w:rPr>
                    <w:t>（元/㎡/月）</w:t>
                  </w:r>
                </w:p>
              </w:tc>
              <w:tc>
                <w:tcPr>
                  <w:tcW w:w="1537" w:type="dxa"/>
                  <w:vMerge w:val="continue"/>
                  <w:noWrap w:val="0"/>
                  <w:vAlign w:val="top"/>
                </w:tcPr>
                <w:p>
                  <w:pPr>
                    <w:widowControl/>
                    <w:numPr>
                      <w:ilvl w:val="0"/>
                      <w:numId w:val="0"/>
                    </w:numPr>
                    <w:spacing w:line="440" w:lineRule="exact"/>
                    <w:jc w:val="left"/>
                    <w:rPr>
                      <w:rFonts w:hint="eastAsia" w:ascii="宋体" w:hAnsi="宋体" w:eastAsia="宋体" w:cs="宋体"/>
                      <w:b w:val="0"/>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noWrap w:val="0"/>
                  <w:vAlign w:val="center"/>
                </w:tcPr>
                <w:p>
                  <w:pPr>
                    <w:keepNext w:val="0"/>
                    <w:keepLines w:val="0"/>
                    <w:widowControl/>
                    <w:suppressLineNumbers w:val="0"/>
                    <w:jc w:val="center"/>
                    <w:textAlignment w:val="center"/>
                    <w:rPr>
                      <w:rFonts w:hint="eastAsia" w:ascii="宋体" w:hAnsi="宋体" w:eastAsia="宋体" w:cs="宋体"/>
                      <w:b w:val="0"/>
                      <w:kern w:val="0"/>
                      <w:sz w:val="24"/>
                      <w:szCs w:val="24"/>
                      <w:vertAlign w:val="baseline"/>
                      <w:lang w:eastAsia="zh-CN"/>
                    </w:rPr>
                  </w:pPr>
                  <w:r>
                    <w:rPr>
                      <w:rFonts w:hint="eastAsia" w:ascii="宋体" w:hAnsi="宋体" w:eastAsia="宋体" w:cs="宋体"/>
                      <w:i w:val="0"/>
                      <w:iCs w:val="0"/>
                      <w:color w:val="000000"/>
                      <w:kern w:val="0"/>
                      <w:sz w:val="22"/>
                      <w:szCs w:val="22"/>
                      <w:highlight w:val="none"/>
                      <w:u w:val="none"/>
                      <w:lang w:val="en-US" w:eastAsia="zh-CN" w:bidi="ar"/>
                    </w:rPr>
                    <w:t>高  层</w:t>
                  </w:r>
                </w:p>
              </w:tc>
              <w:tc>
                <w:tcPr>
                  <w:tcW w:w="1704" w:type="dxa"/>
                  <w:noWrap w:val="0"/>
                  <w:vAlign w:val="center"/>
                </w:tcPr>
                <w:p>
                  <w:pPr>
                    <w:widowControl/>
                    <w:numPr>
                      <w:ilvl w:val="0"/>
                      <w:numId w:val="0"/>
                    </w:numPr>
                    <w:spacing w:line="440" w:lineRule="exact"/>
                    <w:ind w:left="0" w:leftChars="0" w:firstLine="0" w:firstLineChars="0"/>
                    <w:jc w:val="center"/>
                    <w:rPr>
                      <w:rFonts w:hint="default" w:ascii="宋体" w:hAnsi="宋体" w:eastAsia="宋体" w:cs="宋体"/>
                      <w:b w:val="0"/>
                      <w:kern w:val="0"/>
                      <w:sz w:val="24"/>
                      <w:szCs w:val="24"/>
                      <w:highlight w:val="yellow"/>
                      <w:vertAlign w:val="baseline"/>
                      <w:lang w:val="en-US" w:eastAsia="zh-CN"/>
                    </w:rPr>
                  </w:pPr>
                  <w:r>
                    <w:rPr>
                      <w:rFonts w:hint="eastAsia" w:ascii="宋体" w:hAnsi="宋体" w:cs="宋体"/>
                      <w:b w:val="0"/>
                      <w:kern w:val="0"/>
                      <w:sz w:val="24"/>
                      <w:szCs w:val="24"/>
                      <w:highlight w:val="none"/>
                      <w:vertAlign w:val="baseline"/>
                      <w:lang w:val="en-US" w:eastAsia="zh-CN"/>
                    </w:rPr>
                    <w:t>1</w:t>
                  </w:r>
                </w:p>
              </w:tc>
              <w:tc>
                <w:tcPr>
                  <w:tcW w:w="2100" w:type="dxa"/>
                  <w:noWrap w:val="0"/>
                  <w:vAlign w:val="center"/>
                </w:tcPr>
                <w:p>
                  <w:pPr>
                    <w:widowControl/>
                    <w:numPr>
                      <w:ilvl w:val="0"/>
                      <w:numId w:val="0"/>
                    </w:numPr>
                    <w:spacing w:line="440" w:lineRule="exact"/>
                    <w:ind w:left="0" w:leftChars="0" w:firstLine="0" w:firstLineChars="0"/>
                    <w:jc w:val="center"/>
                    <w:rPr>
                      <w:rFonts w:hint="default" w:ascii="宋体" w:hAnsi="宋体" w:eastAsia="宋体" w:cs="宋体"/>
                      <w:b w:val="0"/>
                      <w:kern w:val="0"/>
                      <w:sz w:val="24"/>
                      <w:szCs w:val="24"/>
                      <w:highlight w:val="yellow"/>
                      <w:vertAlign w:val="baseline"/>
                      <w:lang w:val="en-US" w:eastAsia="zh-CN"/>
                    </w:rPr>
                  </w:pPr>
                  <w:r>
                    <w:rPr>
                      <w:rFonts w:hint="eastAsia" w:ascii="宋体" w:hAnsi="宋体" w:cs="宋体"/>
                      <w:b w:val="0"/>
                      <w:kern w:val="0"/>
                      <w:sz w:val="24"/>
                      <w:szCs w:val="24"/>
                      <w:highlight w:val="none"/>
                      <w:vertAlign w:val="baseline"/>
                      <w:lang w:val="en-US" w:eastAsia="zh-CN"/>
                    </w:rPr>
                    <w:t>0.9</w:t>
                  </w:r>
                </w:p>
              </w:tc>
              <w:tc>
                <w:tcPr>
                  <w:tcW w:w="1537" w:type="dxa"/>
                  <w:noWrap w:val="0"/>
                  <w:vAlign w:val="top"/>
                </w:tcPr>
                <w:p>
                  <w:pPr>
                    <w:widowControl/>
                    <w:numPr>
                      <w:ilvl w:val="0"/>
                      <w:numId w:val="0"/>
                    </w:numPr>
                    <w:spacing w:line="440" w:lineRule="exact"/>
                    <w:jc w:val="left"/>
                    <w:rPr>
                      <w:rFonts w:hint="eastAsia" w:ascii="宋体" w:hAnsi="宋体" w:eastAsia="宋体" w:cs="宋体"/>
                      <w:b w:val="0"/>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noWrap w:val="0"/>
                  <w:vAlign w:val="center"/>
                </w:tcPr>
                <w:p>
                  <w:pPr>
                    <w:keepNext w:val="0"/>
                    <w:keepLines w:val="0"/>
                    <w:widowControl/>
                    <w:suppressLineNumbers w:val="0"/>
                    <w:jc w:val="center"/>
                    <w:textAlignment w:val="center"/>
                    <w:rPr>
                      <w:rFonts w:hint="eastAsia" w:ascii="宋体" w:hAnsi="宋体" w:eastAsia="宋体" w:cs="宋体"/>
                      <w:b w:val="0"/>
                      <w:kern w:val="0"/>
                      <w:sz w:val="24"/>
                      <w:szCs w:val="24"/>
                      <w:vertAlign w:val="baseline"/>
                      <w:lang w:eastAsia="zh-CN"/>
                    </w:rPr>
                  </w:pPr>
                  <w:r>
                    <w:rPr>
                      <w:rFonts w:hint="eastAsia" w:ascii="宋体" w:hAnsi="宋体" w:eastAsia="宋体" w:cs="宋体"/>
                      <w:i w:val="0"/>
                      <w:iCs w:val="0"/>
                      <w:color w:val="000000"/>
                      <w:kern w:val="0"/>
                      <w:sz w:val="22"/>
                      <w:szCs w:val="22"/>
                      <w:highlight w:val="none"/>
                      <w:u w:val="none"/>
                      <w:lang w:val="en-US" w:eastAsia="zh-CN" w:bidi="ar"/>
                    </w:rPr>
                    <w:t>叠  墅</w:t>
                  </w:r>
                </w:p>
              </w:tc>
              <w:tc>
                <w:tcPr>
                  <w:tcW w:w="1704" w:type="dxa"/>
                  <w:noWrap w:val="0"/>
                  <w:vAlign w:val="center"/>
                </w:tcPr>
                <w:p>
                  <w:pPr>
                    <w:widowControl/>
                    <w:numPr>
                      <w:ilvl w:val="0"/>
                      <w:numId w:val="0"/>
                    </w:numPr>
                    <w:spacing w:line="440" w:lineRule="exact"/>
                    <w:ind w:left="0" w:leftChars="0" w:firstLine="0" w:firstLineChars="0"/>
                    <w:jc w:val="center"/>
                    <w:rPr>
                      <w:rFonts w:hint="default" w:ascii="宋体" w:hAnsi="宋体" w:eastAsia="宋体" w:cs="宋体"/>
                      <w:b w:val="0"/>
                      <w:kern w:val="0"/>
                      <w:sz w:val="24"/>
                      <w:szCs w:val="24"/>
                      <w:highlight w:val="yellow"/>
                      <w:vertAlign w:val="baseline"/>
                      <w:lang w:val="en-US" w:eastAsia="zh-CN"/>
                    </w:rPr>
                  </w:pPr>
                  <w:r>
                    <w:rPr>
                      <w:rFonts w:hint="eastAsia" w:ascii="宋体" w:hAnsi="宋体" w:cs="宋体"/>
                      <w:b w:val="0"/>
                      <w:kern w:val="0"/>
                      <w:sz w:val="24"/>
                      <w:szCs w:val="24"/>
                      <w:highlight w:val="none"/>
                      <w:vertAlign w:val="baseline"/>
                      <w:lang w:val="en-US" w:eastAsia="zh-CN"/>
                    </w:rPr>
                    <w:t>1</w:t>
                  </w:r>
                </w:p>
              </w:tc>
              <w:tc>
                <w:tcPr>
                  <w:tcW w:w="2100" w:type="dxa"/>
                  <w:noWrap w:val="0"/>
                  <w:vAlign w:val="center"/>
                </w:tcPr>
                <w:p>
                  <w:pPr>
                    <w:widowControl/>
                    <w:numPr>
                      <w:ilvl w:val="0"/>
                      <w:numId w:val="0"/>
                    </w:numPr>
                    <w:spacing w:line="440" w:lineRule="exact"/>
                    <w:ind w:left="0" w:leftChars="0" w:firstLine="0" w:firstLineChars="0"/>
                    <w:jc w:val="center"/>
                    <w:rPr>
                      <w:rFonts w:hint="default" w:ascii="宋体" w:hAnsi="宋体" w:eastAsia="宋体" w:cs="宋体"/>
                      <w:b w:val="0"/>
                      <w:kern w:val="0"/>
                      <w:sz w:val="24"/>
                      <w:szCs w:val="24"/>
                      <w:highlight w:val="yellow"/>
                      <w:vertAlign w:val="baseline"/>
                      <w:lang w:val="en-US" w:eastAsia="zh-CN"/>
                    </w:rPr>
                  </w:pPr>
                  <w:r>
                    <w:rPr>
                      <w:rFonts w:hint="eastAsia" w:ascii="宋体" w:hAnsi="宋体" w:cs="宋体"/>
                      <w:b w:val="0"/>
                      <w:kern w:val="0"/>
                      <w:sz w:val="24"/>
                      <w:szCs w:val="24"/>
                      <w:highlight w:val="none"/>
                      <w:vertAlign w:val="baseline"/>
                      <w:lang w:val="en-US" w:eastAsia="zh-CN"/>
                    </w:rPr>
                    <w:t>0.9</w:t>
                  </w:r>
                </w:p>
              </w:tc>
              <w:tc>
                <w:tcPr>
                  <w:tcW w:w="1537" w:type="dxa"/>
                  <w:noWrap w:val="0"/>
                  <w:vAlign w:val="top"/>
                </w:tcPr>
                <w:p>
                  <w:pPr>
                    <w:widowControl/>
                    <w:numPr>
                      <w:ilvl w:val="0"/>
                      <w:numId w:val="0"/>
                    </w:numPr>
                    <w:spacing w:line="440" w:lineRule="exact"/>
                    <w:jc w:val="left"/>
                    <w:rPr>
                      <w:rFonts w:hint="eastAsia" w:ascii="宋体" w:hAnsi="宋体" w:eastAsia="宋体" w:cs="宋体"/>
                      <w:b w:val="0"/>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noWrap w:val="0"/>
                  <w:vAlign w:val="center"/>
                </w:tcPr>
                <w:p>
                  <w:pPr>
                    <w:keepNext w:val="0"/>
                    <w:keepLines w:val="0"/>
                    <w:widowControl/>
                    <w:suppressLineNumbers w:val="0"/>
                    <w:jc w:val="center"/>
                    <w:textAlignment w:val="center"/>
                    <w:rPr>
                      <w:rFonts w:hint="eastAsia" w:ascii="宋体" w:hAnsi="宋体" w:eastAsia="宋体" w:cs="宋体"/>
                      <w:b w:val="0"/>
                      <w:kern w:val="0"/>
                      <w:sz w:val="24"/>
                      <w:szCs w:val="24"/>
                      <w:vertAlign w:val="baseline"/>
                      <w:lang w:eastAsia="zh-CN"/>
                    </w:rPr>
                  </w:pPr>
                  <w:r>
                    <w:rPr>
                      <w:rFonts w:hint="eastAsia" w:ascii="宋体" w:hAnsi="宋体" w:eastAsia="宋体" w:cs="宋体"/>
                      <w:i w:val="0"/>
                      <w:iCs w:val="0"/>
                      <w:color w:val="000000"/>
                      <w:kern w:val="0"/>
                      <w:sz w:val="22"/>
                      <w:szCs w:val="22"/>
                      <w:highlight w:val="none"/>
                      <w:u w:val="none"/>
                      <w:lang w:val="en-US" w:eastAsia="zh-CN" w:bidi="ar"/>
                    </w:rPr>
                    <w:t>别  墅</w:t>
                  </w:r>
                </w:p>
              </w:tc>
              <w:tc>
                <w:tcPr>
                  <w:tcW w:w="1704" w:type="dxa"/>
                  <w:noWrap w:val="0"/>
                  <w:vAlign w:val="center"/>
                </w:tcPr>
                <w:p>
                  <w:pPr>
                    <w:widowControl/>
                    <w:numPr>
                      <w:ilvl w:val="0"/>
                      <w:numId w:val="0"/>
                    </w:numPr>
                    <w:spacing w:line="440" w:lineRule="exact"/>
                    <w:ind w:left="0" w:leftChars="0" w:firstLine="0" w:firstLineChars="0"/>
                    <w:jc w:val="center"/>
                    <w:rPr>
                      <w:rFonts w:hint="default" w:ascii="宋体" w:hAnsi="宋体" w:eastAsia="宋体" w:cs="宋体"/>
                      <w:b w:val="0"/>
                      <w:kern w:val="0"/>
                      <w:sz w:val="24"/>
                      <w:szCs w:val="24"/>
                      <w:highlight w:val="yellow"/>
                      <w:vertAlign w:val="baseline"/>
                      <w:lang w:val="en-US" w:eastAsia="zh-CN"/>
                    </w:rPr>
                  </w:pPr>
                  <w:r>
                    <w:rPr>
                      <w:rFonts w:hint="eastAsia" w:ascii="宋体" w:hAnsi="宋体" w:cs="宋体"/>
                      <w:b w:val="0"/>
                      <w:kern w:val="0"/>
                      <w:sz w:val="24"/>
                      <w:szCs w:val="24"/>
                      <w:highlight w:val="none"/>
                      <w:vertAlign w:val="baseline"/>
                      <w:lang w:val="en-US" w:eastAsia="zh-CN"/>
                    </w:rPr>
                    <w:t>1.4</w:t>
                  </w:r>
                </w:p>
              </w:tc>
              <w:tc>
                <w:tcPr>
                  <w:tcW w:w="2100" w:type="dxa"/>
                  <w:noWrap w:val="0"/>
                  <w:vAlign w:val="center"/>
                </w:tcPr>
                <w:p>
                  <w:pPr>
                    <w:widowControl/>
                    <w:numPr>
                      <w:ilvl w:val="0"/>
                      <w:numId w:val="0"/>
                    </w:numPr>
                    <w:spacing w:line="440" w:lineRule="exact"/>
                    <w:ind w:left="0" w:leftChars="0" w:firstLine="0" w:firstLineChars="0"/>
                    <w:jc w:val="center"/>
                    <w:rPr>
                      <w:rFonts w:hint="eastAsia" w:ascii="宋体" w:hAnsi="宋体" w:eastAsia="宋体" w:cs="宋体"/>
                      <w:b w:val="0"/>
                      <w:kern w:val="0"/>
                      <w:sz w:val="24"/>
                      <w:szCs w:val="24"/>
                      <w:highlight w:val="yellow"/>
                      <w:vertAlign w:val="baseline"/>
                      <w:lang w:val="en-US" w:eastAsia="zh-CN"/>
                    </w:rPr>
                  </w:pPr>
                  <w:r>
                    <w:rPr>
                      <w:rFonts w:hint="eastAsia" w:ascii="宋体" w:hAnsi="宋体" w:cs="宋体"/>
                      <w:b w:val="0"/>
                      <w:kern w:val="0"/>
                      <w:sz w:val="24"/>
                      <w:szCs w:val="24"/>
                      <w:highlight w:val="none"/>
                      <w:vertAlign w:val="baseline"/>
                      <w:lang w:val="en-US" w:eastAsia="zh-CN"/>
                    </w:rPr>
                    <w:t>1.2</w:t>
                  </w:r>
                </w:p>
              </w:tc>
              <w:tc>
                <w:tcPr>
                  <w:tcW w:w="1537" w:type="dxa"/>
                  <w:noWrap w:val="0"/>
                  <w:vAlign w:val="top"/>
                </w:tcPr>
                <w:p>
                  <w:pPr>
                    <w:widowControl/>
                    <w:numPr>
                      <w:ilvl w:val="0"/>
                      <w:numId w:val="0"/>
                    </w:numPr>
                    <w:spacing w:line="440" w:lineRule="exact"/>
                    <w:jc w:val="left"/>
                    <w:rPr>
                      <w:rFonts w:hint="eastAsia" w:ascii="宋体" w:hAnsi="宋体" w:eastAsia="宋体" w:cs="宋体"/>
                      <w:b w:val="0"/>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noWrap w:val="0"/>
                  <w:vAlign w:val="center"/>
                </w:tcPr>
                <w:p>
                  <w:pPr>
                    <w:keepNext w:val="0"/>
                    <w:keepLines w:val="0"/>
                    <w:widowControl/>
                    <w:suppressLineNumbers w:val="0"/>
                    <w:jc w:val="center"/>
                    <w:textAlignment w:val="center"/>
                    <w:rPr>
                      <w:rFonts w:hint="eastAsia" w:ascii="宋体" w:hAnsi="宋体" w:eastAsia="宋体" w:cs="宋体"/>
                      <w:b w:val="0"/>
                      <w:kern w:val="0"/>
                      <w:sz w:val="24"/>
                      <w:szCs w:val="24"/>
                      <w:vertAlign w:val="baseline"/>
                      <w:lang w:eastAsia="zh-CN"/>
                    </w:rPr>
                  </w:pPr>
                  <w:r>
                    <w:rPr>
                      <w:rFonts w:hint="eastAsia" w:ascii="宋体" w:hAnsi="宋体" w:eastAsia="宋体" w:cs="宋体"/>
                      <w:i w:val="0"/>
                      <w:iCs w:val="0"/>
                      <w:color w:val="000000"/>
                      <w:kern w:val="0"/>
                      <w:sz w:val="22"/>
                      <w:szCs w:val="22"/>
                      <w:highlight w:val="none"/>
                      <w:u w:val="none"/>
                      <w:lang w:val="en-US" w:eastAsia="zh-CN" w:bidi="ar"/>
                    </w:rPr>
                    <w:t>商  业</w:t>
                  </w:r>
                </w:p>
              </w:tc>
              <w:tc>
                <w:tcPr>
                  <w:tcW w:w="1704" w:type="dxa"/>
                  <w:noWrap w:val="0"/>
                  <w:vAlign w:val="center"/>
                </w:tcPr>
                <w:p>
                  <w:pPr>
                    <w:widowControl/>
                    <w:numPr>
                      <w:ilvl w:val="0"/>
                      <w:numId w:val="0"/>
                    </w:numPr>
                    <w:spacing w:line="440" w:lineRule="exact"/>
                    <w:ind w:left="0" w:leftChars="0" w:firstLine="0" w:firstLineChars="0"/>
                    <w:jc w:val="center"/>
                    <w:rPr>
                      <w:rFonts w:hint="eastAsia" w:ascii="宋体" w:hAnsi="宋体" w:eastAsia="宋体" w:cs="宋体"/>
                      <w:b w:val="0"/>
                      <w:kern w:val="0"/>
                      <w:sz w:val="24"/>
                      <w:szCs w:val="24"/>
                      <w:highlight w:val="yellow"/>
                      <w:vertAlign w:val="baseline"/>
                      <w:lang w:val="en-US" w:eastAsia="zh-CN"/>
                    </w:rPr>
                  </w:pPr>
                  <w:r>
                    <w:rPr>
                      <w:rFonts w:hint="eastAsia" w:ascii="宋体" w:hAnsi="宋体" w:cs="宋体"/>
                      <w:b w:val="0"/>
                      <w:kern w:val="0"/>
                      <w:sz w:val="24"/>
                      <w:szCs w:val="24"/>
                      <w:highlight w:val="none"/>
                      <w:vertAlign w:val="baseline"/>
                      <w:lang w:val="en-US" w:eastAsia="zh-CN"/>
                    </w:rPr>
                    <w:t>1.8</w:t>
                  </w:r>
                </w:p>
              </w:tc>
              <w:tc>
                <w:tcPr>
                  <w:tcW w:w="2100" w:type="dxa"/>
                  <w:noWrap w:val="0"/>
                  <w:vAlign w:val="center"/>
                </w:tcPr>
                <w:p>
                  <w:pPr>
                    <w:widowControl/>
                    <w:numPr>
                      <w:ilvl w:val="0"/>
                      <w:numId w:val="0"/>
                    </w:numPr>
                    <w:spacing w:line="440" w:lineRule="exact"/>
                    <w:ind w:left="0" w:leftChars="0" w:firstLine="0" w:firstLineChars="0"/>
                    <w:jc w:val="center"/>
                    <w:rPr>
                      <w:rFonts w:hint="eastAsia" w:ascii="宋体" w:hAnsi="宋体" w:eastAsia="宋体" w:cs="宋体"/>
                      <w:b w:val="0"/>
                      <w:kern w:val="0"/>
                      <w:sz w:val="24"/>
                      <w:szCs w:val="24"/>
                      <w:highlight w:val="yellow"/>
                      <w:vertAlign w:val="baseline"/>
                      <w:lang w:val="en-US" w:eastAsia="zh-CN"/>
                    </w:rPr>
                  </w:pPr>
                  <w:r>
                    <w:rPr>
                      <w:rFonts w:hint="eastAsia" w:ascii="宋体" w:hAnsi="宋体" w:cs="宋体"/>
                      <w:b w:val="0"/>
                      <w:kern w:val="0"/>
                      <w:sz w:val="24"/>
                      <w:szCs w:val="24"/>
                      <w:highlight w:val="none"/>
                      <w:vertAlign w:val="baseline"/>
                      <w:lang w:val="en-US" w:eastAsia="zh-CN"/>
                    </w:rPr>
                    <w:t>1.5</w:t>
                  </w:r>
                </w:p>
              </w:tc>
              <w:tc>
                <w:tcPr>
                  <w:tcW w:w="1537" w:type="dxa"/>
                  <w:noWrap w:val="0"/>
                  <w:vAlign w:val="top"/>
                </w:tcPr>
                <w:p>
                  <w:pPr>
                    <w:widowControl/>
                    <w:numPr>
                      <w:ilvl w:val="0"/>
                      <w:numId w:val="0"/>
                    </w:numPr>
                    <w:spacing w:line="440" w:lineRule="exact"/>
                    <w:jc w:val="left"/>
                    <w:rPr>
                      <w:rFonts w:hint="eastAsia" w:ascii="宋体" w:hAnsi="宋体" w:eastAsia="宋体" w:cs="宋体"/>
                      <w:b w:val="0"/>
                      <w:kern w:val="0"/>
                      <w:sz w:val="24"/>
                      <w:szCs w:val="24"/>
                      <w:vertAlign w:val="baseline"/>
                    </w:rPr>
                  </w:pPr>
                </w:p>
              </w:tc>
            </w:tr>
          </w:tbl>
          <w:p>
            <w:pPr>
              <w:widowControl/>
              <w:spacing w:line="440" w:lineRule="exact"/>
              <w:jc w:val="left"/>
              <w:rPr>
                <w:rFonts w:hint="eastAsia" w:ascii="宋体" w:eastAsia="宋体" w:cs="宋体"/>
                <w:bCs/>
                <w:sz w:val="24"/>
                <w:szCs w:val="24"/>
                <w:lang w:val="en-US" w:eastAsia="zh-CN"/>
              </w:rPr>
            </w:pPr>
            <w:r>
              <w:rPr>
                <w:rFonts w:hint="eastAsia" w:ascii="宋体" w:cs="宋体"/>
                <w:bCs/>
                <w:sz w:val="24"/>
                <w:szCs w:val="24"/>
                <w:lang w:val="en-US" w:eastAsia="zh-CN"/>
              </w:rPr>
              <w:t>注：供应商报价时</w:t>
            </w:r>
            <w:r>
              <w:rPr>
                <w:rFonts w:hint="eastAsia" w:ascii="宋体" w:hAnsi="宋体" w:eastAsia="宋体" w:cs="宋体"/>
                <w:kern w:val="2"/>
                <w:sz w:val="24"/>
                <w:szCs w:val="24"/>
                <w:highlight w:val="none"/>
                <w:lang w:val="en-US" w:eastAsia="zh-CN" w:bidi="ar-SA"/>
              </w:rPr>
              <w:t>每月合计金额、*12月</w:t>
            </w:r>
            <w:r>
              <w:rPr>
                <w:rFonts w:hint="eastAsia" w:ascii="宋体" w:hAnsi="宋体" w:cs="宋体"/>
                <w:kern w:val="2"/>
                <w:sz w:val="24"/>
                <w:szCs w:val="24"/>
                <w:highlight w:val="none"/>
                <w:lang w:val="en-US" w:eastAsia="zh-CN" w:bidi="ar-SA"/>
              </w:rPr>
              <w:t>总</w:t>
            </w:r>
            <w:r>
              <w:rPr>
                <w:rFonts w:hint="eastAsia" w:ascii="宋体" w:hAnsi="宋体" w:eastAsia="宋体" w:cs="宋体"/>
                <w:kern w:val="2"/>
                <w:sz w:val="24"/>
                <w:szCs w:val="24"/>
                <w:highlight w:val="none"/>
                <w:lang w:val="en-US" w:eastAsia="zh-CN" w:bidi="ar-SA"/>
              </w:rPr>
              <w:t>金额均四舍五入保留至小数点后两位</w:t>
            </w:r>
            <w:r>
              <w:rPr>
                <w:rFonts w:hint="eastAsia" w:ascii="宋体" w:hAnsi="宋体" w:cs="宋体"/>
                <w:kern w:val="2"/>
                <w:sz w:val="24"/>
                <w:szCs w:val="24"/>
                <w:highlight w:val="none"/>
                <w:lang w:val="en-US" w:eastAsia="zh-CN" w:bidi="ar-SA"/>
              </w:rPr>
              <w:t>。</w:t>
            </w:r>
          </w:p>
        </w:tc>
      </w:tr>
    </w:tbl>
    <w:p>
      <w:pPr>
        <w:pStyle w:val="100"/>
        <w:keepNext w:val="0"/>
        <w:keepLines w:val="0"/>
        <w:pageBreakBefore w:val="0"/>
        <w:widowControl w:val="0"/>
        <w:kinsoku/>
        <w:wordWrap/>
        <w:overflowPunct/>
        <w:topLinePunct w:val="0"/>
        <w:autoSpaceDE/>
        <w:autoSpaceDN/>
        <w:bidi w:val="0"/>
        <w:adjustRightInd/>
        <w:snapToGrid/>
        <w:spacing w:line="440" w:lineRule="exact"/>
        <w:ind w:right="-10"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技术部分中的技术标（物业管理服务实施方案）分汇总方法：对某一供应商的技术标的每一个指标项得分，取各位评委评分之平均值，四舍五入保留至小数点后两位数，得到该供应商该指标项的得分。再将供应商每个技术标的指标项得分进行汇总，得到该供应商的技术标分之和。</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right="-11" w:firstLine="480" w:firstLineChars="200"/>
        <w:textAlignment w:val="auto"/>
        <w:rPr>
          <w:rFonts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得分汇总</w:t>
      </w:r>
    </w:p>
    <w:p>
      <w:pPr>
        <w:pStyle w:val="12"/>
        <w:keepNext w:val="0"/>
        <w:keepLines w:val="0"/>
        <w:pageBreakBefore w:val="0"/>
        <w:widowControl w:val="0"/>
        <w:kinsoku/>
        <w:wordWrap/>
        <w:overflowPunct/>
        <w:topLinePunct w:val="0"/>
        <w:autoSpaceDE/>
        <w:autoSpaceDN/>
        <w:bidi w:val="0"/>
        <w:adjustRightInd/>
        <w:snapToGrid/>
        <w:spacing w:line="440" w:lineRule="exact"/>
        <w:ind w:right="-11"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将每个有效磋商供应商的技术</w:t>
      </w:r>
      <w:r>
        <w:rPr>
          <w:rFonts w:hint="eastAsia" w:ascii="宋体" w:hAnsi="宋体" w:eastAsia="宋体" w:cs="宋体"/>
          <w:sz w:val="24"/>
          <w:szCs w:val="24"/>
          <w:lang w:eastAsia="zh-CN"/>
        </w:rPr>
        <w:t>部分得</w:t>
      </w:r>
      <w:r>
        <w:rPr>
          <w:rFonts w:hint="eastAsia" w:ascii="宋体" w:hAnsi="宋体" w:eastAsia="宋体" w:cs="宋体"/>
          <w:sz w:val="24"/>
          <w:szCs w:val="24"/>
        </w:rPr>
        <w:t>分之和加上根据上述标准计算出的价格分，即为该磋商供应商的综合总得分。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rPr>
      </w:pPr>
      <w:r>
        <w:rPr>
          <w:rFonts w:hint="eastAsia" w:ascii="宋体" w:hAnsi="宋体" w:cs="宋体"/>
          <w:sz w:val="24"/>
          <w:szCs w:val="24"/>
          <w:lang w:val="en-US" w:eastAsia="zh-CN"/>
        </w:rPr>
        <w:t>2、</w:t>
      </w:r>
      <w:r>
        <w:rPr>
          <w:rFonts w:hint="eastAsia" w:ascii="宋体" w:hAnsi="宋体" w:cs="宋体"/>
          <w:sz w:val="24"/>
          <w:szCs w:val="24"/>
        </w:rPr>
        <w:t>按照有效磋商供应商综合总得分由高到低依次排出成交供应商及成交候选供应商。</w:t>
      </w:r>
      <w:bookmarkStart w:id="127" w:name="_Toc31228"/>
      <w:r>
        <w:rPr>
          <w:rFonts w:hint="eastAsia" w:ascii="宋体" w:hAnsi="宋体" w:cs="宋体"/>
          <w:sz w:val="24"/>
          <w:szCs w:val="24"/>
        </w:rPr>
        <w:t xml:space="preserve"> </w:t>
      </w:r>
      <w:bookmarkEnd w:id="127"/>
      <w:r>
        <w:rPr>
          <w:rFonts w:hint="eastAsia" w:ascii="宋体" w:hAnsi="宋体" w:eastAsia="宋体" w:cs="宋体"/>
          <w:kern w:val="10"/>
          <w:sz w:val="24"/>
          <w:szCs w:val="24"/>
        </w:rPr>
        <w:t>当投标人的总得分相同时，以技术</w:t>
      </w:r>
      <w:r>
        <w:rPr>
          <w:rFonts w:hint="eastAsia" w:ascii="宋体" w:hAnsi="宋体" w:eastAsia="宋体" w:cs="宋体"/>
          <w:kern w:val="10"/>
          <w:sz w:val="24"/>
          <w:szCs w:val="24"/>
          <w:lang w:eastAsia="zh-CN"/>
        </w:rPr>
        <w:t>标即</w:t>
      </w:r>
      <w:r>
        <w:rPr>
          <w:rFonts w:hint="eastAsia" w:ascii="宋体" w:hAnsi="宋体" w:eastAsia="宋体" w:cs="宋体"/>
          <w:kern w:val="10"/>
          <w:sz w:val="24"/>
          <w:szCs w:val="24"/>
        </w:rPr>
        <w:t>物业管理服</w:t>
      </w:r>
      <w:r>
        <w:rPr>
          <w:rFonts w:hint="eastAsia" w:ascii="宋体" w:hAnsi="宋体" w:eastAsia="宋体"/>
          <w:sz w:val="22"/>
          <w:szCs w:val="22"/>
        </w:rPr>
        <w:t>务实施方案</w:t>
      </w:r>
      <w:r>
        <w:rPr>
          <w:rFonts w:hint="eastAsia" w:ascii="宋体" w:hAnsi="宋体" w:eastAsia="宋体" w:cs="宋体"/>
          <w:kern w:val="10"/>
          <w:sz w:val="24"/>
          <w:szCs w:val="24"/>
        </w:rPr>
        <w:t>总得分高低进行</w:t>
      </w:r>
      <w:r>
        <w:rPr>
          <w:rFonts w:hint="eastAsia" w:ascii="宋体" w:hAnsi="宋体" w:eastAsia="宋体" w:cs="宋体"/>
          <w:color w:val="auto"/>
          <w:kern w:val="10"/>
          <w:sz w:val="24"/>
          <w:szCs w:val="24"/>
        </w:rPr>
        <w:t>排序；技术</w:t>
      </w:r>
      <w:r>
        <w:rPr>
          <w:rFonts w:hint="eastAsia" w:ascii="宋体" w:hAnsi="宋体" w:cs="宋体"/>
          <w:color w:val="auto"/>
          <w:kern w:val="10"/>
          <w:sz w:val="24"/>
          <w:szCs w:val="24"/>
          <w:lang w:eastAsia="zh-CN"/>
        </w:rPr>
        <w:t>标</w:t>
      </w:r>
      <w:r>
        <w:rPr>
          <w:rFonts w:hint="eastAsia" w:ascii="宋体" w:hAnsi="宋体" w:eastAsia="宋体" w:cs="宋体"/>
          <w:color w:val="auto"/>
          <w:kern w:val="10"/>
          <w:sz w:val="24"/>
          <w:szCs w:val="24"/>
        </w:rPr>
        <w:t>总得分也相同时，则现场抽签决定。</w:t>
      </w:r>
    </w:p>
    <w:p>
      <w:pPr>
        <w:pStyle w:val="3"/>
        <w:spacing w:before="156" w:beforeLines="50" w:after="156" w:afterLines="50" w:line="560" w:lineRule="exact"/>
        <w:jc w:val="center"/>
        <w:rPr>
          <w:rFonts w:ascii="宋体" w:hAnsi="宋体" w:eastAsia="宋体" w:cs="宋体"/>
          <w:sz w:val="28"/>
          <w:szCs w:val="28"/>
        </w:rPr>
      </w:pPr>
      <w:bookmarkStart w:id="128" w:name="_Toc14458"/>
      <w:bookmarkStart w:id="129" w:name="_Toc5553"/>
      <w:r>
        <w:rPr>
          <w:rFonts w:hint="eastAsia" w:ascii="宋体" w:hAnsi="宋体" w:eastAsia="宋体" w:cs="宋体"/>
          <w:sz w:val="28"/>
          <w:szCs w:val="28"/>
        </w:rPr>
        <w:br w:type="page"/>
      </w:r>
      <w:bookmarkStart w:id="130" w:name="_Toc8088"/>
      <w:r>
        <w:rPr>
          <w:rFonts w:hint="eastAsia" w:ascii="宋体" w:hAnsi="宋体" w:eastAsia="宋体" w:cs="宋体"/>
          <w:sz w:val="28"/>
          <w:szCs w:val="28"/>
        </w:rPr>
        <w:t>五、响应文件格式</w:t>
      </w:r>
      <w:bookmarkEnd w:id="128"/>
      <w:bookmarkEnd w:id="129"/>
      <w:bookmarkEnd w:id="130"/>
    </w:p>
    <w:p>
      <w:pPr>
        <w:spacing w:line="500" w:lineRule="exact"/>
        <w:jc w:val="center"/>
        <w:rPr>
          <w:rFonts w:ascii="宋体" w:hAnsi="宋体" w:cs="宋体"/>
          <w:b/>
          <w:sz w:val="32"/>
        </w:rPr>
      </w:pPr>
    </w:p>
    <w:p>
      <w:pPr>
        <w:spacing w:line="500" w:lineRule="exact"/>
        <w:jc w:val="center"/>
        <w:outlineLvl w:val="0"/>
        <w:rPr>
          <w:rFonts w:ascii="宋体" w:hAnsi="宋体" w:cs="宋体"/>
          <w:b/>
          <w:sz w:val="32"/>
        </w:rPr>
      </w:pPr>
      <w:r>
        <w:rPr>
          <w:rFonts w:hint="eastAsia" w:ascii="宋体" w:hAnsi="宋体" w:cs="宋体"/>
          <w:b/>
          <w:sz w:val="32"/>
          <w:u w:val="single"/>
        </w:rPr>
        <w:t>　　　　　　　　　</w:t>
      </w:r>
      <w:bookmarkStart w:id="131" w:name="_Toc4448"/>
      <w:bookmarkStart w:id="132" w:name="_Toc22685"/>
      <w:r>
        <w:rPr>
          <w:rFonts w:hint="eastAsia" w:ascii="宋体" w:hAnsi="宋体" w:cs="宋体"/>
          <w:b/>
          <w:sz w:val="32"/>
        </w:rPr>
        <w:t>项目</w:t>
      </w:r>
      <w:bookmarkEnd w:id="131"/>
      <w:bookmarkEnd w:id="132"/>
    </w:p>
    <w:p>
      <w:pPr>
        <w:spacing w:line="900" w:lineRule="exact"/>
        <w:rPr>
          <w:rFonts w:ascii="宋体" w:hAnsi="宋体" w:cs="宋体"/>
          <w:b/>
          <w:sz w:val="72"/>
        </w:rPr>
      </w:pPr>
    </w:p>
    <w:p>
      <w:pPr>
        <w:spacing w:line="900" w:lineRule="exact"/>
        <w:jc w:val="center"/>
        <w:rPr>
          <w:rFonts w:ascii="宋体" w:hAnsi="宋体" w:cs="宋体"/>
          <w:b/>
          <w:sz w:val="72"/>
        </w:rPr>
      </w:pPr>
      <w:r>
        <w:rPr>
          <w:rFonts w:hint="eastAsia" w:ascii="宋体" w:hAnsi="宋体" w:cs="宋体"/>
          <w:b/>
          <w:sz w:val="72"/>
        </w:rPr>
        <w:t>响</w:t>
      </w:r>
    </w:p>
    <w:p>
      <w:pPr>
        <w:spacing w:line="900" w:lineRule="exact"/>
        <w:jc w:val="center"/>
        <w:rPr>
          <w:rFonts w:ascii="宋体" w:hAnsi="宋体" w:cs="宋体"/>
          <w:b/>
          <w:sz w:val="72"/>
        </w:rPr>
      </w:pPr>
    </w:p>
    <w:p>
      <w:pPr>
        <w:spacing w:line="900" w:lineRule="exact"/>
        <w:jc w:val="center"/>
        <w:rPr>
          <w:rFonts w:ascii="宋体" w:hAnsi="宋体" w:cs="宋体"/>
          <w:b/>
          <w:sz w:val="72"/>
        </w:rPr>
      </w:pPr>
      <w:r>
        <w:rPr>
          <w:rFonts w:hint="eastAsia" w:ascii="宋体" w:hAnsi="宋体" w:cs="宋体"/>
          <w:b/>
          <w:sz w:val="72"/>
        </w:rPr>
        <w:t>应</w:t>
      </w:r>
    </w:p>
    <w:p>
      <w:pPr>
        <w:spacing w:line="900" w:lineRule="exact"/>
        <w:jc w:val="center"/>
        <w:rPr>
          <w:rFonts w:ascii="宋体" w:hAnsi="宋体" w:cs="宋体"/>
          <w:b/>
          <w:sz w:val="72"/>
        </w:rPr>
      </w:pPr>
    </w:p>
    <w:p>
      <w:pPr>
        <w:spacing w:line="900" w:lineRule="exact"/>
        <w:jc w:val="center"/>
        <w:rPr>
          <w:rFonts w:ascii="宋体" w:hAnsi="宋体" w:cs="宋体"/>
          <w:b/>
          <w:sz w:val="72"/>
        </w:rPr>
      </w:pPr>
      <w:r>
        <w:rPr>
          <w:rFonts w:hint="eastAsia" w:ascii="宋体" w:hAnsi="宋体" w:cs="宋体"/>
          <w:b/>
          <w:sz w:val="72"/>
        </w:rPr>
        <w:t>文</w:t>
      </w:r>
    </w:p>
    <w:p>
      <w:pPr>
        <w:spacing w:line="900" w:lineRule="exact"/>
        <w:jc w:val="center"/>
        <w:rPr>
          <w:rFonts w:ascii="宋体" w:hAnsi="宋体" w:cs="宋体"/>
          <w:b/>
          <w:sz w:val="72"/>
        </w:rPr>
      </w:pPr>
    </w:p>
    <w:p>
      <w:pPr>
        <w:jc w:val="center"/>
        <w:rPr>
          <w:rFonts w:ascii="宋体" w:hAnsi="宋体" w:cs="宋体"/>
          <w:b/>
          <w:sz w:val="72"/>
        </w:rPr>
      </w:pPr>
      <w:r>
        <w:rPr>
          <w:rFonts w:hint="eastAsia" w:ascii="宋体" w:hAnsi="宋体" w:cs="宋体"/>
          <w:b/>
          <w:sz w:val="72"/>
        </w:rPr>
        <w:t>件</w:t>
      </w:r>
    </w:p>
    <w:p>
      <w:pPr>
        <w:spacing w:after="156" w:afterLines="50"/>
        <w:jc w:val="center"/>
        <w:rPr>
          <w:rFonts w:ascii="宋体" w:hAnsi="宋体" w:cs="宋体"/>
          <w:b/>
          <w:sz w:val="72"/>
        </w:rPr>
      </w:pPr>
    </w:p>
    <w:p>
      <w:pPr>
        <w:spacing w:after="156" w:afterLines="50" w:line="500" w:lineRule="exact"/>
        <w:jc w:val="center"/>
        <w:rPr>
          <w:rFonts w:ascii="宋体" w:hAnsi="宋体" w:cs="宋体"/>
          <w:b/>
          <w:sz w:val="30"/>
          <w:szCs w:val="30"/>
        </w:rPr>
      </w:pPr>
      <w:r>
        <w:rPr>
          <w:rFonts w:hint="eastAsia" w:ascii="宋体" w:hAnsi="宋体" w:cs="宋体"/>
          <w:b/>
          <w:sz w:val="30"/>
          <w:szCs w:val="30"/>
        </w:rPr>
        <w:t>第</w:t>
      </w:r>
      <w:r>
        <w:rPr>
          <w:rFonts w:hint="eastAsia" w:ascii="宋体" w:hAnsi="宋体" w:cs="宋体"/>
          <w:b/>
          <w:sz w:val="30"/>
          <w:szCs w:val="30"/>
          <w:u w:val="single"/>
        </w:rPr>
        <w:t xml:space="preserve">   </w:t>
      </w:r>
      <w:r>
        <w:rPr>
          <w:rFonts w:hint="eastAsia" w:ascii="宋体" w:hAnsi="宋体" w:cs="宋体"/>
          <w:b/>
          <w:sz w:val="30"/>
          <w:szCs w:val="30"/>
        </w:rPr>
        <w:t>包</w:t>
      </w:r>
    </w:p>
    <w:p>
      <w:pPr>
        <w:spacing w:after="156" w:afterLines="50" w:line="500" w:lineRule="exact"/>
        <w:jc w:val="center"/>
        <w:rPr>
          <w:rFonts w:ascii="宋体" w:hAnsi="宋体" w:cs="宋体"/>
          <w:b/>
          <w:sz w:val="72"/>
        </w:rPr>
      </w:pPr>
    </w:p>
    <w:p>
      <w:pPr>
        <w:spacing w:after="156" w:afterLines="50" w:line="500" w:lineRule="exact"/>
        <w:ind w:firstLine="2088" w:firstLineChars="650"/>
        <w:rPr>
          <w:rFonts w:ascii="宋体" w:hAnsi="宋体" w:cs="宋体"/>
          <w:b/>
          <w:sz w:val="32"/>
          <w:u w:val="single"/>
        </w:rPr>
      </w:pPr>
      <w:r>
        <w:rPr>
          <w:rFonts w:hint="eastAsia" w:ascii="宋体" w:hAnsi="宋体" w:cs="宋体"/>
          <w:b/>
          <w:sz w:val="32"/>
        </w:rPr>
        <w:t>供应商：</w:t>
      </w:r>
    </w:p>
    <w:p>
      <w:pPr>
        <w:spacing w:after="156" w:afterLines="50" w:line="500" w:lineRule="exact"/>
        <w:ind w:firstLine="2088" w:firstLineChars="650"/>
        <w:outlineLvl w:val="0"/>
        <w:rPr>
          <w:rFonts w:ascii="宋体" w:hAnsi="宋体" w:cs="宋体"/>
          <w:sz w:val="24"/>
          <w:szCs w:val="28"/>
        </w:rPr>
      </w:pPr>
      <w:bookmarkStart w:id="133" w:name="_Toc5792"/>
      <w:bookmarkStart w:id="134" w:name="_Toc4670"/>
      <w:r>
        <w:rPr>
          <w:rFonts w:hint="eastAsia" w:ascii="宋体" w:hAnsi="宋体" w:cs="宋体"/>
          <w:b/>
          <w:sz w:val="32"/>
        </w:rPr>
        <w:t>年  月  日</w:t>
      </w:r>
      <w:bookmarkEnd w:id="133"/>
      <w:bookmarkEnd w:id="134"/>
    </w:p>
    <w:p>
      <w:pPr>
        <w:pStyle w:val="3"/>
        <w:spacing w:before="156" w:beforeLines="50" w:after="156" w:afterLines="50" w:line="560" w:lineRule="exact"/>
        <w:jc w:val="center"/>
        <w:rPr>
          <w:rFonts w:ascii="宋体" w:hAnsi="宋体" w:eastAsia="宋体" w:cs="宋体"/>
          <w:sz w:val="24"/>
          <w:szCs w:val="24"/>
        </w:rPr>
      </w:pPr>
      <w:bookmarkStart w:id="135" w:name="_Toc20663"/>
      <w:r>
        <w:rPr>
          <w:rFonts w:hint="eastAsia" w:ascii="宋体" w:hAnsi="宋体" w:eastAsia="宋体" w:cs="宋体"/>
          <w:sz w:val="24"/>
          <w:szCs w:val="24"/>
        </w:rPr>
        <w:br w:type="page"/>
      </w:r>
      <w:bookmarkStart w:id="136" w:name="_Toc2602"/>
      <w:r>
        <w:rPr>
          <w:rFonts w:hint="eastAsia" w:ascii="宋体" w:hAnsi="宋体" w:eastAsia="宋体" w:cs="宋体"/>
          <w:sz w:val="24"/>
          <w:szCs w:val="24"/>
        </w:rPr>
        <w:t>响应文件资料清单</w:t>
      </w:r>
      <w:bookmarkEnd w:id="135"/>
      <w:bookmarkEnd w:id="136"/>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b/>
                <w:sz w:val="24"/>
              </w:rPr>
            </w:pPr>
            <w:r>
              <w:rPr>
                <w:rFonts w:hint="eastAsia" w:ascii="宋体" w:hAnsi="宋体" w:cs="宋体"/>
                <w:b/>
                <w:sz w:val="24"/>
              </w:rPr>
              <w:t>序号</w:t>
            </w:r>
          </w:p>
        </w:tc>
        <w:tc>
          <w:tcPr>
            <w:tcW w:w="6038" w:type="dxa"/>
            <w:vAlign w:val="center"/>
          </w:tcPr>
          <w:p>
            <w:pPr>
              <w:spacing w:line="440" w:lineRule="exact"/>
              <w:jc w:val="center"/>
              <w:rPr>
                <w:rFonts w:ascii="宋体" w:hAnsi="宋体" w:cs="宋体"/>
                <w:b/>
                <w:sz w:val="24"/>
              </w:rPr>
            </w:pPr>
            <w:r>
              <w:rPr>
                <w:rFonts w:hint="eastAsia" w:ascii="宋体" w:hAnsi="宋体" w:cs="宋体"/>
                <w:b/>
                <w:sz w:val="24"/>
              </w:rPr>
              <w:t>资料名称</w:t>
            </w:r>
          </w:p>
        </w:tc>
        <w:tc>
          <w:tcPr>
            <w:tcW w:w="1417" w:type="dxa"/>
            <w:vAlign w:val="center"/>
          </w:tcPr>
          <w:p>
            <w:pPr>
              <w:spacing w:line="440" w:lineRule="exact"/>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一</w:t>
            </w:r>
          </w:p>
        </w:tc>
        <w:tc>
          <w:tcPr>
            <w:tcW w:w="6038" w:type="dxa"/>
            <w:vAlign w:val="center"/>
          </w:tcPr>
          <w:p>
            <w:pPr>
              <w:spacing w:line="440" w:lineRule="exact"/>
              <w:rPr>
                <w:rFonts w:ascii="宋体" w:hAnsi="宋体" w:cs="宋体"/>
                <w:sz w:val="24"/>
              </w:rPr>
            </w:pPr>
            <w:r>
              <w:rPr>
                <w:rFonts w:hint="eastAsia" w:ascii="宋体" w:hAnsi="宋体" w:cs="宋体"/>
                <w:sz w:val="24"/>
                <w:szCs w:val="24"/>
              </w:rPr>
              <w:t>报价单</w:t>
            </w:r>
          </w:p>
        </w:tc>
        <w:tc>
          <w:tcPr>
            <w:tcW w:w="1417"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二</w:t>
            </w:r>
          </w:p>
        </w:tc>
        <w:tc>
          <w:tcPr>
            <w:tcW w:w="6038" w:type="dxa"/>
            <w:vAlign w:val="center"/>
          </w:tcPr>
          <w:p>
            <w:pPr>
              <w:spacing w:line="440" w:lineRule="exact"/>
              <w:rPr>
                <w:rFonts w:ascii="宋体" w:hAnsi="宋体" w:cs="宋体"/>
                <w:sz w:val="24"/>
              </w:rPr>
            </w:pPr>
            <w:r>
              <w:rPr>
                <w:rFonts w:hint="eastAsia" w:ascii="宋体" w:hAnsi="宋体" w:cs="宋体"/>
                <w:sz w:val="24"/>
              </w:rPr>
              <w:t>供应商基本信息</w:t>
            </w:r>
          </w:p>
        </w:tc>
        <w:tc>
          <w:tcPr>
            <w:tcW w:w="1417"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三</w:t>
            </w:r>
          </w:p>
        </w:tc>
        <w:tc>
          <w:tcPr>
            <w:tcW w:w="6038" w:type="dxa"/>
            <w:vAlign w:val="center"/>
          </w:tcPr>
          <w:p>
            <w:pPr>
              <w:pStyle w:val="62"/>
              <w:spacing w:line="440" w:lineRule="exact"/>
              <w:rPr>
                <w:rFonts w:ascii="宋体" w:hAnsi="宋体" w:cs="宋体"/>
              </w:rPr>
            </w:pPr>
            <w:r>
              <w:rPr>
                <w:rFonts w:hint="eastAsia" w:ascii="宋体" w:hAnsi="宋体" w:cs="宋体"/>
                <w:szCs w:val="24"/>
              </w:rPr>
              <w:t>磋商授权书</w:t>
            </w:r>
          </w:p>
        </w:tc>
        <w:tc>
          <w:tcPr>
            <w:tcW w:w="1417"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四</w:t>
            </w:r>
          </w:p>
        </w:tc>
        <w:tc>
          <w:tcPr>
            <w:tcW w:w="6038" w:type="dxa"/>
            <w:vAlign w:val="center"/>
          </w:tcPr>
          <w:p>
            <w:pPr>
              <w:pStyle w:val="62"/>
              <w:spacing w:line="440" w:lineRule="exact"/>
              <w:rPr>
                <w:rFonts w:hint="eastAsia" w:ascii="宋体" w:hAnsi="宋体" w:eastAsia="宋体" w:cs="宋体"/>
                <w:lang w:eastAsia="zh-CN"/>
              </w:rPr>
            </w:pPr>
            <w:r>
              <w:rPr>
                <w:rFonts w:hint="eastAsia" w:ascii="宋体" w:hAnsi="宋体" w:cs="宋体"/>
                <w:lang w:eastAsia="zh-CN"/>
              </w:rPr>
              <w:t>保证金进账单</w:t>
            </w:r>
          </w:p>
        </w:tc>
        <w:tc>
          <w:tcPr>
            <w:tcW w:w="1417"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五</w:t>
            </w:r>
          </w:p>
        </w:tc>
        <w:tc>
          <w:tcPr>
            <w:tcW w:w="6038" w:type="dxa"/>
            <w:vAlign w:val="center"/>
          </w:tcPr>
          <w:p>
            <w:pPr>
              <w:spacing w:line="440" w:lineRule="exact"/>
              <w:rPr>
                <w:rFonts w:ascii="宋体" w:hAnsi="宋体" w:cs="宋体"/>
                <w:sz w:val="24"/>
              </w:rPr>
            </w:pPr>
            <w:r>
              <w:rPr>
                <w:rFonts w:hint="eastAsia" w:ascii="宋体" w:hAnsi="宋体" w:eastAsia="宋体" w:cs="Times New Roman"/>
                <w:b w:val="0"/>
                <w:bCs w:val="0"/>
                <w:sz w:val="24"/>
                <w:szCs w:val="24"/>
              </w:rPr>
              <w:t>技术相关</w:t>
            </w:r>
            <w:r>
              <w:rPr>
                <w:rFonts w:hint="eastAsia" w:ascii="宋体" w:hAnsi="宋体" w:cs="Times New Roman"/>
                <w:b w:val="0"/>
                <w:bCs w:val="0"/>
                <w:sz w:val="24"/>
                <w:szCs w:val="24"/>
                <w:lang w:eastAsia="zh-CN"/>
              </w:rPr>
              <w:t>材</w:t>
            </w:r>
            <w:r>
              <w:rPr>
                <w:rFonts w:hint="eastAsia" w:ascii="宋体" w:hAnsi="宋体" w:eastAsia="宋体" w:cs="Times New Roman"/>
                <w:b w:val="0"/>
                <w:bCs w:val="0"/>
                <w:sz w:val="24"/>
                <w:szCs w:val="24"/>
              </w:rPr>
              <w:t>料</w:t>
            </w:r>
          </w:p>
        </w:tc>
        <w:tc>
          <w:tcPr>
            <w:tcW w:w="1417"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六</w:t>
            </w:r>
          </w:p>
        </w:tc>
        <w:tc>
          <w:tcPr>
            <w:tcW w:w="6038" w:type="dxa"/>
            <w:vAlign w:val="center"/>
          </w:tcPr>
          <w:p>
            <w:pPr>
              <w:pStyle w:val="62"/>
              <w:spacing w:line="440" w:lineRule="exact"/>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项目服务人员配置</w:t>
            </w: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七</w:t>
            </w:r>
          </w:p>
        </w:tc>
        <w:tc>
          <w:tcPr>
            <w:tcW w:w="6038" w:type="dxa"/>
            <w:vAlign w:val="center"/>
          </w:tcPr>
          <w:p>
            <w:pPr>
              <w:spacing w:line="440" w:lineRule="exact"/>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磋商响应函</w:t>
            </w: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八</w:t>
            </w:r>
          </w:p>
        </w:tc>
        <w:tc>
          <w:tcPr>
            <w:tcW w:w="6038" w:type="dxa"/>
            <w:vAlign w:val="center"/>
          </w:tcPr>
          <w:p>
            <w:pPr>
              <w:spacing w:line="440" w:lineRule="exact"/>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无重大违法记录声明函、无不良信用记录承诺函</w:t>
            </w: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九</w:t>
            </w:r>
          </w:p>
        </w:tc>
        <w:tc>
          <w:tcPr>
            <w:tcW w:w="6038" w:type="dxa"/>
            <w:vAlign w:val="center"/>
          </w:tcPr>
          <w:p>
            <w:pPr>
              <w:spacing w:line="440" w:lineRule="exact"/>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响应情况表</w:t>
            </w: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十</w:t>
            </w:r>
          </w:p>
        </w:tc>
        <w:tc>
          <w:tcPr>
            <w:tcW w:w="6038" w:type="dxa"/>
            <w:vAlign w:val="center"/>
          </w:tcPr>
          <w:p>
            <w:pPr>
              <w:spacing w:line="440" w:lineRule="exact"/>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相关服务承诺函</w:t>
            </w: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50" w:type="dxa"/>
            <w:vAlign w:val="center"/>
          </w:tcPr>
          <w:p>
            <w:pPr>
              <w:spacing w:line="440" w:lineRule="exact"/>
              <w:ind w:firstLine="240" w:firstLineChars="100"/>
              <w:jc w:val="both"/>
              <w:rPr>
                <w:rFonts w:hint="eastAsia" w:ascii="宋体" w:hAnsi="宋体" w:eastAsia="宋体" w:cs="宋体"/>
                <w:sz w:val="24"/>
                <w:lang w:eastAsia="zh-CN"/>
              </w:rPr>
            </w:pPr>
            <w:r>
              <w:rPr>
                <w:rFonts w:hint="eastAsia" w:ascii="宋体" w:hAnsi="宋体" w:cs="宋体"/>
                <w:sz w:val="24"/>
                <w:lang w:eastAsia="zh-CN"/>
              </w:rPr>
              <w:t>十一</w:t>
            </w:r>
          </w:p>
        </w:tc>
        <w:tc>
          <w:tcPr>
            <w:tcW w:w="6038" w:type="dxa"/>
            <w:vAlign w:val="center"/>
          </w:tcPr>
          <w:p>
            <w:pPr>
              <w:spacing w:line="440" w:lineRule="exact"/>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磋商文件要求和供应商认为需要提供的其它说明和资料</w:t>
            </w: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pPr>
              <w:spacing w:line="440" w:lineRule="exact"/>
              <w:jc w:val="center"/>
              <w:rPr>
                <w:rFonts w:ascii="宋体" w:hAnsi="宋体" w:cs="宋体"/>
                <w:sz w:val="24"/>
              </w:rPr>
            </w:pPr>
          </w:p>
        </w:tc>
        <w:tc>
          <w:tcPr>
            <w:tcW w:w="6038" w:type="dxa"/>
            <w:vAlign w:val="center"/>
          </w:tcPr>
          <w:p>
            <w:pPr>
              <w:spacing w:line="440" w:lineRule="exact"/>
              <w:rPr>
                <w:rFonts w:ascii="宋体" w:hAnsi="宋体" w:eastAsia="宋体" w:cs="宋体"/>
                <w:kern w:val="2"/>
                <w:sz w:val="24"/>
                <w:lang w:val="en-US" w:eastAsia="zh-CN" w:bidi="ar-SA"/>
              </w:rPr>
            </w:pP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pPr>
              <w:spacing w:line="440" w:lineRule="exact"/>
              <w:jc w:val="center"/>
              <w:rPr>
                <w:rFonts w:ascii="宋体" w:hAnsi="宋体" w:cs="宋体"/>
                <w:sz w:val="24"/>
              </w:rPr>
            </w:pPr>
          </w:p>
        </w:tc>
        <w:tc>
          <w:tcPr>
            <w:tcW w:w="6038" w:type="dxa"/>
            <w:vAlign w:val="center"/>
          </w:tcPr>
          <w:p>
            <w:pPr>
              <w:spacing w:line="440" w:lineRule="exact"/>
              <w:rPr>
                <w:rFonts w:ascii="宋体" w:hAnsi="宋体" w:eastAsia="宋体" w:cs="宋体"/>
                <w:kern w:val="2"/>
                <w:sz w:val="24"/>
                <w:lang w:val="en-US" w:eastAsia="zh-CN" w:bidi="ar-SA"/>
              </w:rPr>
            </w:pP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50" w:type="dxa"/>
            <w:vAlign w:val="center"/>
          </w:tcPr>
          <w:p>
            <w:pPr>
              <w:spacing w:line="440" w:lineRule="exact"/>
              <w:jc w:val="center"/>
              <w:rPr>
                <w:rFonts w:ascii="宋体" w:hAnsi="宋体" w:cs="宋体"/>
                <w:sz w:val="24"/>
              </w:rPr>
            </w:pPr>
          </w:p>
        </w:tc>
        <w:tc>
          <w:tcPr>
            <w:tcW w:w="6038" w:type="dxa"/>
            <w:vAlign w:val="center"/>
          </w:tcPr>
          <w:p>
            <w:pPr>
              <w:spacing w:line="440" w:lineRule="exact"/>
              <w:rPr>
                <w:rFonts w:ascii="宋体" w:hAnsi="宋体" w:cs="宋体"/>
                <w:sz w:val="24"/>
              </w:rPr>
            </w:pPr>
          </w:p>
        </w:tc>
        <w:tc>
          <w:tcPr>
            <w:tcW w:w="1417" w:type="dxa"/>
            <w:vAlign w:val="center"/>
          </w:tcPr>
          <w:p>
            <w:pPr>
              <w:spacing w:line="440" w:lineRule="exact"/>
              <w:rPr>
                <w:rFonts w:ascii="宋体" w:hAnsi="宋体" w:cs="宋体"/>
                <w:b/>
                <w:sz w:val="24"/>
              </w:rPr>
            </w:pPr>
          </w:p>
        </w:tc>
      </w:tr>
    </w:tbl>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pStyle w:val="3"/>
        <w:spacing w:before="0" w:after="0" w:line="560" w:lineRule="exact"/>
        <w:rPr>
          <w:rFonts w:ascii="宋体" w:hAnsi="宋体" w:eastAsia="宋体" w:cs="宋体"/>
          <w:sz w:val="24"/>
          <w:szCs w:val="24"/>
        </w:rPr>
      </w:pPr>
      <w:r>
        <w:rPr>
          <w:rFonts w:hint="eastAsia" w:ascii="宋体" w:hAnsi="宋体" w:eastAsia="宋体" w:cs="宋体"/>
          <w:sz w:val="24"/>
          <w:szCs w:val="24"/>
        </w:rPr>
        <w:br w:type="page"/>
      </w:r>
      <w:bookmarkStart w:id="137" w:name="_Toc8158"/>
      <w:bookmarkStart w:id="138" w:name="_Toc10603"/>
      <w:bookmarkStart w:id="139" w:name="_Toc21309"/>
      <w:r>
        <w:rPr>
          <w:rFonts w:hint="eastAsia" w:ascii="宋体" w:hAnsi="宋体" w:eastAsia="宋体" w:cs="宋体"/>
          <w:sz w:val="24"/>
          <w:szCs w:val="24"/>
        </w:rPr>
        <w:t>附件一</w:t>
      </w:r>
      <w:bookmarkEnd w:id="137"/>
      <w:bookmarkEnd w:id="138"/>
      <w:bookmarkEnd w:id="139"/>
    </w:p>
    <w:p>
      <w:pPr>
        <w:pStyle w:val="3"/>
        <w:spacing w:before="0" w:after="0" w:line="560" w:lineRule="exact"/>
        <w:jc w:val="center"/>
        <w:rPr>
          <w:rFonts w:ascii="宋体" w:hAnsi="宋体" w:eastAsia="宋体" w:cs="宋体"/>
          <w:color w:val="auto"/>
          <w:sz w:val="24"/>
          <w:szCs w:val="24"/>
          <w:highlight w:val="none"/>
        </w:rPr>
      </w:pPr>
      <w:bookmarkStart w:id="140" w:name="_Toc10816"/>
      <w:bookmarkStart w:id="141" w:name="_Toc9181"/>
      <w:bookmarkStart w:id="142" w:name="_Toc5601"/>
      <w:r>
        <w:rPr>
          <w:rFonts w:hint="eastAsia" w:ascii="宋体" w:hAnsi="宋体" w:eastAsia="宋体" w:cs="宋体"/>
          <w:color w:val="auto"/>
          <w:sz w:val="24"/>
          <w:szCs w:val="24"/>
          <w:highlight w:val="none"/>
        </w:rPr>
        <w:t>报价单</w:t>
      </w:r>
      <w:bookmarkEnd w:id="140"/>
      <w:bookmarkEnd w:id="141"/>
      <w:bookmarkEnd w:id="142"/>
    </w:p>
    <w:p>
      <w:pPr>
        <w:rPr>
          <w:rFonts w:ascii="宋体" w:hAnsi="宋体" w:cs="宋体"/>
        </w:rPr>
      </w:pPr>
    </w:p>
    <w:p>
      <w:pPr>
        <w:pStyle w:val="18"/>
        <w:spacing w:line="360" w:lineRule="auto"/>
        <w:rPr>
          <w:rFonts w:ascii="宋体" w:hAnsi="宋体" w:eastAsia="宋体" w:cs="宋体"/>
          <w:b/>
          <w:bCs/>
          <w:sz w:val="24"/>
        </w:rPr>
      </w:pPr>
    </w:p>
    <w:p>
      <w:pPr>
        <w:spacing w:line="0" w:lineRule="atLeast"/>
        <w:ind w:firstLine="235" w:firstLineChars="98"/>
        <w:rPr>
          <w:rFonts w:hint="eastAsia" w:ascii="宋体" w:hAnsi="宋体" w:eastAsia="宋体"/>
          <w:b w:val="0"/>
          <w:sz w:val="24"/>
          <w:szCs w:val="24"/>
        </w:rPr>
      </w:pPr>
      <w:r>
        <w:rPr>
          <w:rFonts w:hint="eastAsia" w:ascii="宋体" w:hAnsi="宋体" w:eastAsia="宋体"/>
          <w:b w:val="0"/>
          <w:sz w:val="24"/>
          <w:szCs w:val="24"/>
        </w:rPr>
        <w:t>项目名称：</w:t>
      </w:r>
    </w:p>
    <w:tbl>
      <w:tblPr>
        <w:tblStyle w:val="36"/>
        <w:tblW w:w="9067" w:type="dxa"/>
        <w:tblInd w:w="2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1246"/>
        <w:gridCol w:w="1637"/>
        <w:gridCol w:w="1734"/>
        <w:gridCol w:w="2150"/>
        <w:gridCol w:w="1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46"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637"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面积</w:t>
            </w:r>
            <w:r>
              <w:rPr>
                <w:rFonts w:hint="eastAsia" w:ascii="宋体" w:hAnsi="宋体" w:eastAsia="宋体" w:cs="宋体"/>
                <w:b/>
                <w:bCs/>
                <w:i w:val="0"/>
                <w:iCs w:val="0"/>
                <w:color w:val="auto"/>
                <w:kern w:val="0"/>
                <w:sz w:val="22"/>
                <w:szCs w:val="22"/>
                <w:u w:val="none"/>
                <w:lang w:val="en-US" w:eastAsia="zh-CN" w:bidi="ar"/>
              </w:rPr>
              <w:t>（</w:t>
            </w:r>
            <w:r>
              <w:rPr>
                <w:rStyle w:val="78"/>
                <w:color w:val="auto"/>
                <w:lang w:val="en-US" w:eastAsia="zh-CN" w:bidi="ar"/>
              </w:rPr>
              <w:t>㎡</w:t>
            </w:r>
            <w:r>
              <w:rPr>
                <w:rFonts w:hint="eastAsia" w:ascii="宋体" w:hAnsi="宋体" w:eastAsia="宋体" w:cs="宋体"/>
                <w:b/>
                <w:bCs/>
                <w:i w:val="0"/>
                <w:iCs w:val="0"/>
                <w:color w:val="auto"/>
                <w:kern w:val="0"/>
                <w:sz w:val="22"/>
                <w:szCs w:val="22"/>
                <w:u w:val="none"/>
                <w:lang w:val="en-US" w:eastAsia="zh-CN" w:bidi="ar"/>
              </w:rPr>
              <w:t>）</w:t>
            </w:r>
          </w:p>
        </w:tc>
        <w:tc>
          <w:tcPr>
            <w:tcW w:w="1734"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综合单价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（元/㎡/月）</w:t>
            </w:r>
          </w:p>
        </w:tc>
        <w:tc>
          <w:tcPr>
            <w:tcW w:w="2150"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（元/月）</w:t>
            </w:r>
          </w:p>
        </w:tc>
        <w:tc>
          <w:tcPr>
            <w:tcW w:w="1550" w:type="dxa"/>
            <w:tcBorders>
              <w:top w:val="single" w:color="000000" w:sz="8" w:space="0"/>
              <w:left w:val="single" w:color="000000" w:sz="4" w:space="0"/>
              <w:bottom w:val="single" w:color="000000" w:sz="4" w:space="0"/>
              <w:right w:val="single" w:color="000000" w:sz="8" w:space="0"/>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综合单价报区间范围（</w:t>
            </w:r>
            <w:r>
              <w:rPr>
                <w:rFonts w:hint="eastAsia" w:ascii="宋体" w:hAnsi="宋体" w:eastAsia="宋体" w:cs="宋体"/>
                <w:b/>
                <w:bCs/>
                <w:i w:val="0"/>
                <w:iCs w:val="0"/>
                <w:color w:val="000000"/>
                <w:kern w:val="0"/>
                <w:sz w:val="22"/>
                <w:szCs w:val="22"/>
                <w:u w:val="none"/>
                <w:lang w:val="en-US" w:eastAsia="zh-CN" w:bidi="ar"/>
              </w:rPr>
              <w:t>元/㎡/月</w:t>
            </w:r>
            <w:r>
              <w:rPr>
                <w:rFonts w:hint="eastAsia" w:ascii="宋体" w:hAnsi="宋体" w:eastAsia="宋体" w:cs="宋体"/>
                <w:b/>
                <w:bCs/>
                <w:i w:val="0"/>
                <w:iCs w:val="0"/>
                <w:color w:val="00000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  层</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110400.54</w:t>
            </w:r>
          </w:p>
        </w:tc>
        <w:tc>
          <w:tcPr>
            <w:tcW w:w="1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p>
        </w:tc>
        <w:tc>
          <w:tcPr>
            <w:tcW w:w="2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550"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12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叠  墅</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12291.7</w:t>
            </w:r>
            <w:r>
              <w:rPr>
                <w:rFonts w:hint="eastAsia" w:ascii="宋体" w:hAnsi="宋体" w:cs="宋体"/>
                <w:i w:val="0"/>
                <w:iCs w:val="0"/>
                <w:color w:val="000000"/>
                <w:kern w:val="0"/>
                <w:sz w:val="24"/>
                <w:szCs w:val="24"/>
                <w:u w:val="none"/>
                <w:lang w:val="en-US" w:eastAsia="zh-CN" w:bidi="ar"/>
              </w:rPr>
              <w:t>0</w:t>
            </w:r>
          </w:p>
        </w:tc>
        <w:tc>
          <w:tcPr>
            <w:tcW w:w="1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p>
        </w:tc>
        <w:tc>
          <w:tcPr>
            <w:tcW w:w="2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1550"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12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别  墅</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13129.42</w:t>
            </w:r>
          </w:p>
        </w:tc>
        <w:tc>
          <w:tcPr>
            <w:tcW w:w="1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p>
        </w:tc>
        <w:tc>
          <w:tcPr>
            <w:tcW w:w="2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550"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12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商  业</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4152.51</w:t>
            </w:r>
          </w:p>
        </w:tc>
        <w:tc>
          <w:tcPr>
            <w:tcW w:w="1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p>
        </w:tc>
        <w:tc>
          <w:tcPr>
            <w:tcW w:w="2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550"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8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以上每月合计</w:t>
            </w:r>
          </w:p>
        </w:tc>
        <w:tc>
          <w:tcPr>
            <w:tcW w:w="38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b w:val="0"/>
                <w:bCs w:val="0"/>
                <w:sz w:val="24"/>
                <w:szCs w:val="24"/>
                <w:lang w:val="en-US" w:eastAsia="zh-CN"/>
              </w:rPr>
              <w:t>_________________</w:t>
            </w:r>
            <w:r>
              <w:rPr>
                <w:rFonts w:hint="eastAsia" w:ascii="宋体" w:hAnsi="宋体"/>
                <w:b w:val="0"/>
                <w:bCs w:val="0"/>
                <w:sz w:val="24"/>
                <w:szCs w:val="24"/>
              </w:rPr>
              <w:t xml:space="preserve"> 元</w:t>
            </w:r>
            <w:r>
              <w:rPr>
                <w:rFonts w:hint="eastAsia" w:ascii="宋体" w:hAnsi="宋体"/>
                <w:b/>
                <w:bCs/>
                <w:sz w:val="24"/>
                <w:szCs w:val="24"/>
                <w:highlight w:val="none"/>
                <w:lang w:eastAsia="zh-CN"/>
              </w:rPr>
              <w:t>（</w:t>
            </w:r>
            <w:r>
              <w:rPr>
                <w:rFonts w:hint="eastAsia" w:ascii="宋体" w:hAnsi="宋体" w:eastAsia="宋体" w:cs="宋体"/>
                <w:kern w:val="2"/>
                <w:sz w:val="24"/>
                <w:szCs w:val="24"/>
                <w:highlight w:val="none"/>
                <w:lang w:val="en-US" w:eastAsia="zh-CN" w:bidi="ar-SA"/>
              </w:rPr>
              <w:t>四舍五入保留至小数点后两位数</w:t>
            </w:r>
            <w:r>
              <w:rPr>
                <w:rFonts w:hint="eastAsia" w:ascii="宋体" w:hAnsi="宋体" w:cs="宋体"/>
                <w:kern w:val="2"/>
                <w:sz w:val="24"/>
                <w:szCs w:val="24"/>
                <w:highlight w:val="none"/>
                <w:lang w:val="en-US" w:eastAsia="zh-CN" w:bidi="ar-SA"/>
              </w:rPr>
              <w:t>）</w:t>
            </w:r>
          </w:p>
        </w:tc>
        <w:tc>
          <w:tcPr>
            <w:tcW w:w="1550"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6767"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sz w:val="24"/>
                <w:szCs w:val="24"/>
              </w:rPr>
              <w:t>*</w:t>
            </w:r>
            <w:r>
              <w:rPr>
                <w:rFonts w:hint="eastAsia" w:ascii="宋体" w:hAnsi="宋体"/>
                <w:b/>
                <w:bCs/>
                <w:sz w:val="24"/>
                <w:szCs w:val="24"/>
              </w:rPr>
              <w:t xml:space="preserve">12月= </w:t>
            </w:r>
            <w:r>
              <w:rPr>
                <w:rFonts w:hint="eastAsia" w:ascii="宋体" w:hAnsi="宋体"/>
                <w:b/>
                <w:bCs/>
                <w:sz w:val="24"/>
                <w:szCs w:val="24"/>
                <w:lang w:val="en-US" w:eastAsia="zh-CN"/>
              </w:rPr>
              <w:t>________________</w:t>
            </w:r>
            <w:r>
              <w:rPr>
                <w:rFonts w:hint="eastAsia" w:ascii="宋体" w:hAnsi="宋体"/>
                <w:b/>
                <w:bCs/>
                <w:sz w:val="24"/>
                <w:szCs w:val="24"/>
                <w:highlight w:val="none"/>
                <w:lang w:val="en-US" w:eastAsia="zh-CN"/>
              </w:rPr>
              <w:t>_</w:t>
            </w:r>
            <w:r>
              <w:rPr>
                <w:rFonts w:hint="eastAsia" w:ascii="宋体" w:hAnsi="宋体"/>
                <w:b/>
                <w:bCs/>
                <w:sz w:val="24"/>
                <w:szCs w:val="24"/>
                <w:highlight w:val="none"/>
              </w:rPr>
              <w:t xml:space="preserve"> 元</w:t>
            </w:r>
            <w:r>
              <w:rPr>
                <w:rFonts w:hint="eastAsia" w:ascii="宋体" w:hAnsi="宋体"/>
                <w:b/>
                <w:bCs/>
                <w:sz w:val="24"/>
                <w:szCs w:val="24"/>
                <w:highlight w:val="none"/>
                <w:lang w:eastAsia="zh-CN"/>
              </w:rPr>
              <w:t>（</w:t>
            </w:r>
            <w:r>
              <w:rPr>
                <w:rFonts w:hint="eastAsia" w:ascii="宋体" w:hAnsi="宋体" w:eastAsia="宋体" w:cs="宋体"/>
                <w:kern w:val="2"/>
                <w:sz w:val="24"/>
                <w:szCs w:val="24"/>
                <w:highlight w:val="none"/>
                <w:lang w:val="en-US" w:eastAsia="zh-CN" w:bidi="ar-SA"/>
              </w:rPr>
              <w:t>四舍五入保留至小数点后两位数</w:t>
            </w:r>
            <w:r>
              <w:rPr>
                <w:rFonts w:hint="eastAsia" w:ascii="宋体" w:hAnsi="宋体" w:cs="宋体"/>
                <w:kern w:val="2"/>
                <w:sz w:val="24"/>
                <w:szCs w:val="24"/>
                <w:highlight w:val="none"/>
                <w:lang w:val="en-US" w:eastAsia="zh-CN" w:bidi="ar-SA"/>
              </w:rPr>
              <w:t>）</w:t>
            </w:r>
          </w:p>
        </w:tc>
        <w:tc>
          <w:tcPr>
            <w:tcW w:w="1550" w:type="dxa"/>
            <w:tcBorders>
              <w:top w:val="single" w:color="000000" w:sz="4" w:space="0"/>
              <w:left w:val="single" w:color="000000" w:sz="4" w:space="0"/>
              <w:bottom w:val="single" w:color="000000" w:sz="4" w:space="0"/>
              <w:right w:val="single" w:color="000000" w:sz="8"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8" w:space="0"/>
              <w:bottom w:val="single" w:color="000000" w:sz="8"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6767" w:type="dxa"/>
            <w:gridSpan w:val="4"/>
            <w:tcBorders>
              <w:top w:val="single" w:color="000000" w:sz="4" w:space="0"/>
              <w:left w:val="single" w:color="000000" w:sz="4" w:space="0"/>
              <w:bottom w:val="single" w:color="000000" w:sz="8"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以上合计每年物业费</w:t>
            </w:r>
            <w:r>
              <w:rPr>
                <w:rFonts w:hint="eastAsia" w:ascii="宋体" w:hAnsi="宋体" w:cs="宋体"/>
                <w:i w:val="0"/>
                <w:iCs w:val="0"/>
                <w:color w:val="000000"/>
                <w:kern w:val="0"/>
                <w:sz w:val="24"/>
                <w:szCs w:val="24"/>
                <w:u w:val="none"/>
                <w:lang w:val="en-US" w:eastAsia="zh-CN" w:bidi="ar"/>
              </w:rPr>
              <w:t>（大写）</w:t>
            </w:r>
            <w:r>
              <w:rPr>
                <w:rFonts w:hint="eastAsia" w:ascii="宋体" w:hAnsi="宋体" w:eastAsia="宋体" w:cs="宋体"/>
                <w:i w:val="0"/>
                <w:iCs w:val="0"/>
                <w:color w:val="000000"/>
                <w:kern w:val="0"/>
                <w:sz w:val="24"/>
                <w:szCs w:val="24"/>
                <w:u w:val="none"/>
                <w:lang w:val="en-US" w:eastAsia="zh-CN" w:bidi="ar"/>
              </w:rPr>
              <w:t xml:space="preserve">： </w:t>
            </w:r>
          </w:p>
        </w:tc>
        <w:tc>
          <w:tcPr>
            <w:tcW w:w="1550" w:type="dxa"/>
            <w:tcBorders>
              <w:top w:val="single" w:color="000000" w:sz="4" w:space="0"/>
              <w:left w:val="single" w:color="000000" w:sz="4" w:space="0"/>
              <w:bottom w:val="single" w:color="000000" w:sz="8" w:space="0"/>
              <w:right w:val="single" w:color="000000" w:sz="8" w:space="0"/>
            </w:tcBorders>
            <w:noWrap/>
            <w:vAlign w:val="center"/>
          </w:tcPr>
          <w:p>
            <w:pPr>
              <w:rPr>
                <w:rFonts w:hint="eastAsia" w:ascii="宋体" w:hAnsi="宋体" w:eastAsia="宋体" w:cs="宋体"/>
                <w:i w:val="0"/>
                <w:iCs w:val="0"/>
                <w:color w:val="000000"/>
                <w:sz w:val="24"/>
                <w:szCs w:val="24"/>
                <w:u w:val="none"/>
              </w:rPr>
            </w:pPr>
          </w:p>
        </w:tc>
      </w:tr>
    </w:tbl>
    <w:p>
      <w:pPr>
        <w:spacing w:line="0" w:lineRule="atLeast"/>
        <w:ind w:firstLine="235" w:firstLineChars="98"/>
        <w:rPr>
          <w:rFonts w:hint="eastAsia" w:ascii="宋体" w:hAnsi="宋体" w:eastAsia="宋体"/>
          <w:b w:val="0"/>
          <w:sz w:val="24"/>
          <w:szCs w:val="24"/>
        </w:rPr>
      </w:pPr>
    </w:p>
    <w:p>
      <w:pPr>
        <w:spacing w:line="0" w:lineRule="atLeast"/>
        <w:ind w:firstLine="241" w:firstLineChars="100"/>
        <w:jc w:val="left"/>
        <w:rPr>
          <w:rFonts w:hint="eastAsia" w:ascii="宋体" w:hAnsi="宋体" w:eastAsia="宋体"/>
          <w:b/>
          <w:bCs/>
          <w:i w:val="0"/>
          <w:iCs w:val="0"/>
          <w:sz w:val="24"/>
          <w:szCs w:val="24"/>
          <w:u w:val="none"/>
          <w:lang w:eastAsia="zh-CN"/>
        </w:rPr>
      </w:pPr>
      <w:r>
        <w:rPr>
          <w:rFonts w:hint="eastAsia" w:ascii="宋体" w:hAnsi="宋体" w:eastAsia="宋体"/>
          <w:b/>
          <w:bCs/>
          <w:i w:val="0"/>
          <w:iCs w:val="0"/>
          <w:sz w:val="24"/>
          <w:szCs w:val="24"/>
          <w:u w:val="none"/>
          <w:lang w:eastAsia="zh-CN"/>
        </w:rPr>
        <w:t>注：综合单价上限值为不高于，下限值为不低于。</w:t>
      </w:r>
    </w:p>
    <w:p>
      <w:pPr>
        <w:spacing w:line="0" w:lineRule="atLeast"/>
        <w:ind w:firstLine="240" w:firstLineChars="100"/>
        <w:jc w:val="left"/>
        <w:rPr>
          <w:rFonts w:hint="eastAsia" w:ascii="宋体" w:hAnsi="宋体" w:eastAsia="宋体"/>
          <w:b w:val="0"/>
          <w:i/>
          <w:iCs/>
          <w:sz w:val="24"/>
          <w:szCs w:val="24"/>
          <w:lang w:eastAsia="zh-CN"/>
        </w:rPr>
      </w:pPr>
    </w:p>
    <w:p>
      <w:pPr>
        <w:spacing w:line="0" w:lineRule="atLeast"/>
        <w:ind w:firstLine="240" w:firstLineChars="100"/>
        <w:jc w:val="left"/>
        <w:rPr>
          <w:rFonts w:hint="eastAsia" w:ascii="宋体" w:hAnsi="宋体" w:eastAsia="宋体"/>
          <w:b w:val="0"/>
          <w:i/>
          <w:iCs/>
          <w:sz w:val="24"/>
          <w:szCs w:val="24"/>
          <w:lang w:eastAsia="zh-CN"/>
        </w:rPr>
      </w:pPr>
    </w:p>
    <w:p>
      <w:pPr>
        <w:spacing w:line="0" w:lineRule="atLeast"/>
        <w:ind w:firstLine="240" w:firstLineChars="100"/>
        <w:jc w:val="left"/>
        <w:rPr>
          <w:rFonts w:hint="eastAsia" w:ascii="宋体" w:hAnsi="宋体" w:eastAsia="宋体"/>
          <w:b w:val="0"/>
          <w:i/>
          <w:iCs/>
          <w:sz w:val="24"/>
          <w:szCs w:val="24"/>
          <w:lang w:eastAsia="zh-CN"/>
        </w:rPr>
      </w:pPr>
    </w:p>
    <w:p>
      <w:pPr>
        <w:spacing w:line="0" w:lineRule="atLeast"/>
        <w:ind w:firstLine="720" w:firstLineChars="300"/>
        <w:jc w:val="right"/>
        <w:rPr>
          <w:rFonts w:hint="eastAsia" w:ascii="宋体" w:hAnsi="宋体" w:eastAsia="宋体" w:cs="Times New Roman"/>
          <w:b w:val="0"/>
          <w:sz w:val="24"/>
          <w:szCs w:val="24"/>
        </w:rPr>
      </w:pPr>
      <w:r>
        <w:rPr>
          <w:rFonts w:hint="eastAsia" w:ascii="宋体" w:hAnsi="宋体" w:cs="Times New Roman"/>
          <w:b w:val="0"/>
          <w:sz w:val="24"/>
          <w:szCs w:val="24"/>
          <w:lang w:eastAsia="zh-CN"/>
        </w:rPr>
        <w:t>供应商</w:t>
      </w:r>
      <w:r>
        <w:rPr>
          <w:rFonts w:hint="eastAsia" w:ascii="宋体" w:hAnsi="宋体" w:eastAsia="宋体" w:cs="Times New Roman"/>
          <w:b w:val="0"/>
          <w:sz w:val="24"/>
          <w:szCs w:val="24"/>
        </w:rPr>
        <w:t xml:space="preserve">： （盖章）                           </w:t>
      </w:r>
    </w:p>
    <w:p>
      <w:pPr>
        <w:spacing w:line="0" w:lineRule="atLeast"/>
        <w:jc w:val="right"/>
        <w:rPr>
          <w:rFonts w:hint="eastAsia" w:ascii="宋体" w:hAnsi="宋体" w:eastAsia="宋体" w:cs="Times New Roman"/>
          <w:b w:val="0"/>
          <w:sz w:val="24"/>
          <w:szCs w:val="24"/>
        </w:rPr>
      </w:pPr>
    </w:p>
    <w:p>
      <w:pPr>
        <w:spacing w:line="0" w:lineRule="atLeast"/>
        <w:jc w:val="right"/>
        <w:rPr>
          <w:rFonts w:hint="eastAsia" w:ascii="宋体" w:hAnsi="宋体" w:eastAsia="宋体" w:cs="Times New Roman"/>
          <w:b w:val="0"/>
          <w:sz w:val="24"/>
          <w:szCs w:val="24"/>
        </w:rPr>
      </w:pPr>
      <w:r>
        <w:rPr>
          <w:rFonts w:hint="eastAsia" w:ascii="宋体" w:hAnsi="宋体" w:eastAsia="宋体" w:cs="Times New Roman"/>
          <w:b w:val="0"/>
          <w:sz w:val="24"/>
          <w:szCs w:val="24"/>
        </w:rPr>
        <w:t xml:space="preserve">     法定代表人</w:t>
      </w:r>
      <w:r>
        <w:rPr>
          <w:rFonts w:hint="eastAsia" w:ascii="宋体" w:hAnsi="宋体" w:cs="Times New Roman"/>
          <w:b w:val="0"/>
          <w:sz w:val="24"/>
          <w:szCs w:val="24"/>
          <w:lang w:eastAsia="zh-CN"/>
        </w:rPr>
        <w:t>或授权代理人</w:t>
      </w:r>
      <w:r>
        <w:rPr>
          <w:rFonts w:hint="eastAsia" w:ascii="宋体" w:hAnsi="宋体" w:eastAsia="宋体" w:cs="Times New Roman"/>
          <w:b w:val="0"/>
          <w:sz w:val="24"/>
          <w:szCs w:val="24"/>
        </w:rPr>
        <w:t xml:space="preserve">： （签字或盖章）             </w:t>
      </w:r>
    </w:p>
    <w:p>
      <w:pPr>
        <w:spacing w:line="0" w:lineRule="atLeast"/>
        <w:jc w:val="right"/>
        <w:rPr>
          <w:rFonts w:hint="eastAsia" w:ascii="宋体" w:hAnsi="宋体" w:eastAsia="宋体" w:cs="Times New Roman"/>
          <w:b w:val="0"/>
          <w:sz w:val="24"/>
          <w:szCs w:val="24"/>
        </w:rPr>
      </w:pPr>
    </w:p>
    <w:p>
      <w:pPr>
        <w:spacing w:line="0" w:lineRule="atLeast"/>
        <w:jc w:val="right"/>
        <w:rPr>
          <w:rFonts w:hint="eastAsia" w:ascii="宋体" w:hAnsi="宋体" w:eastAsia="宋体" w:cs="Times New Roman"/>
          <w:b w:val="0"/>
          <w:sz w:val="24"/>
          <w:szCs w:val="24"/>
        </w:rPr>
      </w:pPr>
      <w:r>
        <w:rPr>
          <w:rFonts w:hint="eastAsia" w:ascii="宋体" w:hAnsi="宋体" w:eastAsia="宋体" w:cs="Times New Roman"/>
          <w:b w:val="0"/>
          <w:sz w:val="24"/>
          <w:szCs w:val="24"/>
        </w:rPr>
        <w:t xml:space="preserve">                          年      月       日</w:t>
      </w:r>
    </w:p>
    <w:p>
      <w:pPr>
        <w:adjustRightInd w:val="0"/>
        <w:snapToGrid w:val="0"/>
        <w:spacing w:line="360" w:lineRule="auto"/>
        <w:rPr>
          <w:rFonts w:ascii="宋体" w:hAnsi="宋体" w:cs="宋体"/>
          <w:b/>
          <w:bCs/>
          <w:sz w:val="24"/>
          <w:szCs w:val="28"/>
        </w:rPr>
      </w:pPr>
    </w:p>
    <w:p>
      <w:pPr>
        <w:adjustRightInd w:val="0"/>
        <w:snapToGrid w:val="0"/>
        <w:spacing w:line="360" w:lineRule="auto"/>
        <w:rPr>
          <w:rFonts w:ascii="宋体" w:hAnsi="宋体" w:cs="宋体"/>
          <w:b/>
          <w:sz w:val="24"/>
          <w:szCs w:val="24"/>
        </w:rPr>
      </w:pPr>
      <w:bookmarkStart w:id="143" w:name="_Toc16998"/>
      <w:bookmarkStart w:id="144" w:name="_Toc2007"/>
    </w:p>
    <w:p>
      <w:pPr>
        <w:pStyle w:val="3"/>
        <w:wordWrap w:val="0"/>
        <w:spacing w:before="0" w:after="0" w:line="520" w:lineRule="exact"/>
        <w:rPr>
          <w:rFonts w:ascii="宋体" w:hAnsi="宋体" w:eastAsia="宋体" w:cs="宋体"/>
          <w:sz w:val="24"/>
          <w:szCs w:val="24"/>
        </w:rPr>
      </w:pPr>
      <w:r>
        <w:rPr>
          <w:rFonts w:hint="eastAsia" w:ascii="宋体" w:hAnsi="宋体" w:eastAsia="宋体" w:cs="宋体"/>
          <w:sz w:val="24"/>
          <w:szCs w:val="24"/>
        </w:rPr>
        <w:br w:type="page"/>
      </w:r>
      <w:bookmarkStart w:id="145" w:name="_Toc22855"/>
      <w:r>
        <w:rPr>
          <w:rFonts w:hint="eastAsia" w:ascii="宋体" w:hAnsi="宋体" w:eastAsia="宋体" w:cs="宋体"/>
          <w:sz w:val="24"/>
          <w:szCs w:val="24"/>
        </w:rPr>
        <w:t>附件二</w:t>
      </w:r>
      <w:bookmarkEnd w:id="143"/>
      <w:bookmarkEnd w:id="144"/>
      <w:bookmarkEnd w:id="145"/>
    </w:p>
    <w:p>
      <w:pPr>
        <w:pStyle w:val="3"/>
        <w:spacing w:before="0" w:after="0" w:line="520" w:lineRule="exact"/>
        <w:jc w:val="center"/>
        <w:rPr>
          <w:rFonts w:ascii="宋体" w:hAnsi="宋体" w:eastAsia="宋体" w:cs="宋体"/>
          <w:sz w:val="24"/>
          <w:szCs w:val="24"/>
        </w:rPr>
      </w:pPr>
      <w:bookmarkStart w:id="146" w:name="_Toc3262"/>
      <w:bookmarkStart w:id="147" w:name="_Toc29464"/>
      <w:bookmarkStart w:id="148" w:name="_Toc17280"/>
      <w:r>
        <w:rPr>
          <w:rFonts w:hint="eastAsia" w:ascii="宋体" w:hAnsi="宋体" w:eastAsia="宋体" w:cs="宋体"/>
          <w:sz w:val="24"/>
          <w:szCs w:val="24"/>
        </w:rPr>
        <w:t>供应商基本信息</w:t>
      </w:r>
      <w:bookmarkEnd w:id="146"/>
      <w:bookmarkEnd w:id="147"/>
      <w:bookmarkEnd w:id="148"/>
    </w:p>
    <w:p>
      <w:pPr>
        <w:jc w:val="center"/>
        <w:rPr>
          <w:rFonts w:ascii="宋体" w:hAnsi="宋体" w:cs="宋体"/>
          <w:b w:val="0"/>
          <w:bCs w:val="0"/>
        </w:rPr>
      </w:pPr>
      <w:r>
        <w:rPr>
          <w:rFonts w:hint="eastAsia" w:ascii="宋体" w:hAnsi="宋体"/>
          <w:b w:val="0"/>
          <w:bCs w:val="0"/>
          <w:sz w:val="24"/>
          <w:szCs w:val="24"/>
        </w:rPr>
        <w:t>（格式自拟）</w:t>
      </w:r>
    </w:p>
    <w:p>
      <w:pPr>
        <w:pStyle w:val="3"/>
        <w:wordWrap w:val="0"/>
        <w:spacing w:before="0" w:after="0" w:line="520" w:lineRule="exact"/>
        <w:rPr>
          <w:rFonts w:ascii="宋体" w:hAnsi="宋体" w:eastAsia="宋体" w:cs="宋体"/>
          <w:sz w:val="24"/>
          <w:szCs w:val="24"/>
        </w:rPr>
      </w:pPr>
      <w:bookmarkStart w:id="149" w:name="_Toc18369"/>
      <w:bookmarkStart w:id="150" w:name="_Toc11062"/>
      <w:bookmarkStart w:id="151" w:name="_Toc10154"/>
      <w:r>
        <w:rPr>
          <w:rFonts w:hint="eastAsia" w:ascii="宋体" w:hAnsi="宋体" w:eastAsia="宋体" w:cs="宋体"/>
          <w:sz w:val="24"/>
          <w:szCs w:val="24"/>
        </w:rPr>
        <w:t>附件三</w:t>
      </w:r>
      <w:bookmarkEnd w:id="149"/>
      <w:bookmarkEnd w:id="150"/>
      <w:bookmarkEnd w:id="151"/>
    </w:p>
    <w:p>
      <w:pPr>
        <w:pStyle w:val="3"/>
        <w:spacing w:before="0" w:after="0" w:line="520" w:lineRule="exact"/>
        <w:jc w:val="center"/>
        <w:rPr>
          <w:rFonts w:ascii="宋体" w:hAnsi="宋体" w:eastAsia="宋体" w:cs="宋体"/>
          <w:sz w:val="24"/>
          <w:szCs w:val="24"/>
        </w:rPr>
      </w:pPr>
      <w:bookmarkStart w:id="152" w:name="_Toc30135"/>
      <w:bookmarkStart w:id="153" w:name="_Toc13141"/>
      <w:bookmarkStart w:id="154" w:name="_Toc10696"/>
      <w:r>
        <w:rPr>
          <w:rFonts w:hint="eastAsia" w:ascii="宋体" w:hAnsi="宋体" w:eastAsia="宋体" w:cs="宋体"/>
          <w:sz w:val="24"/>
          <w:szCs w:val="24"/>
        </w:rPr>
        <w:t>磋商授权书</w:t>
      </w:r>
      <w:bookmarkEnd w:id="152"/>
      <w:bookmarkEnd w:id="153"/>
      <w:bookmarkEnd w:id="154"/>
    </w:p>
    <w:p>
      <w:pPr>
        <w:spacing w:line="520" w:lineRule="exact"/>
        <w:rPr>
          <w:rFonts w:ascii="宋体" w:hAnsi="宋体" w:cs="宋体"/>
          <w:sz w:val="24"/>
          <w:szCs w:val="24"/>
        </w:rPr>
      </w:pPr>
    </w:p>
    <w:p>
      <w:pPr>
        <w:spacing w:line="520" w:lineRule="exact"/>
        <w:jc w:val="left"/>
        <w:rPr>
          <w:rFonts w:ascii="宋体" w:hAnsi="宋体" w:cs="宋体"/>
          <w:sz w:val="24"/>
          <w:szCs w:val="24"/>
        </w:rPr>
      </w:pPr>
      <w:r>
        <w:rPr>
          <w:rFonts w:hint="eastAsia" w:ascii="宋体" w:hAnsi="宋体" w:cs="宋体"/>
          <w:sz w:val="24"/>
          <w:szCs w:val="24"/>
        </w:rPr>
        <w:t>致：_________________</w:t>
      </w:r>
    </w:p>
    <w:p>
      <w:pPr>
        <w:spacing w:line="520" w:lineRule="exact"/>
        <w:ind w:firstLine="480" w:firstLineChars="200"/>
        <w:jc w:val="left"/>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（供应商名称）的</w:t>
      </w:r>
      <w:r>
        <w:rPr>
          <w:rFonts w:hint="eastAsia" w:ascii="宋体" w:hAnsi="宋体" w:cs="宋体"/>
          <w:sz w:val="24"/>
          <w:szCs w:val="24"/>
          <w:u w:val="single"/>
        </w:rPr>
        <w:t xml:space="preserve">        </w:t>
      </w:r>
      <w:r>
        <w:rPr>
          <w:rFonts w:hint="eastAsia" w:ascii="宋体" w:hAnsi="宋体" w:cs="宋体"/>
          <w:sz w:val="24"/>
          <w:szCs w:val="24"/>
        </w:rPr>
        <w:t>（法定代表人姓名）授权</w:t>
      </w:r>
      <w:r>
        <w:rPr>
          <w:rFonts w:hint="eastAsia" w:ascii="宋体" w:hAnsi="宋体" w:cs="宋体"/>
          <w:sz w:val="24"/>
          <w:szCs w:val="24"/>
          <w:u w:val="single"/>
        </w:rPr>
        <w:t xml:space="preserve">         </w:t>
      </w:r>
      <w:r>
        <w:rPr>
          <w:rFonts w:hint="eastAsia" w:ascii="宋体" w:hAnsi="宋体" w:cs="宋体"/>
          <w:sz w:val="24"/>
          <w:szCs w:val="24"/>
        </w:rPr>
        <w:t>（被授权人的姓名）为我方就</w:t>
      </w:r>
      <w:r>
        <w:rPr>
          <w:rFonts w:hint="eastAsia" w:ascii="宋体" w:hAnsi="宋体" w:cs="宋体"/>
          <w:sz w:val="24"/>
          <w:szCs w:val="24"/>
          <w:u w:val="single"/>
        </w:rPr>
        <w:t xml:space="preserve">         </w:t>
      </w:r>
      <w:r>
        <w:rPr>
          <w:rFonts w:hint="eastAsia" w:ascii="宋体" w:hAnsi="宋体" w:cs="宋体"/>
          <w:sz w:val="24"/>
          <w:szCs w:val="24"/>
        </w:rPr>
        <w:t>（编号：</w:t>
      </w:r>
      <w:r>
        <w:rPr>
          <w:rFonts w:hint="eastAsia" w:ascii="宋体" w:hAnsi="宋体" w:cs="宋体"/>
          <w:sz w:val="24"/>
          <w:szCs w:val="24"/>
          <w:u w:val="single"/>
        </w:rPr>
        <w:t xml:space="preserve">           </w:t>
      </w:r>
      <w:r>
        <w:rPr>
          <w:rFonts w:hint="eastAsia" w:ascii="宋体" w:hAnsi="宋体" w:cs="宋体"/>
          <w:sz w:val="24"/>
          <w:szCs w:val="24"/>
        </w:rPr>
        <w:t>）项目磋商活动的合法代理人，以我方名义全权处理与该项目磋商、签订合同以及合同执行有关的一切事务。</w:t>
      </w:r>
    </w:p>
    <w:p>
      <w:pPr>
        <w:spacing w:line="520" w:lineRule="exact"/>
        <w:ind w:firstLine="480" w:firstLineChars="200"/>
        <w:jc w:val="left"/>
        <w:rPr>
          <w:rFonts w:ascii="宋体" w:hAnsi="宋体" w:cs="宋体"/>
          <w:sz w:val="24"/>
          <w:szCs w:val="24"/>
        </w:rPr>
      </w:pPr>
      <w:r>
        <w:rPr>
          <w:rFonts w:hint="eastAsia" w:ascii="宋体" w:hAnsi="宋体" w:cs="宋体"/>
          <w:sz w:val="24"/>
          <w:szCs w:val="24"/>
        </w:rPr>
        <w:t>特此声明。</w:t>
      </w:r>
    </w:p>
    <w:p>
      <w:pPr>
        <w:spacing w:line="520" w:lineRule="exact"/>
        <w:jc w:val="left"/>
        <w:rPr>
          <w:rFonts w:ascii="宋体" w:hAnsi="宋体" w:cs="宋体"/>
          <w:sz w:val="24"/>
          <w:szCs w:val="24"/>
        </w:rPr>
      </w:pPr>
    </w:p>
    <w:p>
      <w:pPr>
        <w:spacing w:line="520" w:lineRule="exact"/>
        <w:ind w:firstLine="1084" w:firstLineChars="450"/>
        <w:jc w:val="left"/>
        <w:rPr>
          <w:rFonts w:ascii="宋体" w:hAnsi="宋体" w:cs="宋体"/>
          <w:sz w:val="24"/>
          <w:szCs w:val="24"/>
          <w:u w:val="single"/>
        </w:rPr>
      </w:pPr>
      <w:r>
        <w:rPr>
          <w:rFonts w:hint="eastAsia" w:ascii="宋体" w:hAnsi="宋体" w:cs="宋体"/>
          <w:b/>
          <w:bCs/>
          <w:sz w:val="24"/>
          <w:szCs w:val="24"/>
        </w:rPr>
        <w:t>法定代表人签字：</w:t>
      </w:r>
      <w:r>
        <w:rPr>
          <w:rFonts w:hint="eastAsia" w:ascii="宋体" w:hAnsi="宋体" w:cs="宋体"/>
          <w:sz w:val="24"/>
          <w:szCs w:val="24"/>
          <w:u w:val="single"/>
        </w:rPr>
        <w:t xml:space="preserve">                            </w:t>
      </w:r>
    </w:p>
    <w:p>
      <w:pPr>
        <w:spacing w:line="520" w:lineRule="exact"/>
        <w:jc w:val="left"/>
        <w:rPr>
          <w:rFonts w:ascii="宋体" w:hAnsi="宋体" w:cs="宋体"/>
          <w:sz w:val="24"/>
          <w:szCs w:val="24"/>
          <w:u w:val="single"/>
        </w:rPr>
      </w:pPr>
      <w:r>
        <w:rPr>
          <w:rFonts w:hint="eastAsia" w:ascii="宋体" w:hAnsi="宋体" w:cs="宋体"/>
          <w:sz w:val="24"/>
          <w:szCs w:val="24"/>
        </w:rPr>
        <w:t xml:space="preserve">          职    务：</w:t>
      </w:r>
      <w:r>
        <w:rPr>
          <w:rFonts w:hint="eastAsia" w:ascii="宋体" w:hAnsi="宋体" w:cs="宋体"/>
          <w:sz w:val="24"/>
          <w:szCs w:val="24"/>
          <w:u w:val="single"/>
        </w:rPr>
        <w:t xml:space="preserve">                        </w:t>
      </w:r>
    </w:p>
    <w:p>
      <w:pPr>
        <w:spacing w:line="520" w:lineRule="exact"/>
        <w:jc w:val="left"/>
        <w:rPr>
          <w:rFonts w:ascii="宋体" w:hAnsi="宋体" w:cs="宋体"/>
          <w:sz w:val="24"/>
          <w:szCs w:val="24"/>
          <w:u w:val="single"/>
        </w:rPr>
      </w:pPr>
      <w:r>
        <w:rPr>
          <w:rFonts w:hint="eastAsia" w:ascii="宋体" w:hAnsi="宋体" w:cs="宋体"/>
          <w:sz w:val="24"/>
          <w:szCs w:val="24"/>
        </w:rPr>
        <w:t xml:space="preserve">          联系手机：</w:t>
      </w:r>
      <w:r>
        <w:rPr>
          <w:rFonts w:hint="eastAsia" w:ascii="宋体" w:hAnsi="宋体" w:cs="宋体"/>
          <w:sz w:val="24"/>
          <w:szCs w:val="24"/>
          <w:u w:val="single"/>
        </w:rPr>
        <w:t xml:space="preserve">                        </w:t>
      </w:r>
    </w:p>
    <w:p>
      <w:pPr>
        <w:spacing w:line="520" w:lineRule="exact"/>
        <w:ind w:firstLine="1200" w:firstLineChars="500"/>
        <w:jc w:val="left"/>
        <w:rPr>
          <w:rFonts w:ascii="宋体" w:hAnsi="宋体" w:cs="宋体"/>
          <w:sz w:val="24"/>
          <w:szCs w:val="24"/>
          <w:u w:val="single"/>
        </w:rPr>
      </w:pPr>
      <w:r>
        <w:rPr>
          <w:rFonts w:hint="eastAsia" w:ascii="宋体" w:hAnsi="宋体" w:cs="宋体"/>
          <w:sz w:val="24"/>
          <w:szCs w:val="24"/>
        </w:rPr>
        <w:t>固定电话：</w:t>
      </w:r>
      <w:r>
        <w:rPr>
          <w:rFonts w:hint="eastAsia" w:ascii="宋体" w:hAnsi="宋体" w:cs="宋体"/>
          <w:sz w:val="24"/>
          <w:szCs w:val="24"/>
          <w:u w:val="single"/>
        </w:rPr>
        <w:t xml:space="preserve">                         </w:t>
      </w:r>
    </w:p>
    <w:p>
      <w:pPr>
        <w:spacing w:line="520" w:lineRule="exact"/>
        <w:ind w:firstLine="1084" w:firstLineChars="450"/>
        <w:jc w:val="left"/>
        <w:rPr>
          <w:rFonts w:ascii="宋体" w:hAnsi="宋体" w:cs="宋体"/>
          <w:b/>
          <w:bCs/>
          <w:sz w:val="24"/>
          <w:szCs w:val="24"/>
        </w:rPr>
      </w:pPr>
    </w:p>
    <w:p>
      <w:pPr>
        <w:spacing w:line="520" w:lineRule="exact"/>
        <w:ind w:firstLine="1084" w:firstLineChars="450"/>
        <w:jc w:val="left"/>
        <w:rPr>
          <w:rFonts w:ascii="宋体" w:hAnsi="宋体" w:cs="宋体"/>
          <w:sz w:val="24"/>
          <w:szCs w:val="24"/>
        </w:rPr>
      </w:pPr>
      <w:r>
        <w:rPr>
          <w:rFonts w:hint="eastAsia" w:ascii="宋体" w:hAnsi="宋体" w:cs="宋体"/>
          <w:b/>
          <w:bCs/>
          <w:sz w:val="24"/>
          <w:szCs w:val="24"/>
        </w:rPr>
        <w:t>代理人（被授权人）：</w:t>
      </w:r>
      <w:r>
        <w:rPr>
          <w:rFonts w:hint="eastAsia" w:ascii="宋体" w:hAnsi="宋体" w:cs="宋体"/>
          <w:sz w:val="24"/>
          <w:szCs w:val="24"/>
          <w:u w:val="single"/>
        </w:rPr>
        <w:t xml:space="preserve">                     </w:t>
      </w:r>
    </w:p>
    <w:p>
      <w:pPr>
        <w:spacing w:line="520" w:lineRule="exact"/>
        <w:jc w:val="left"/>
        <w:rPr>
          <w:rFonts w:ascii="宋体" w:hAnsi="宋体" w:cs="宋体"/>
          <w:sz w:val="24"/>
          <w:szCs w:val="24"/>
        </w:rPr>
      </w:pPr>
      <w:r>
        <w:rPr>
          <w:rFonts w:hint="eastAsia" w:ascii="宋体" w:hAnsi="宋体" w:cs="宋体"/>
          <w:sz w:val="24"/>
          <w:szCs w:val="24"/>
        </w:rPr>
        <w:t xml:space="preserve">          职    务：</w:t>
      </w:r>
      <w:r>
        <w:rPr>
          <w:rFonts w:hint="eastAsia" w:ascii="宋体" w:hAnsi="宋体" w:cs="宋体"/>
          <w:sz w:val="24"/>
          <w:szCs w:val="24"/>
          <w:u w:val="single"/>
        </w:rPr>
        <w:t xml:space="preserve">                         </w:t>
      </w:r>
    </w:p>
    <w:p>
      <w:pPr>
        <w:spacing w:line="520" w:lineRule="exact"/>
        <w:jc w:val="left"/>
        <w:rPr>
          <w:rFonts w:ascii="宋体" w:hAnsi="宋体" w:cs="宋体"/>
          <w:sz w:val="24"/>
          <w:szCs w:val="24"/>
          <w:u w:val="single"/>
        </w:rPr>
      </w:pPr>
      <w:r>
        <w:rPr>
          <w:rFonts w:hint="eastAsia" w:ascii="宋体" w:hAnsi="宋体" w:cs="宋体"/>
          <w:sz w:val="24"/>
          <w:szCs w:val="24"/>
        </w:rPr>
        <w:t xml:space="preserve">          联系手机：</w:t>
      </w:r>
      <w:r>
        <w:rPr>
          <w:rFonts w:hint="eastAsia" w:ascii="宋体" w:hAnsi="宋体" w:cs="宋体"/>
          <w:sz w:val="24"/>
          <w:szCs w:val="24"/>
          <w:u w:val="single"/>
        </w:rPr>
        <w:t xml:space="preserve">                          </w:t>
      </w:r>
    </w:p>
    <w:p>
      <w:pPr>
        <w:spacing w:line="520" w:lineRule="exact"/>
        <w:ind w:firstLine="1200" w:firstLineChars="500"/>
        <w:jc w:val="left"/>
        <w:rPr>
          <w:rFonts w:ascii="宋体" w:hAnsi="宋体" w:cs="宋体"/>
          <w:sz w:val="24"/>
          <w:szCs w:val="24"/>
          <w:u w:val="single"/>
        </w:rPr>
      </w:pPr>
      <w:r>
        <w:rPr>
          <w:rFonts w:hint="eastAsia" w:ascii="宋体" w:hAnsi="宋体" w:cs="宋体"/>
          <w:sz w:val="24"/>
          <w:szCs w:val="24"/>
        </w:rPr>
        <w:t>固定电话：</w:t>
      </w:r>
      <w:r>
        <w:rPr>
          <w:rFonts w:hint="eastAsia" w:ascii="宋体" w:hAnsi="宋体" w:cs="宋体"/>
          <w:sz w:val="24"/>
          <w:szCs w:val="24"/>
          <w:u w:val="single"/>
        </w:rPr>
        <w:t xml:space="preserve">                          </w:t>
      </w:r>
    </w:p>
    <w:p>
      <w:pPr>
        <w:spacing w:line="520" w:lineRule="exact"/>
        <w:jc w:val="left"/>
        <w:rPr>
          <w:rFonts w:ascii="宋体" w:hAnsi="宋体" w:cs="宋体"/>
          <w:sz w:val="24"/>
          <w:szCs w:val="24"/>
        </w:rPr>
      </w:pPr>
    </w:p>
    <w:p>
      <w:pPr>
        <w:wordWrap w:val="0"/>
        <w:spacing w:line="520" w:lineRule="exact"/>
        <w:jc w:val="right"/>
        <w:rPr>
          <w:rFonts w:ascii="宋体" w:hAnsi="宋体" w:cs="宋体"/>
          <w:sz w:val="24"/>
          <w:szCs w:val="24"/>
        </w:rPr>
      </w:pPr>
      <w:r>
        <w:rPr>
          <w:rFonts w:hint="eastAsia" w:ascii="宋体" w:hAnsi="宋体" w:cs="宋体"/>
          <w:sz w:val="24"/>
          <w:szCs w:val="24"/>
        </w:rPr>
        <w:t xml:space="preserve">                                                      </w:t>
      </w:r>
    </w:p>
    <w:p>
      <w:pPr>
        <w:spacing w:line="520" w:lineRule="exact"/>
        <w:ind w:firstLine="4245" w:firstLineChars="1762"/>
        <w:rPr>
          <w:rFonts w:ascii="宋体" w:hAnsi="宋体" w:cs="宋体"/>
          <w:b/>
          <w:bCs/>
          <w:sz w:val="24"/>
          <w:szCs w:val="24"/>
          <w:u w:val="single"/>
        </w:rPr>
      </w:pPr>
      <w:r>
        <w:rPr>
          <w:rFonts w:hint="eastAsia" w:ascii="宋体" w:hAnsi="宋体" w:cs="宋体"/>
          <w:b/>
          <w:bCs/>
          <w:sz w:val="24"/>
          <w:szCs w:val="24"/>
        </w:rPr>
        <w:t>供应商</w:t>
      </w:r>
      <w:r>
        <w:rPr>
          <w:rFonts w:hint="eastAsia" w:ascii="宋体" w:hAnsi="宋体" w:cs="宋体"/>
          <w:b/>
          <w:bCs/>
          <w:sz w:val="24"/>
          <w:szCs w:val="24"/>
          <w:lang w:eastAsia="zh-CN"/>
        </w:rPr>
        <w:t>盖章</w:t>
      </w:r>
      <w:r>
        <w:rPr>
          <w:rFonts w:hint="eastAsia" w:ascii="宋体" w:hAnsi="宋体" w:cs="宋体"/>
          <w:b/>
          <w:bCs/>
          <w:sz w:val="24"/>
          <w:szCs w:val="24"/>
        </w:rPr>
        <w:t>：</w:t>
      </w:r>
    </w:p>
    <w:p>
      <w:pPr>
        <w:tabs>
          <w:tab w:val="left" w:pos="630"/>
        </w:tabs>
        <w:spacing w:line="520" w:lineRule="exact"/>
        <w:ind w:firstLine="4245" w:firstLineChars="1762"/>
        <w:rPr>
          <w:rFonts w:hint="eastAsia" w:ascii="宋体" w:hAnsi="宋体" w:cs="宋体"/>
          <w:b/>
          <w:bCs/>
          <w:sz w:val="24"/>
          <w:szCs w:val="24"/>
        </w:rPr>
      </w:pPr>
      <w:r>
        <w:rPr>
          <w:rFonts w:hint="eastAsia" w:ascii="宋体" w:hAnsi="宋体" w:cs="宋体"/>
          <w:b/>
          <w:bCs/>
          <w:sz w:val="24"/>
          <w:szCs w:val="24"/>
        </w:rPr>
        <w:t>日期：</w:t>
      </w:r>
    </w:p>
    <w:p>
      <w:pPr>
        <w:tabs>
          <w:tab w:val="left" w:pos="630"/>
        </w:tabs>
        <w:spacing w:line="520" w:lineRule="exact"/>
        <w:ind w:firstLine="4245" w:firstLineChars="1762"/>
        <w:rPr>
          <w:rFonts w:hint="eastAsia" w:ascii="宋体" w:hAnsi="宋体" w:cs="宋体"/>
          <w:b/>
          <w:bCs/>
          <w:sz w:val="24"/>
          <w:szCs w:val="24"/>
        </w:rPr>
      </w:pPr>
    </w:p>
    <w:p>
      <w:pPr>
        <w:spacing w:line="440" w:lineRule="exact"/>
        <w:ind w:left="1151" w:leftChars="548"/>
        <w:rPr>
          <w:rFonts w:hint="eastAsia" w:ascii="宋体" w:hAnsi="宋体" w:eastAsia="宋体"/>
          <w:b w:val="0"/>
          <w:sz w:val="24"/>
          <w:szCs w:val="24"/>
        </w:rPr>
      </w:pPr>
      <w:r>
        <w:rPr>
          <w:rFonts w:ascii="宋体" w:hAnsi="宋体" w:eastAsia="宋体"/>
          <w:b/>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12065</wp:posOffset>
                </wp:positionV>
                <wp:extent cx="5943600" cy="2540000"/>
                <wp:effectExtent l="5080" t="5080" r="13970" b="7620"/>
                <wp:wrapNone/>
                <wp:docPr id="7" name="矩形 7"/>
                <wp:cNvGraphicFramePr/>
                <a:graphic xmlns:a="http://schemas.openxmlformats.org/drawingml/2006/main">
                  <a:graphicData uri="http://schemas.microsoft.com/office/word/2010/wordprocessingShape">
                    <wps:wsp>
                      <wps:cNvSpPr/>
                      <wps:spPr>
                        <a:xfrm>
                          <a:off x="0" y="0"/>
                          <a:ext cx="5943600" cy="2540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24"/>
                                <w:szCs w:val="24"/>
                                <w:lang w:eastAsia="zh-CN"/>
                              </w:rPr>
                            </w:pPr>
                            <w:r>
                              <w:rPr>
                                <w:rFonts w:hint="eastAsia"/>
                                <w:sz w:val="24"/>
                                <w:szCs w:val="24"/>
                              </w:rPr>
                              <w:t>粘贴法定代表人身份证复印件</w:t>
                            </w:r>
                            <w:r>
                              <w:rPr>
                                <w:rFonts w:hint="eastAsia"/>
                                <w:sz w:val="24"/>
                                <w:szCs w:val="24"/>
                                <w:lang w:eastAsia="zh-CN"/>
                              </w:rPr>
                              <w:t>正反面</w:t>
                            </w:r>
                          </w:p>
                        </w:txbxContent>
                      </wps:txbx>
                      <wps:bodyPr upright="1"/>
                    </wps:wsp>
                  </a:graphicData>
                </a:graphic>
              </wp:anchor>
            </w:drawing>
          </mc:Choice>
          <mc:Fallback>
            <w:pict>
              <v:rect id="_x0000_s1026" o:spid="_x0000_s1026" o:spt="1" style="position:absolute;left:0pt;margin-left:9pt;margin-top:0.95pt;height:200pt;width:468pt;z-index:251659264;mso-width-relative:page;mso-height-relative:page;" fillcolor="#FFFFFF" filled="t" stroked="t" coordsize="21600,21600" o:gfxdata="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cB5O1QAAAAgBAAAPAAAAAAAAAAEAIAAAACIAAABkcnMvZG93&#10;bnJldi54bWxQSwECFAAUAAAACACHTuJA1CZvXgMCAAAqBAAADgAAAAAAAAABACAAAAAkAQAAZHJz&#10;L2Uyb0RvYy54bWxQSwUGAAAAAAYABgBZAQAAmQUAAAAA&#10;">
                <v:fill on="t" focussize="0,0"/>
                <v:stroke color="#000000" joinstyle="miter"/>
                <v:imagedata o:title=""/>
                <o:lock v:ext="edit" aspectratio="f"/>
                <v:textbox>
                  <w:txbxContent>
                    <w:p>
                      <w:pPr>
                        <w:rPr>
                          <w:rFonts w:hint="eastAsia" w:eastAsia="宋体"/>
                          <w:sz w:val="24"/>
                          <w:szCs w:val="24"/>
                          <w:lang w:eastAsia="zh-CN"/>
                        </w:rPr>
                      </w:pPr>
                      <w:r>
                        <w:rPr>
                          <w:rFonts w:hint="eastAsia"/>
                          <w:sz w:val="24"/>
                          <w:szCs w:val="24"/>
                        </w:rPr>
                        <w:t>粘贴法定代表人身份证复印件</w:t>
                      </w:r>
                      <w:r>
                        <w:rPr>
                          <w:rFonts w:hint="eastAsia"/>
                          <w:sz w:val="24"/>
                          <w:szCs w:val="24"/>
                          <w:lang w:eastAsia="zh-CN"/>
                        </w:rPr>
                        <w:t>正反面</w:t>
                      </w:r>
                    </w:p>
                  </w:txbxContent>
                </v:textbox>
              </v:rect>
            </w:pict>
          </mc:Fallback>
        </mc:AlternateContent>
      </w: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r>
        <w:rPr>
          <w:rFonts w:hint="eastAsia" w:ascii="宋体" w:hAnsi="宋体" w:eastAsia="宋体"/>
          <w:b/>
          <w:sz w:val="27"/>
          <w:szCs w:val="27"/>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136525</wp:posOffset>
                </wp:positionV>
                <wp:extent cx="5943600" cy="3070860"/>
                <wp:effectExtent l="5080" t="4445" r="13970" b="10795"/>
                <wp:wrapNone/>
                <wp:docPr id="8" name="矩形 8"/>
                <wp:cNvGraphicFramePr/>
                <a:graphic xmlns:a="http://schemas.openxmlformats.org/drawingml/2006/main">
                  <a:graphicData uri="http://schemas.microsoft.com/office/word/2010/wordprocessingShape">
                    <wps:wsp>
                      <wps:cNvSpPr/>
                      <wps:spPr>
                        <a:xfrm>
                          <a:off x="0" y="0"/>
                          <a:ext cx="5943600" cy="30708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粘贴委托代理人身份证复印件</w:t>
                            </w:r>
                            <w:r>
                              <w:rPr>
                                <w:rFonts w:hint="eastAsia"/>
                                <w:sz w:val="24"/>
                                <w:szCs w:val="24"/>
                                <w:lang w:eastAsia="zh-CN"/>
                              </w:rPr>
                              <w:t>正反面</w:t>
                            </w:r>
                          </w:p>
                          <w:p/>
                        </w:txbxContent>
                      </wps:txbx>
                      <wps:bodyPr upright="1"/>
                    </wps:wsp>
                  </a:graphicData>
                </a:graphic>
              </wp:anchor>
            </w:drawing>
          </mc:Choice>
          <mc:Fallback>
            <w:pict>
              <v:rect id="_x0000_s1026" o:spid="_x0000_s1026" o:spt="1" style="position:absolute;left:0pt;margin-left:9pt;margin-top:10.75pt;height:241.8pt;width:468pt;z-index:251660288;mso-width-relative:page;mso-height-relative:page;" fillcolor="#FFFFFF" filled="t" stroked="t" coordsize="21600,21600" o:gfxdata="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Y0nKNcAAAAJAQAADwAAAAAAAAABACAAAAAiAAAAZHJz&#10;L2Rvd25yZXYueG1sUEsBAhQAFAAAAAgAh07iQBtuxtkFAgAAKgQAAA4AAAAAAAAAAQAgAAAAJgEA&#10;AGRycy9lMm9Eb2MueG1sUEsFBgAAAAAGAAYAWQEAAJ0FAAAAAA==&#10;">
                <v:fill on="t" focussize="0,0"/>
                <v:stroke color="#000000" joinstyle="miter"/>
                <v:imagedata o:title=""/>
                <o:lock v:ext="edit" aspectratio="f"/>
                <v:textbox>
                  <w:txbxContent>
                    <w:p>
                      <w:pPr>
                        <w:rPr>
                          <w:rFonts w:hint="eastAsia"/>
                          <w:sz w:val="24"/>
                          <w:szCs w:val="24"/>
                        </w:rPr>
                      </w:pPr>
                      <w:r>
                        <w:rPr>
                          <w:rFonts w:hint="eastAsia"/>
                          <w:sz w:val="24"/>
                          <w:szCs w:val="24"/>
                        </w:rPr>
                        <w:t>粘贴委托代理人身份证复印件</w:t>
                      </w:r>
                      <w:r>
                        <w:rPr>
                          <w:rFonts w:hint="eastAsia"/>
                          <w:sz w:val="24"/>
                          <w:szCs w:val="24"/>
                          <w:lang w:eastAsia="zh-CN"/>
                        </w:rPr>
                        <w:t>正反面</w:t>
                      </w:r>
                    </w:p>
                    <w:p/>
                  </w:txbxContent>
                </v:textbox>
              </v:rect>
            </w:pict>
          </mc:Fallback>
        </mc:AlternateContent>
      </w: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widowControl/>
        <w:spacing w:line="420" w:lineRule="exact"/>
        <w:rPr>
          <w:rFonts w:hint="eastAsia" w:ascii="宋体" w:hAnsi="宋体" w:eastAsia="宋体" w:cs="宋体"/>
          <w:b w:val="0"/>
          <w:kern w:val="0"/>
          <w:sz w:val="28"/>
          <w:szCs w:val="28"/>
        </w:rPr>
      </w:pPr>
    </w:p>
    <w:p>
      <w:pPr>
        <w:widowControl/>
        <w:spacing w:line="420" w:lineRule="exact"/>
        <w:rPr>
          <w:rFonts w:hint="eastAsia" w:ascii="宋体" w:hAnsi="宋体" w:eastAsia="宋体" w:cs="宋体"/>
          <w:b w:val="0"/>
          <w:kern w:val="0"/>
          <w:sz w:val="28"/>
          <w:szCs w:val="28"/>
        </w:rPr>
      </w:pPr>
    </w:p>
    <w:p>
      <w:pPr>
        <w:widowControl/>
        <w:spacing w:line="420" w:lineRule="exact"/>
        <w:rPr>
          <w:rFonts w:hint="eastAsia" w:ascii="宋体" w:hAnsi="宋体" w:eastAsia="宋体" w:cs="宋体"/>
          <w:b w:val="0"/>
          <w:kern w:val="0"/>
          <w:sz w:val="28"/>
          <w:szCs w:val="28"/>
        </w:rPr>
      </w:pPr>
    </w:p>
    <w:p>
      <w:pPr>
        <w:jc w:val="center"/>
        <w:rPr>
          <w:rFonts w:hint="eastAsia" w:ascii="宋体" w:hAnsi="宋体"/>
          <w:b/>
          <w:bCs/>
          <w:sz w:val="24"/>
          <w:szCs w:val="24"/>
        </w:rPr>
      </w:pPr>
    </w:p>
    <w:p>
      <w:pPr>
        <w:ind w:firstLine="3542" w:firstLineChars="1470"/>
        <w:outlineLvl w:val="0"/>
        <w:rPr>
          <w:rFonts w:hint="eastAsia" w:ascii="宋体" w:hAnsi="宋体"/>
          <w:b/>
          <w:bCs/>
          <w:sz w:val="24"/>
          <w:szCs w:val="24"/>
          <w:lang w:eastAsia="zh-CN"/>
        </w:rPr>
      </w:pPr>
    </w:p>
    <w:p>
      <w:pPr>
        <w:ind w:firstLine="3542" w:firstLineChars="1470"/>
        <w:outlineLvl w:val="0"/>
        <w:rPr>
          <w:rFonts w:hint="eastAsia" w:ascii="宋体" w:hAnsi="宋体"/>
          <w:b/>
          <w:bCs/>
          <w:sz w:val="24"/>
          <w:szCs w:val="24"/>
          <w:lang w:eastAsia="zh-CN"/>
        </w:rPr>
      </w:pPr>
    </w:p>
    <w:p>
      <w:pPr>
        <w:tabs>
          <w:tab w:val="left" w:pos="630"/>
        </w:tabs>
        <w:spacing w:line="520" w:lineRule="exact"/>
        <w:ind w:firstLine="4245" w:firstLineChars="1762"/>
        <w:rPr>
          <w:rFonts w:hint="eastAsia" w:ascii="宋体" w:hAnsi="宋体" w:cs="宋体"/>
          <w:b/>
          <w:bCs/>
          <w:sz w:val="24"/>
          <w:szCs w:val="24"/>
        </w:rPr>
      </w:pPr>
    </w:p>
    <w:p>
      <w:pPr>
        <w:pStyle w:val="3"/>
        <w:spacing w:before="0" w:after="0" w:line="560" w:lineRule="exact"/>
        <w:rPr>
          <w:rFonts w:hint="eastAsia" w:ascii="宋体" w:hAnsi="宋体"/>
          <w:b/>
          <w:bCs/>
          <w:color w:val="auto"/>
          <w:sz w:val="24"/>
          <w:szCs w:val="24"/>
        </w:rPr>
      </w:pPr>
      <w:bookmarkStart w:id="155" w:name="_Toc17226"/>
      <w:bookmarkStart w:id="156" w:name="_Toc23589"/>
      <w:r>
        <w:rPr>
          <w:rFonts w:hint="eastAsia" w:ascii="宋体" w:hAnsi="宋体" w:eastAsia="宋体" w:cs="宋体"/>
          <w:sz w:val="24"/>
          <w:szCs w:val="24"/>
        </w:rPr>
        <w:br w:type="page"/>
      </w:r>
      <w:bookmarkStart w:id="157" w:name="_Toc17888"/>
      <w:r>
        <w:rPr>
          <w:rFonts w:hint="eastAsia" w:ascii="宋体" w:hAnsi="宋体" w:eastAsia="宋体" w:cs="宋体"/>
          <w:sz w:val="24"/>
          <w:szCs w:val="24"/>
        </w:rPr>
        <w:t>附件四</w:t>
      </w:r>
      <w:bookmarkEnd w:id="155"/>
      <w:bookmarkEnd w:id="156"/>
      <w:bookmarkEnd w:id="157"/>
      <w:r>
        <w:rPr>
          <w:rFonts w:hint="eastAsia" w:ascii="宋体" w:hAnsi="宋体" w:eastAsia="宋体" w:cs="宋体"/>
          <w:sz w:val="24"/>
          <w:szCs w:val="24"/>
          <w:lang w:val="en-US" w:eastAsia="zh-CN"/>
        </w:rPr>
        <w:t xml:space="preserve">                       </w:t>
      </w:r>
      <w:r>
        <w:rPr>
          <w:rFonts w:hint="eastAsia" w:ascii="宋体" w:hAnsi="宋体"/>
          <w:b/>
          <w:bCs/>
          <w:color w:val="auto"/>
          <w:sz w:val="24"/>
          <w:szCs w:val="24"/>
        </w:rPr>
        <w:t>保证金进账单复印件</w:t>
      </w:r>
    </w:p>
    <w:p>
      <w:pPr>
        <w:rPr>
          <w:rFonts w:hint="eastAsia"/>
        </w:rPr>
      </w:pPr>
    </w:p>
    <w:p>
      <w:pPr>
        <w:rPr>
          <w:rFonts w:hint="eastAsia"/>
        </w:rPr>
      </w:pPr>
    </w:p>
    <w:p>
      <w:pPr>
        <w:rPr>
          <w:rFonts w:hint="eastAsia"/>
        </w:rPr>
      </w:pPr>
    </w:p>
    <w:p>
      <w:pPr>
        <w:numPr>
          <w:ilvl w:val="0"/>
          <w:numId w:val="0"/>
        </w:numPr>
        <w:jc w:val="center"/>
        <w:rPr>
          <w:rFonts w:hint="eastAsia" w:ascii="宋体" w:hAnsi="宋体"/>
          <w:b/>
          <w:bCs/>
          <w:color w:val="auto"/>
          <w:sz w:val="24"/>
          <w:szCs w:val="24"/>
        </w:rPr>
      </w:pPr>
    </w:p>
    <w:p>
      <w:pPr>
        <w:numPr>
          <w:ilvl w:val="0"/>
          <w:numId w:val="0"/>
        </w:num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rPr>
        <w:t>附件</w:t>
      </w:r>
      <w:r>
        <w:rPr>
          <w:rFonts w:hint="eastAsia" w:ascii="宋体" w:hAnsi="宋体" w:eastAsia="宋体" w:cs="宋体"/>
          <w:b/>
          <w:bCs/>
          <w:sz w:val="24"/>
          <w:szCs w:val="24"/>
          <w:lang w:eastAsia="zh-CN"/>
        </w:rPr>
        <w:t>五</w:t>
      </w:r>
      <w:r>
        <w:rPr>
          <w:rFonts w:hint="eastAsia" w:ascii="宋体" w:hAnsi="宋体" w:eastAsia="宋体" w:cs="宋体"/>
          <w:b/>
          <w:bCs/>
          <w:sz w:val="24"/>
          <w:szCs w:val="24"/>
          <w:lang w:val="en-US" w:eastAsia="zh-CN"/>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技术相关材料</w:t>
      </w:r>
    </w:p>
    <w:p>
      <w:pPr>
        <w:numPr>
          <w:ilvl w:val="0"/>
          <w:numId w:val="0"/>
        </w:numPr>
        <w:jc w:val="left"/>
        <w:rPr>
          <w:rFonts w:hint="eastAsia" w:ascii="宋体" w:hAnsi="宋体" w:eastAsia="宋体" w:cs="宋体"/>
          <w:b/>
          <w:bCs/>
          <w:sz w:val="24"/>
          <w:szCs w:val="24"/>
          <w:lang w:val="en-US" w:eastAsia="zh-CN"/>
        </w:rPr>
      </w:pPr>
    </w:p>
    <w:p>
      <w:pPr>
        <w:numPr>
          <w:ilvl w:val="0"/>
          <w:numId w:val="0"/>
        </w:numPr>
        <w:jc w:val="left"/>
        <w:rPr>
          <w:rFonts w:hint="eastAsia" w:ascii="宋体" w:hAnsi="宋体" w:eastAsia="宋体" w:cs="宋体"/>
          <w:b/>
          <w:bCs/>
          <w:sz w:val="24"/>
          <w:szCs w:val="24"/>
          <w:lang w:val="en-US" w:eastAsia="zh-CN"/>
        </w:rPr>
      </w:pPr>
    </w:p>
    <w:p>
      <w:pPr>
        <w:numPr>
          <w:ilvl w:val="0"/>
          <w:numId w:val="0"/>
        </w:numPr>
        <w:jc w:val="left"/>
        <w:rPr>
          <w:rFonts w:hint="eastAsia" w:ascii="宋体" w:hAnsi="宋体" w:eastAsia="宋体" w:cs="宋体"/>
          <w:b/>
          <w:bCs/>
          <w:sz w:val="24"/>
          <w:szCs w:val="24"/>
          <w:lang w:val="en-US" w:eastAsia="zh-CN"/>
        </w:rPr>
      </w:pPr>
    </w:p>
    <w:p>
      <w:pPr>
        <w:numPr>
          <w:ilvl w:val="0"/>
          <w:numId w:val="0"/>
        </w:numPr>
        <w:jc w:val="left"/>
        <w:rPr>
          <w:rFonts w:hint="eastAsia" w:ascii="宋体" w:hAnsi="宋体" w:eastAsia="宋体" w:cs="宋体"/>
          <w:b/>
          <w:bCs/>
          <w:sz w:val="24"/>
          <w:szCs w:val="24"/>
          <w:lang w:val="en-US" w:eastAsia="zh-CN"/>
        </w:rPr>
      </w:pPr>
    </w:p>
    <w:p>
      <w:pPr>
        <w:numPr>
          <w:ilvl w:val="0"/>
          <w:numId w:val="0"/>
        </w:numPr>
        <w:jc w:val="left"/>
        <w:rPr>
          <w:rFonts w:hint="eastAsia" w:ascii="宋体" w:hAnsi="宋体" w:cs="宋体"/>
          <w:b/>
          <w:bCs/>
          <w:sz w:val="24"/>
          <w:szCs w:val="24"/>
          <w:lang w:val="en-US" w:eastAsia="zh-CN"/>
        </w:rPr>
      </w:pPr>
      <w:r>
        <w:rPr>
          <w:rFonts w:hint="eastAsia" w:ascii="宋体" w:hAnsi="宋体" w:eastAsia="宋体" w:cs="宋体"/>
          <w:b/>
          <w:bCs/>
          <w:sz w:val="24"/>
          <w:szCs w:val="24"/>
        </w:rPr>
        <w:t>附件</w:t>
      </w:r>
      <w:r>
        <w:rPr>
          <w:rFonts w:hint="eastAsia" w:ascii="宋体" w:hAnsi="宋体" w:eastAsia="宋体" w:cs="宋体"/>
          <w:b/>
          <w:bCs/>
          <w:sz w:val="24"/>
          <w:szCs w:val="24"/>
          <w:lang w:eastAsia="zh-CN"/>
        </w:rPr>
        <w:t>六</w:t>
      </w:r>
      <w:r>
        <w:rPr>
          <w:rFonts w:hint="eastAsia" w:ascii="宋体" w:hAnsi="宋体" w:eastAsia="宋体" w:cs="宋体"/>
          <w:b/>
          <w:bCs/>
          <w:sz w:val="24"/>
          <w:szCs w:val="24"/>
          <w:lang w:val="en-US" w:eastAsia="zh-CN"/>
        </w:rPr>
        <w:t xml:space="preserve">                  </w:t>
      </w:r>
      <w:r>
        <w:rPr>
          <w:rFonts w:hint="eastAsia" w:ascii="宋体" w:hAnsi="宋体" w:cs="宋体"/>
          <w:b/>
          <w:bCs/>
          <w:sz w:val="24"/>
          <w:szCs w:val="24"/>
          <w:lang w:val="en-US" w:eastAsia="zh-CN"/>
        </w:rPr>
        <w:t xml:space="preserve">    </w:t>
      </w:r>
    </w:p>
    <w:p>
      <w:pPr>
        <w:numPr>
          <w:ilvl w:val="0"/>
          <w:numId w:val="0"/>
        </w:numPr>
        <w:jc w:val="center"/>
        <w:rPr>
          <w:rFonts w:hint="eastAsia" w:ascii="宋体" w:hAnsi="宋体"/>
          <w:sz w:val="24"/>
          <w:szCs w:val="24"/>
        </w:rPr>
      </w:pPr>
      <w:r>
        <w:rPr>
          <w:rFonts w:hint="eastAsia" w:ascii="宋体" w:hAnsi="宋体"/>
          <w:b/>
          <w:bCs/>
          <w:sz w:val="24"/>
          <w:szCs w:val="24"/>
        </w:rPr>
        <w:t>项目服务人员配置</w:t>
      </w:r>
    </w:p>
    <w:p>
      <w:pPr>
        <w:spacing w:line="440" w:lineRule="exact"/>
        <w:jc w:val="center"/>
        <w:rPr>
          <w:rFonts w:hint="eastAsia" w:ascii="宋体" w:hAnsi="宋体" w:cs="宋体"/>
          <w:color w:val="auto"/>
        </w:rPr>
      </w:pPr>
      <w:r>
        <w:rPr>
          <w:rFonts w:hint="eastAsia" w:ascii="宋体" w:hAnsi="宋体" w:cs="宋体"/>
          <w:color w:val="auto"/>
        </w:rPr>
        <w:t>（参考格式）</w:t>
      </w:r>
    </w:p>
    <w:tbl>
      <w:tblPr>
        <w:tblStyle w:val="36"/>
        <w:tblpPr w:leftFromText="180" w:rightFromText="180" w:vertAnchor="text" w:horzAnchor="page" w:tblpX="1262" w:tblpY="284"/>
        <w:tblOverlap w:val="never"/>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924"/>
        <w:gridCol w:w="1331"/>
        <w:gridCol w:w="4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top"/>
          </w:tcPr>
          <w:p>
            <w:pPr>
              <w:tabs>
                <w:tab w:val="left" w:pos="630"/>
              </w:tabs>
              <w:spacing w:line="44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序号</w:t>
            </w:r>
          </w:p>
        </w:tc>
        <w:tc>
          <w:tcPr>
            <w:tcW w:w="1924" w:type="dxa"/>
            <w:noWrap w:val="0"/>
            <w:vAlign w:val="top"/>
          </w:tcPr>
          <w:p>
            <w:pPr>
              <w:tabs>
                <w:tab w:val="left" w:pos="630"/>
              </w:tabs>
              <w:spacing w:line="440" w:lineRule="exact"/>
              <w:jc w:val="center"/>
              <w:rPr>
                <w:rFonts w:hint="eastAsia" w:ascii="宋体" w:hAnsi="宋体" w:eastAsia="宋体"/>
                <w:sz w:val="24"/>
                <w:szCs w:val="24"/>
                <w:lang w:eastAsia="zh-CN"/>
              </w:rPr>
            </w:pPr>
            <w:r>
              <w:rPr>
                <w:rFonts w:hint="eastAsia" w:ascii="宋体" w:hAnsi="宋体"/>
                <w:sz w:val="24"/>
                <w:szCs w:val="24"/>
                <w:lang w:eastAsia="zh-CN"/>
              </w:rPr>
              <w:t>岗位名称</w:t>
            </w:r>
          </w:p>
        </w:tc>
        <w:tc>
          <w:tcPr>
            <w:tcW w:w="1331" w:type="dxa"/>
            <w:noWrap w:val="0"/>
            <w:vAlign w:val="top"/>
          </w:tcPr>
          <w:p>
            <w:pPr>
              <w:tabs>
                <w:tab w:val="left" w:pos="630"/>
              </w:tabs>
              <w:spacing w:line="440" w:lineRule="exact"/>
              <w:jc w:val="center"/>
              <w:rPr>
                <w:rFonts w:hint="eastAsia" w:ascii="宋体" w:hAnsi="宋体" w:eastAsia="宋体"/>
                <w:sz w:val="24"/>
                <w:szCs w:val="24"/>
                <w:lang w:eastAsia="zh-CN"/>
              </w:rPr>
            </w:pPr>
            <w:r>
              <w:rPr>
                <w:rFonts w:hint="eastAsia" w:ascii="宋体" w:hAnsi="宋体"/>
                <w:sz w:val="24"/>
                <w:szCs w:val="24"/>
                <w:lang w:eastAsia="zh-CN"/>
              </w:rPr>
              <w:t>人数</w:t>
            </w:r>
          </w:p>
        </w:tc>
        <w:tc>
          <w:tcPr>
            <w:tcW w:w="4846" w:type="dxa"/>
            <w:noWrap w:val="0"/>
            <w:vAlign w:val="top"/>
          </w:tcPr>
          <w:p>
            <w:pPr>
              <w:tabs>
                <w:tab w:val="left" w:pos="630"/>
              </w:tabs>
              <w:spacing w:line="440" w:lineRule="exact"/>
              <w:jc w:val="center"/>
              <w:rPr>
                <w:rFonts w:hint="eastAsia" w:ascii="宋体" w:hAnsi="宋体" w:eastAsia="宋体"/>
                <w:sz w:val="24"/>
                <w:szCs w:val="24"/>
                <w:lang w:eastAsia="zh-CN"/>
              </w:rPr>
            </w:pPr>
            <w:r>
              <w:rPr>
                <w:rFonts w:hint="eastAsia" w:ascii="宋体" w:hAnsi="宋体"/>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top"/>
          </w:tcPr>
          <w:p>
            <w:pPr>
              <w:tabs>
                <w:tab w:val="left" w:pos="630"/>
              </w:tabs>
              <w:spacing w:line="44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1924" w:type="dxa"/>
            <w:noWrap w:val="0"/>
            <w:vAlign w:val="top"/>
          </w:tcPr>
          <w:p>
            <w:pPr>
              <w:tabs>
                <w:tab w:val="left" w:pos="630"/>
              </w:tabs>
              <w:spacing w:line="440" w:lineRule="exact"/>
              <w:jc w:val="center"/>
              <w:rPr>
                <w:rFonts w:hint="eastAsia" w:ascii="宋体" w:hAnsi="宋体"/>
                <w:sz w:val="24"/>
                <w:szCs w:val="24"/>
              </w:rPr>
            </w:pPr>
          </w:p>
        </w:tc>
        <w:tc>
          <w:tcPr>
            <w:tcW w:w="1331" w:type="dxa"/>
            <w:noWrap w:val="0"/>
            <w:vAlign w:val="top"/>
          </w:tcPr>
          <w:p>
            <w:pPr>
              <w:tabs>
                <w:tab w:val="left" w:pos="630"/>
              </w:tabs>
              <w:spacing w:line="440" w:lineRule="exact"/>
              <w:jc w:val="center"/>
              <w:rPr>
                <w:rFonts w:hint="eastAsia" w:ascii="宋体" w:hAnsi="宋体"/>
                <w:sz w:val="24"/>
                <w:szCs w:val="24"/>
              </w:rPr>
            </w:pPr>
          </w:p>
        </w:tc>
        <w:tc>
          <w:tcPr>
            <w:tcW w:w="4846" w:type="dxa"/>
            <w:noWrap w:val="0"/>
            <w:vAlign w:val="top"/>
          </w:tcPr>
          <w:p>
            <w:pPr>
              <w:tabs>
                <w:tab w:val="left" w:pos="630"/>
              </w:tabs>
              <w:spacing w:line="44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top"/>
          </w:tcPr>
          <w:p>
            <w:pPr>
              <w:tabs>
                <w:tab w:val="left" w:pos="630"/>
              </w:tabs>
              <w:spacing w:line="44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924" w:type="dxa"/>
            <w:noWrap w:val="0"/>
            <w:vAlign w:val="top"/>
          </w:tcPr>
          <w:p>
            <w:pPr>
              <w:tabs>
                <w:tab w:val="left" w:pos="630"/>
              </w:tabs>
              <w:spacing w:line="440" w:lineRule="exact"/>
              <w:jc w:val="center"/>
              <w:rPr>
                <w:rFonts w:hint="eastAsia" w:ascii="宋体" w:hAnsi="宋体"/>
                <w:sz w:val="24"/>
                <w:szCs w:val="24"/>
              </w:rPr>
            </w:pPr>
          </w:p>
        </w:tc>
        <w:tc>
          <w:tcPr>
            <w:tcW w:w="1331" w:type="dxa"/>
            <w:noWrap w:val="0"/>
            <w:vAlign w:val="top"/>
          </w:tcPr>
          <w:p>
            <w:pPr>
              <w:tabs>
                <w:tab w:val="left" w:pos="630"/>
              </w:tabs>
              <w:spacing w:line="440" w:lineRule="exact"/>
              <w:jc w:val="center"/>
              <w:rPr>
                <w:rFonts w:hint="eastAsia" w:ascii="宋体" w:hAnsi="宋体"/>
                <w:sz w:val="24"/>
                <w:szCs w:val="24"/>
              </w:rPr>
            </w:pPr>
          </w:p>
        </w:tc>
        <w:tc>
          <w:tcPr>
            <w:tcW w:w="4846" w:type="dxa"/>
            <w:noWrap w:val="0"/>
            <w:vAlign w:val="top"/>
          </w:tcPr>
          <w:p>
            <w:pPr>
              <w:tabs>
                <w:tab w:val="left" w:pos="630"/>
              </w:tabs>
              <w:spacing w:line="44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top"/>
          </w:tcPr>
          <w:p>
            <w:pPr>
              <w:tabs>
                <w:tab w:val="left" w:pos="630"/>
              </w:tabs>
              <w:spacing w:line="440" w:lineRule="exact"/>
              <w:jc w:val="center"/>
              <w:rPr>
                <w:rFonts w:hint="default" w:ascii="宋体" w:hAnsi="宋体"/>
                <w:sz w:val="24"/>
                <w:szCs w:val="24"/>
                <w:lang w:val="en-US" w:eastAsia="zh-CN"/>
              </w:rPr>
            </w:pPr>
            <w:r>
              <w:rPr>
                <w:rFonts w:hint="eastAsia" w:ascii="宋体" w:hAnsi="宋体"/>
                <w:sz w:val="24"/>
                <w:szCs w:val="24"/>
                <w:lang w:val="en-US" w:eastAsia="zh-CN"/>
              </w:rPr>
              <w:t>3</w:t>
            </w:r>
          </w:p>
        </w:tc>
        <w:tc>
          <w:tcPr>
            <w:tcW w:w="1924" w:type="dxa"/>
            <w:noWrap w:val="0"/>
            <w:vAlign w:val="top"/>
          </w:tcPr>
          <w:p>
            <w:pPr>
              <w:tabs>
                <w:tab w:val="left" w:pos="630"/>
              </w:tabs>
              <w:spacing w:line="440" w:lineRule="exact"/>
              <w:jc w:val="center"/>
              <w:rPr>
                <w:rFonts w:hint="eastAsia" w:ascii="宋体" w:hAnsi="宋体"/>
                <w:sz w:val="24"/>
                <w:szCs w:val="24"/>
              </w:rPr>
            </w:pPr>
          </w:p>
        </w:tc>
        <w:tc>
          <w:tcPr>
            <w:tcW w:w="1331" w:type="dxa"/>
            <w:noWrap w:val="0"/>
            <w:vAlign w:val="top"/>
          </w:tcPr>
          <w:p>
            <w:pPr>
              <w:tabs>
                <w:tab w:val="left" w:pos="630"/>
              </w:tabs>
              <w:spacing w:line="440" w:lineRule="exact"/>
              <w:jc w:val="center"/>
              <w:rPr>
                <w:rFonts w:hint="eastAsia" w:ascii="宋体" w:hAnsi="宋体"/>
                <w:sz w:val="24"/>
                <w:szCs w:val="24"/>
              </w:rPr>
            </w:pPr>
          </w:p>
        </w:tc>
        <w:tc>
          <w:tcPr>
            <w:tcW w:w="4846" w:type="dxa"/>
            <w:noWrap w:val="0"/>
            <w:vAlign w:val="top"/>
          </w:tcPr>
          <w:p>
            <w:pPr>
              <w:tabs>
                <w:tab w:val="left" w:pos="630"/>
              </w:tabs>
              <w:spacing w:line="44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top"/>
          </w:tcPr>
          <w:p>
            <w:pPr>
              <w:tabs>
                <w:tab w:val="left" w:pos="630"/>
              </w:tabs>
              <w:spacing w:line="440" w:lineRule="exact"/>
              <w:jc w:val="center"/>
              <w:rPr>
                <w:rFonts w:hint="default" w:ascii="宋体" w:hAnsi="宋体"/>
                <w:sz w:val="24"/>
                <w:szCs w:val="24"/>
                <w:lang w:val="en-US" w:eastAsia="zh-CN"/>
              </w:rPr>
            </w:pPr>
            <w:r>
              <w:rPr>
                <w:rFonts w:hint="eastAsia" w:ascii="宋体" w:hAnsi="宋体"/>
                <w:sz w:val="24"/>
                <w:szCs w:val="24"/>
                <w:lang w:val="en-US" w:eastAsia="zh-CN"/>
              </w:rPr>
              <w:t>4</w:t>
            </w:r>
          </w:p>
        </w:tc>
        <w:tc>
          <w:tcPr>
            <w:tcW w:w="1924" w:type="dxa"/>
            <w:noWrap w:val="0"/>
            <w:vAlign w:val="top"/>
          </w:tcPr>
          <w:p>
            <w:pPr>
              <w:tabs>
                <w:tab w:val="left" w:pos="630"/>
              </w:tabs>
              <w:spacing w:line="440" w:lineRule="exact"/>
              <w:jc w:val="center"/>
              <w:rPr>
                <w:rFonts w:hint="eastAsia" w:ascii="宋体" w:hAnsi="宋体"/>
                <w:sz w:val="24"/>
                <w:szCs w:val="24"/>
              </w:rPr>
            </w:pPr>
          </w:p>
        </w:tc>
        <w:tc>
          <w:tcPr>
            <w:tcW w:w="1331" w:type="dxa"/>
            <w:noWrap w:val="0"/>
            <w:vAlign w:val="top"/>
          </w:tcPr>
          <w:p>
            <w:pPr>
              <w:tabs>
                <w:tab w:val="left" w:pos="630"/>
              </w:tabs>
              <w:spacing w:line="440" w:lineRule="exact"/>
              <w:jc w:val="center"/>
              <w:rPr>
                <w:rFonts w:hint="eastAsia" w:ascii="宋体" w:hAnsi="宋体"/>
                <w:sz w:val="24"/>
                <w:szCs w:val="24"/>
              </w:rPr>
            </w:pPr>
          </w:p>
        </w:tc>
        <w:tc>
          <w:tcPr>
            <w:tcW w:w="4846" w:type="dxa"/>
            <w:noWrap w:val="0"/>
            <w:vAlign w:val="top"/>
          </w:tcPr>
          <w:p>
            <w:pPr>
              <w:tabs>
                <w:tab w:val="left" w:pos="630"/>
              </w:tabs>
              <w:spacing w:line="440" w:lineRule="exact"/>
              <w:jc w:val="center"/>
              <w:rPr>
                <w:rFonts w:hint="eastAsia" w:ascii="宋体" w:hAnsi="宋体"/>
                <w:sz w:val="24"/>
                <w:szCs w:val="24"/>
              </w:rPr>
            </w:pPr>
          </w:p>
        </w:tc>
      </w:tr>
    </w:tbl>
    <w:p>
      <w:pPr>
        <w:tabs>
          <w:tab w:val="left" w:pos="630"/>
        </w:tabs>
        <w:spacing w:line="440" w:lineRule="exact"/>
        <w:rPr>
          <w:rFonts w:hint="eastAsia" w:ascii="宋体" w:hAnsi="宋体"/>
          <w:sz w:val="24"/>
          <w:szCs w:val="24"/>
        </w:rPr>
      </w:pPr>
    </w:p>
    <w:p>
      <w:pPr>
        <w:tabs>
          <w:tab w:val="left" w:pos="630"/>
        </w:tabs>
        <w:spacing w:line="440" w:lineRule="exact"/>
        <w:rPr>
          <w:rFonts w:hint="eastAsia" w:ascii="宋体" w:hAnsi="宋体"/>
          <w:sz w:val="24"/>
          <w:szCs w:val="24"/>
        </w:rPr>
      </w:pPr>
      <w:r>
        <w:rPr>
          <w:rFonts w:hint="eastAsia" w:ascii="宋体" w:hAnsi="宋体"/>
          <w:sz w:val="24"/>
          <w:szCs w:val="24"/>
        </w:rPr>
        <w:t>（可自行扩展）</w:t>
      </w:r>
    </w:p>
    <w:p>
      <w:pPr>
        <w:tabs>
          <w:tab w:val="left" w:pos="630"/>
        </w:tabs>
        <w:spacing w:line="440" w:lineRule="exact"/>
        <w:rPr>
          <w:rFonts w:ascii="宋体" w:hAnsi="宋体"/>
          <w:sz w:val="24"/>
          <w:szCs w:val="24"/>
        </w:rPr>
      </w:pPr>
      <w:r>
        <w:rPr>
          <w:rFonts w:ascii="宋体" w:hAnsi="宋体"/>
          <w:sz w:val="24"/>
          <w:szCs w:val="24"/>
        </w:rPr>
        <w:t>一旦我单位</w:t>
      </w:r>
      <w:r>
        <w:rPr>
          <w:rFonts w:hint="eastAsia" w:ascii="宋体" w:hAnsi="宋体"/>
          <w:sz w:val="24"/>
          <w:szCs w:val="24"/>
        </w:rPr>
        <w:t>成交</w:t>
      </w:r>
      <w:r>
        <w:rPr>
          <w:rFonts w:ascii="宋体" w:hAnsi="宋体"/>
          <w:sz w:val="24"/>
          <w:szCs w:val="24"/>
        </w:rPr>
        <w:t>，我方保证并配备上述</w:t>
      </w:r>
      <w:r>
        <w:rPr>
          <w:rFonts w:hint="eastAsia" w:ascii="宋体" w:hAnsi="宋体"/>
          <w:sz w:val="24"/>
          <w:szCs w:val="24"/>
        </w:rPr>
        <w:t>服务</w:t>
      </w:r>
      <w:r>
        <w:rPr>
          <w:rFonts w:ascii="宋体" w:hAnsi="宋体"/>
          <w:sz w:val="24"/>
          <w:szCs w:val="24"/>
        </w:rPr>
        <w:t>机构，上述填报内容真实，若不真实，愿按有关规定处理。</w:t>
      </w:r>
    </w:p>
    <w:p>
      <w:pPr>
        <w:tabs>
          <w:tab w:val="left" w:pos="630"/>
        </w:tabs>
        <w:spacing w:line="440" w:lineRule="exact"/>
        <w:rPr>
          <w:rFonts w:ascii="宋体" w:hAnsi="宋体"/>
          <w:sz w:val="24"/>
          <w:szCs w:val="24"/>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eastAsia="宋体" w:cs="宋体"/>
          <w:b/>
          <w:bCs/>
          <w:sz w:val="24"/>
          <w:szCs w:val="24"/>
          <w:lang w:eastAsia="zh-CN"/>
        </w:rPr>
      </w:pPr>
    </w:p>
    <w:p>
      <w:pPr>
        <w:numPr>
          <w:ilvl w:val="0"/>
          <w:numId w:val="0"/>
        </w:numPr>
        <w:jc w:val="left"/>
        <w:rPr>
          <w:rFonts w:hint="default" w:ascii="宋体" w:hAnsi="宋体" w:eastAsia="宋体" w:cs="宋体"/>
          <w:b/>
          <w:bCs/>
          <w:sz w:val="24"/>
          <w:szCs w:val="24"/>
          <w:lang w:val="en-US" w:eastAsia="zh-CN"/>
        </w:rPr>
      </w:pPr>
      <w:r>
        <w:rPr>
          <w:rFonts w:hint="eastAsia" w:ascii="宋体" w:hAnsi="宋体" w:eastAsia="宋体" w:cs="宋体"/>
          <w:b/>
          <w:bCs/>
          <w:sz w:val="24"/>
          <w:szCs w:val="24"/>
        </w:rPr>
        <w:t>附件</w:t>
      </w:r>
      <w:r>
        <w:rPr>
          <w:rFonts w:hint="eastAsia" w:ascii="宋体" w:hAnsi="宋体" w:eastAsia="宋体" w:cs="宋体"/>
          <w:b/>
          <w:bCs/>
          <w:sz w:val="24"/>
          <w:szCs w:val="24"/>
          <w:lang w:eastAsia="zh-CN"/>
        </w:rPr>
        <w:t>七</w:t>
      </w:r>
    </w:p>
    <w:p/>
    <w:p>
      <w:pPr>
        <w:pStyle w:val="3"/>
        <w:spacing w:before="0" w:after="156" w:afterLines="50" w:line="560" w:lineRule="exact"/>
        <w:jc w:val="center"/>
        <w:rPr>
          <w:rFonts w:ascii="宋体" w:hAnsi="宋体" w:eastAsia="宋体" w:cs="宋体"/>
          <w:sz w:val="24"/>
          <w:szCs w:val="24"/>
        </w:rPr>
      </w:pPr>
      <w:bookmarkStart w:id="158" w:name="_Toc29263"/>
      <w:bookmarkStart w:id="159" w:name="_Toc28665"/>
      <w:bookmarkStart w:id="160" w:name="_Toc6278"/>
      <w:bookmarkStart w:id="161" w:name="_Toc417045478"/>
      <w:r>
        <w:rPr>
          <w:rFonts w:hint="eastAsia" w:ascii="宋体" w:hAnsi="宋体" w:eastAsia="宋体" w:cs="宋体"/>
          <w:sz w:val="24"/>
          <w:szCs w:val="24"/>
        </w:rPr>
        <w:t>磋商响应函</w:t>
      </w:r>
      <w:bookmarkEnd w:id="158"/>
      <w:bookmarkEnd w:id="159"/>
      <w:bookmarkEnd w:id="160"/>
    </w:p>
    <w:p>
      <w:pPr>
        <w:spacing w:line="360" w:lineRule="auto"/>
        <w:rPr>
          <w:rFonts w:ascii="宋体" w:hAnsi="宋体" w:cs="宋体"/>
          <w:sz w:val="24"/>
          <w:szCs w:val="24"/>
        </w:rPr>
      </w:pPr>
      <w:r>
        <w:rPr>
          <w:rFonts w:hint="eastAsia" w:ascii="宋体" w:hAnsi="宋体" w:cs="宋体"/>
          <w:sz w:val="24"/>
          <w:szCs w:val="24"/>
        </w:rPr>
        <w:t>致：XXX（代理机构名称）</w:t>
      </w:r>
    </w:p>
    <w:p>
      <w:pPr>
        <w:spacing w:line="360" w:lineRule="auto"/>
        <w:ind w:firstLine="480" w:firstLineChars="200"/>
        <w:rPr>
          <w:rFonts w:ascii="宋体" w:hAnsi="宋体" w:cs="宋体"/>
          <w:sz w:val="24"/>
          <w:szCs w:val="24"/>
        </w:rPr>
      </w:pPr>
      <w:r>
        <w:rPr>
          <w:rFonts w:hint="eastAsia" w:ascii="宋体" w:hAnsi="宋体" w:cs="宋体"/>
          <w:sz w:val="24"/>
          <w:szCs w:val="24"/>
        </w:rPr>
        <w:t>1、根据项目编号：</w:t>
      </w:r>
      <w:r>
        <w:rPr>
          <w:rFonts w:hint="eastAsia" w:ascii="宋体" w:hAnsi="宋体" w:cs="宋体"/>
          <w:sz w:val="24"/>
          <w:szCs w:val="24"/>
          <w:u w:val="single"/>
        </w:rPr>
        <w:t xml:space="preserve">       </w:t>
      </w:r>
      <w:r>
        <w:rPr>
          <w:rFonts w:hint="eastAsia" w:ascii="宋体" w:hAnsi="宋体" w:cs="宋体"/>
          <w:sz w:val="24"/>
          <w:szCs w:val="24"/>
        </w:rPr>
        <w:t>号磋商公告的内容，我方决定参加贵方组织的“</w:t>
      </w:r>
      <w:r>
        <w:rPr>
          <w:rFonts w:hint="eastAsia" w:ascii="宋体" w:hAnsi="宋体" w:cs="宋体"/>
          <w:sz w:val="24"/>
          <w:szCs w:val="24"/>
          <w:u w:val="single"/>
        </w:rPr>
        <w:t xml:space="preserve">                 </w:t>
      </w:r>
      <w:r>
        <w:rPr>
          <w:rFonts w:hint="eastAsia" w:ascii="宋体" w:hAnsi="宋体" w:cs="宋体"/>
          <w:sz w:val="24"/>
          <w:szCs w:val="24"/>
        </w:rPr>
        <w:t>”项目的竞争性磋商采购。我方授权</w:t>
      </w:r>
      <w:r>
        <w:rPr>
          <w:rFonts w:hint="eastAsia" w:ascii="宋体" w:hAnsi="宋体" w:cs="宋体"/>
          <w:sz w:val="24"/>
          <w:szCs w:val="24"/>
          <w:u w:val="single"/>
        </w:rPr>
        <w:t xml:space="preserve">         </w:t>
      </w:r>
      <w:r>
        <w:rPr>
          <w:rFonts w:hint="eastAsia" w:ascii="宋体" w:hAnsi="宋体" w:cs="宋体"/>
          <w:sz w:val="24"/>
          <w:szCs w:val="24"/>
        </w:rPr>
        <w:t>(姓名)代表我方</w:t>
      </w:r>
      <w:r>
        <w:rPr>
          <w:rFonts w:hint="eastAsia" w:ascii="宋体" w:hAnsi="宋体" w:cs="宋体"/>
          <w:sz w:val="24"/>
          <w:szCs w:val="24"/>
          <w:u w:val="single"/>
        </w:rPr>
        <w:t xml:space="preserve">           </w:t>
      </w:r>
      <w:r>
        <w:rPr>
          <w:rFonts w:hint="eastAsia" w:ascii="宋体" w:hAnsi="宋体" w:cs="宋体"/>
          <w:sz w:val="24"/>
          <w:szCs w:val="24"/>
        </w:rPr>
        <w:t>（磋商单位的名称）全权处理本项目磋商的有关事宜。</w:t>
      </w:r>
    </w:p>
    <w:p>
      <w:pPr>
        <w:spacing w:line="360" w:lineRule="auto"/>
        <w:ind w:firstLine="480" w:firstLineChars="200"/>
        <w:rPr>
          <w:rFonts w:ascii="宋体" w:hAnsi="宋体" w:cs="宋体"/>
          <w:sz w:val="24"/>
          <w:szCs w:val="24"/>
        </w:rPr>
      </w:pPr>
      <w:r>
        <w:rPr>
          <w:rFonts w:hint="eastAsia" w:ascii="宋体" w:hAnsi="宋体" w:cs="宋体"/>
          <w:sz w:val="24"/>
          <w:szCs w:val="24"/>
        </w:rPr>
        <w:t>2、我方愿意按照磋商文件规定的各项要求，向采购人提供所需的服务。</w:t>
      </w:r>
    </w:p>
    <w:p>
      <w:pPr>
        <w:spacing w:line="360" w:lineRule="auto"/>
        <w:ind w:firstLine="480" w:firstLineChars="200"/>
        <w:rPr>
          <w:rFonts w:ascii="宋体" w:hAnsi="宋体" w:cs="宋体"/>
          <w:sz w:val="24"/>
          <w:szCs w:val="24"/>
        </w:rPr>
      </w:pPr>
      <w:r>
        <w:rPr>
          <w:rFonts w:hint="eastAsia" w:ascii="宋体" w:hAnsi="宋体" w:cs="宋体"/>
          <w:sz w:val="24"/>
          <w:szCs w:val="24"/>
        </w:rPr>
        <w:t>3、一旦我方成交，我方将严格履行合同规定的责任和义务，保证于采购人要求的日期内完成项目的全部内容，并交付采购人验收、使用。</w:t>
      </w:r>
    </w:p>
    <w:p>
      <w:pPr>
        <w:spacing w:line="360" w:lineRule="auto"/>
        <w:ind w:firstLine="480" w:firstLineChars="200"/>
        <w:rPr>
          <w:rFonts w:ascii="宋体" w:hAnsi="宋体" w:cs="宋体"/>
          <w:sz w:val="24"/>
          <w:szCs w:val="24"/>
        </w:rPr>
      </w:pPr>
      <w:r>
        <w:rPr>
          <w:rFonts w:hint="eastAsia" w:ascii="宋体" w:hAnsi="宋体" w:cs="宋体"/>
          <w:sz w:val="24"/>
          <w:szCs w:val="24"/>
        </w:rPr>
        <w:t>4、如我公司成交，我公司承诺愿意按磋商文件规定缴纳履约保证金。</w:t>
      </w:r>
    </w:p>
    <w:p>
      <w:pPr>
        <w:tabs>
          <w:tab w:val="left" w:pos="840"/>
        </w:tabs>
        <w:spacing w:line="360" w:lineRule="auto"/>
        <w:ind w:firstLine="480" w:firstLineChars="200"/>
        <w:rPr>
          <w:rFonts w:ascii="宋体" w:hAnsi="宋体" w:cs="宋体"/>
          <w:sz w:val="24"/>
          <w:szCs w:val="24"/>
        </w:rPr>
      </w:pPr>
      <w:r>
        <w:rPr>
          <w:rFonts w:hint="eastAsia" w:ascii="宋体" w:hAnsi="宋体" w:cs="宋体"/>
          <w:sz w:val="24"/>
          <w:szCs w:val="24"/>
        </w:rPr>
        <w:t>5、我方愿意提供贵方可能另外要求的、与磋商有关的文件资料，并保证我方已提供和将要提供的文件是真实的、准确的。</w:t>
      </w:r>
    </w:p>
    <w:p>
      <w:pPr>
        <w:tabs>
          <w:tab w:val="left" w:pos="0"/>
          <w:tab w:val="left" w:pos="840"/>
        </w:tabs>
        <w:spacing w:line="360" w:lineRule="auto"/>
        <w:ind w:firstLine="480" w:firstLineChars="200"/>
        <w:rPr>
          <w:rFonts w:ascii="宋体" w:hAnsi="宋体" w:cs="宋体"/>
          <w:sz w:val="24"/>
          <w:szCs w:val="24"/>
        </w:rPr>
      </w:pPr>
      <w:r>
        <w:rPr>
          <w:rFonts w:hint="eastAsia" w:ascii="宋体" w:hAnsi="宋体" w:cs="宋体"/>
          <w:sz w:val="24"/>
          <w:szCs w:val="24"/>
        </w:rPr>
        <w:t>6、我方完全理解贵方不一定将合同授予最低报价的供应商。</w:t>
      </w:r>
    </w:p>
    <w:p>
      <w:pPr>
        <w:tabs>
          <w:tab w:val="left" w:pos="0"/>
          <w:tab w:val="left" w:pos="840"/>
        </w:tabs>
        <w:spacing w:line="360" w:lineRule="auto"/>
        <w:jc w:val="left"/>
        <w:rPr>
          <w:rFonts w:ascii="宋体" w:hAnsi="宋体" w:cs="宋体"/>
          <w:sz w:val="24"/>
          <w:szCs w:val="24"/>
        </w:rPr>
      </w:pPr>
    </w:p>
    <w:p>
      <w:pPr>
        <w:tabs>
          <w:tab w:val="left" w:pos="0"/>
          <w:tab w:val="left" w:pos="840"/>
        </w:tabs>
        <w:rPr>
          <w:rFonts w:ascii="宋体" w:hAnsi="宋体" w:cs="宋体"/>
          <w:sz w:val="24"/>
          <w:szCs w:val="24"/>
        </w:rPr>
      </w:pPr>
    </w:p>
    <w:p>
      <w:pPr>
        <w:tabs>
          <w:tab w:val="left" w:pos="0"/>
          <w:tab w:val="left" w:pos="840"/>
        </w:tabs>
        <w:rPr>
          <w:rFonts w:ascii="宋体" w:hAnsi="宋体" w:cs="宋体"/>
          <w:sz w:val="24"/>
          <w:szCs w:val="24"/>
        </w:rPr>
      </w:pPr>
    </w:p>
    <w:p>
      <w:pPr>
        <w:tabs>
          <w:tab w:val="left" w:pos="0"/>
          <w:tab w:val="left" w:pos="840"/>
        </w:tabs>
        <w:rPr>
          <w:rFonts w:ascii="宋体" w:hAnsi="宋体" w:cs="宋体"/>
          <w:sz w:val="24"/>
          <w:szCs w:val="24"/>
        </w:rPr>
      </w:pPr>
    </w:p>
    <w:p>
      <w:pPr>
        <w:tabs>
          <w:tab w:val="left" w:pos="0"/>
          <w:tab w:val="left" w:pos="840"/>
        </w:tabs>
        <w:rPr>
          <w:rFonts w:ascii="宋体" w:hAnsi="宋体" w:cs="宋体"/>
          <w:sz w:val="24"/>
          <w:szCs w:val="24"/>
        </w:rPr>
      </w:pPr>
    </w:p>
    <w:p>
      <w:pPr>
        <w:spacing w:line="360" w:lineRule="auto"/>
        <w:ind w:firstLine="4228" w:firstLineChars="1762"/>
        <w:rPr>
          <w:rFonts w:ascii="宋体" w:hAnsi="宋体" w:cs="宋体"/>
          <w:b w:val="0"/>
          <w:bCs w:val="0"/>
          <w:sz w:val="24"/>
          <w:szCs w:val="24"/>
          <w:u w:val="single"/>
        </w:rPr>
      </w:pPr>
      <w:r>
        <w:rPr>
          <w:rFonts w:hint="eastAsia" w:ascii="宋体" w:hAnsi="宋体" w:cs="宋体"/>
          <w:b w:val="0"/>
          <w:bCs w:val="0"/>
          <w:sz w:val="24"/>
          <w:szCs w:val="24"/>
        </w:rPr>
        <w:t>供应商盖章：</w:t>
      </w:r>
    </w:p>
    <w:p>
      <w:pPr>
        <w:tabs>
          <w:tab w:val="left" w:pos="630"/>
        </w:tabs>
        <w:spacing w:line="360" w:lineRule="auto"/>
        <w:ind w:firstLine="4228" w:firstLineChars="1762"/>
        <w:rPr>
          <w:rFonts w:ascii="宋体" w:hAnsi="宋体" w:cs="宋体"/>
          <w:b w:val="0"/>
          <w:bCs w:val="0"/>
          <w:sz w:val="24"/>
          <w:szCs w:val="24"/>
        </w:rPr>
      </w:pPr>
      <w:r>
        <w:rPr>
          <w:rFonts w:hint="eastAsia" w:ascii="宋体" w:hAnsi="宋体" w:cs="宋体"/>
          <w:b w:val="0"/>
          <w:bCs w:val="0"/>
          <w:sz w:val="24"/>
          <w:szCs w:val="24"/>
        </w:rPr>
        <w:t>日期：</w:t>
      </w:r>
    </w:p>
    <w:p>
      <w:pPr>
        <w:pStyle w:val="3"/>
        <w:spacing w:before="0" w:after="0" w:line="560" w:lineRule="exact"/>
        <w:rPr>
          <w:rFonts w:hint="eastAsia" w:ascii="宋体" w:hAnsi="宋体" w:eastAsia="宋体" w:cs="宋体"/>
          <w:sz w:val="24"/>
          <w:szCs w:val="24"/>
          <w:lang w:eastAsia="zh-CN"/>
        </w:rPr>
      </w:pPr>
      <w:r>
        <w:rPr>
          <w:rFonts w:hint="eastAsia" w:ascii="宋体" w:hAnsi="宋体" w:eastAsia="宋体" w:cs="宋体"/>
          <w:sz w:val="24"/>
          <w:szCs w:val="24"/>
        </w:rPr>
        <w:br w:type="page"/>
      </w:r>
      <w:bookmarkStart w:id="162" w:name="_Toc21593"/>
      <w:bookmarkStart w:id="163" w:name="_Toc30354"/>
      <w:bookmarkStart w:id="164" w:name="_Toc16627"/>
      <w:r>
        <w:rPr>
          <w:rFonts w:hint="eastAsia" w:ascii="宋体" w:hAnsi="宋体" w:eastAsia="宋体" w:cs="宋体"/>
          <w:sz w:val="24"/>
          <w:szCs w:val="24"/>
        </w:rPr>
        <w:t>附件</w:t>
      </w:r>
      <w:bookmarkEnd w:id="161"/>
      <w:bookmarkEnd w:id="162"/>
      <w:bookmarkEnd w:id="163"/>
      <w:bookmarkEnd w:id="164"/>
      <w:r>
        <w:rPr>
          <w:rFonts w:hint="eastAsia" w:ascii="宋体" w:hAnsi="宋体" w:eastAsia="宋体" w:cs="宋体"/>
          <w:sz w:val="24"/>
          <w:szCs w:val="24"/>
          <w:lang w:eastAsia="zh-CN"/>
        </w:rPr>
        <w:t>八</w:t>
      </w:r>
    </w:p>
    <w:p>
      <w:pPr>
        <w:pStyle w:val="34"/>
        <w:ind w:firstLine="281"/>
        <w:rPr>
          <w:b/>
          <w:sz w:val="28"/>
          <w:szCs w:val="28"/>
        </w:rPr>
      </w:pPr>
      <w:bookmarkStart w:id="165" w:name="_Toc26881"/>
      <w:bookmarkStart w:id="166" w:name="_Toc26949"/>
      <w:bookmarkStart w:id="167" w:name="_Toc10256"/>
    </w:p>
    <w:p>
      <w:pPr>
        <w:pStyle w:val="34"/>
        <w:ind w:firstLine="2891" w:firstLineChars="1200"/>
        <w:rPr>
          <w:rFonts w:ascii="宋体" w:hAnsi="宋体" w:cs="宋体"/>
          <w:b/>
          <w:szCs w:val="24"/>
          <w:lang w:val="zh-CN"/>
        </w:rPr>
      </w:pPr>
      <w:bookmarkStart w:id="168" w:name="_Hlk77793942"/>
      <w:r>
        <w:rPr>
          <w:rFonts w:hint="eastAsia" w:ascii="宋体" w:hAnsi="宋体" w:cs="宋体"/>
          <w:b/>
          <w:szCs w:val="24"/>
          <w:lang w:val="zh-CN"/>
        </w:rPr>
        <w:t>无重大违法记录声明函</w:t>
      </w:r>
    </w:p>
    <w:p>
      <w:pPr>
        <w:pStyle w:val="34"/>
        <w:ind w:firstLine="480" w:firstLineChars="200"/>
        <w:rPr>
          <w:rFonts w:ascii="宋体" w:hAnsi="宋体"/>
          <w:szCs w:val="24"/>
        </w:rPr>
      </w:pPr>
      <w:bookmarkStart w:id="169"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pPr>
        <w:spacing w:line="360" w:lineRule="auto"/>
        <w:ind w:firstLine="435"/>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cs="宋体"/>
          <w:sz w:val="24"/>
          <w:szCs w:val="24"/>
        </w:rPr>
        <w:t>盖章</w:t>
      </w:r>
      <w:r>
        <w:rPr>
          <w:rFonts w:hint="eastAsia" w:ascii="宋体" w:hAnsi="宋体"/>
          <w:bCs/>
          <w:sz w:val="24"/>
          <w:szCs w:val="24"/>
        </w:rPr>
        <w:t>：</w:t>
      </w:r>
    </w:p>
    <w:p>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169"/>
    <w:p>
      <w:pPr>
        <w:pStyle w:val="34"/>
        <w:ind w:firstLine="210"/>
      </w:pPr>
    </w:p>
    <w:p>
      <w:pPr>
        <w:pStyle w:val="34"/>
        <w:ind w:firstLine="210"/>
      </w:pPr>
    </w:p>
    <w:p>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pPr>
        <w:spacing w:line="360" w:lineRule="auto"/>
        <w:ind w:firstLine="435"/>
        <w:rPr>
          <w:rFonts w:ascii="宋体" w:hAnsi="宋体"/>
          <w:sz w:val="24"/>
          <w:szCs w:val="24"/>
        </w:rPr>
      </w:pPr>
      <w:bookmarkStart w:id="170" w:name="_Hlk77794010"/>
      <w:r>
        <w:rPr>
          <w:rFonts w:hint="eastAsia" w:ascii="宋体" w:hAnsi="宋体"/>
          <w:sz w:val="24"/>
          <w:szCs w:val="24"/>
        </w:rPr>
        <w:t>本公司郑重承诺，我公司无以下不良信用记录情形：</w:t>
      </w:r>
    </w:p>
    <w:p>
      <w:pPr>
        <w:spacing w:line="360" w:lineRule="auto"/>
        <w:ind w:firstLine="435"/>
        <w:rPr>
          <w:rFonts w:ascii="宋体" w:hAnsi="宋体"/>
          <w:sz w:val="24"/>
          <w:szCs w:val="24"/>
        </w:rPr>
      </w:pPr>
      <w:r>
        <w:rPr>
          <w:rFonts w:hint="eastAsia" w:ascii="宋体" w:hAnsi="宋体"/>
          <w:sz w:val="24"/>
          <w:szCs w:val="24"/>
        </w:rPr>
        <w:t>1、公司被人民法院列入失信被执行人；</w:t>
      </w:r>
    </w:p>
    <w:p>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w:t>
      </w:r>
      <w:r>
        <w:rPr>
          <w:rFonts w:hint="eastAsia" w:ascii="宋体" w:hAnsi="宋体"/>
          <w:sz w:val="24"/>
          <w:szCs w:val="24"/>
          <w:lang w:eastAsia="zh-CN"/>
        </w:rPr>
        <w:t>严重违法失信企业</w:t>
      </w:r>
      <w:r>
        <w:rPr>
          <w:rFonts w:hint="eastAsia" w:ascii="宋体" w:hAnsi="宋体"/>
          <w:sz w:val="24"/>
          <w:szCs w:val="24"/>
        </w:rPr>
        <w:t>名录；</w:t>
      </w:r>
    </w:p>
    <w:p>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cs="宋体"/>
          <w:sz w:val="24"/>
          <w:szCs w:val="24"/>
        </w:rPr>
        <w:t>供应商盖章</w:t>
      </w:r>
      <w:r>
        <w:rPr>
          <w:rFonts w:hint="eastAsia" w:ascii="宋体" w:hAnsi="宋体"/>
          <w:bCs/>
          <w:sz w:val="24"/>
          <w:szCs w:val="24"/>
        </w:rPr>
        <w:t>：</w:t>
      </w:r>
    </w:p>
    <w:p>
      <w:pPr>
        <w:tabs>
          <w:tab w:val="left" w:pos="630"/>
        </w:tabs>
        <w:spacing w:line="360" w:lineRule="auto"/>
        <w:ind w:firstLine="5428" w:firstLineChars="2262"/>
        <w:rPr>
          <w:rFonts w:hint="eastAsia" w:ascii="宋体" w:hAnsi="宋体" w:eastAsia="宋体"/>
          <w:bCs/>
          <w:sz w:val="24"/>
          <w:szCs w:val="24"/>
          <w:u w:val="single"/>
          <w:lang w:eastAsia="zh-CN"/>
        </w:rPr>
      </w:pPr>
      <w:r>
        <w:rPr>
          <w:rFonts w:hint="eastAsia" w:ascii="宋体" w:hAnsi="宋体"/>
          <w:bCs/>
          <w:sz w:val="24"/>
          <w:szCs w:val="24"/>
        </w:rPr>
        <w:t>日期：</w:t>
      </w:r>
      <w:bookmarkEnd w:id="165"/>
      <w:bookmarkEnd w:id="166"/>
      <w:bookmarkEnd w:id="167"/>
      <w:bookmarkEnd w:id="168"/>
      <w:bookmarkEnd w:id="170"/>
      <w:bookmarkStart w:id="171" w:name="_Toc363199274"/>
      <w:r>
        <w:rPr>
          <w:rFonts w:hint="eastAsia" w:ascii="宋体" w:hAnsi="宋体" w:cs="宋体"/>
          <w:sz w:val="24"/>
          <w:szCs w:val="24"/>
        </w:rPr>
        <w:br w:type="page"/>
      </w:r>
      <w:bookmarkStart w:id="172" w:name="_Toc17797"/>
      <w:bookmarkStart w:id="173" w:name="_Toc18709"/>
      <w:bookmarkStart w:id="174" w:name="_Toc20743"/>
      <w:r>
        <w:rPr>
          <w:rFonts w:hint="eastAsia" w:ascii="宋体" w:hAnsi="宋体" w:cs="宋体"/>
          <w:b/>
          <w:bCs/>
          <w:sz w:val="24"/>
          <w:szCs w:val="24"/>
        </w:rPr>
        <w:t>附件</w:t>
      </w:r>
      <w:bookmarkEnd w:id="171"/>
      <w:bookmarkEnd w:id="172"/>
      <w:bookmarkEnd w:id="173"/>
      <w:bookmarkEnd w:id="174"/>
      <w:r>
        <w:rPr>
          <w:rFonts w:hint="eastAsia" w:ascii="宋体" w:hAnsi="宋体" w:cs="宋体"/>
          <w:b/>
          <w:bCs/>
          <w:sz w:val="24"/>
          <w:szCs w:val="24"/>
          <w:lang w:eastAsia="zh-CN"/>
        </w:rPr>
        <w:t>九</w:t>
      </w:r>
    </w:p>
    <w:p>
      <w:pPr>
        <w:pStyle w:val="3"/>
        <w:spacing w:before="0" w:after="0" w:line="560" w:lineRule="exact"/>
        <w:jc w:val="center"/>
        <w:rPr>
          <w:rFonts w:ascii="宋体" w:hAnsi="宋体" w:eastAsia="宋体" w:cs="宋体"/>
          <w:sz w:val="24"/>
          <w:szCs w:val="24"/>
          <w:lang w:val="zh-CN"/>
        </w:rPr>
      </w:pPr>
      <w:bookmarkStart w:id="175" w:name="_Toc30075"/>
      <w:bookmarkStart w:id="176" w:name="_Toc25238"/>
      <w:bookmarkStart w:id="177" w:name="_Toc18402"/>
      <w:r>
        <w:rPr>
          <w:rFonts w:hint="eastAsia" w:ascii="宋体" w:hAnsi="宋体" w:eastAsia="宋体" w:cs="宋体"/>
          <w:sz w:val="24"/>
          <w:szCs w:val="24"/>
          <w:lang w:val="zh-CN"/>
        </w:rPr>
        <w:t>响应情况表</w:t>
      </w:r>
      <w:bookmarkEnd w:id="175"/>
      <w:bookmarkEnd w:id="176"/>
      <w:bookmarkEnd w:id="177"/>
    </w:p>
    <w:p>
      <w:pPr>
        <w:jc w:val="center"/>
        <w:rPr>
          <w:rFonts w:ascii="宋体" w:hAnsi="宋体" w:cs="宋体"/>
          <w:bCs/>
          <w:sz w:val="24"/>
          <w:szCs w:val="24"/>
          <w:lang w:val="zh-CN"/>
        </w:rPr>
      </w:pPr>
    </w:p>
    <w:tbl>
      <w:tblPr>
        <w:tblStyle w:val="36"/>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pPr>
              <w:jc w:val="center"/>
              <w:rPr>
                <w:rFonts w:ascii="宋体" w:hAnsi="宋体" w:cs="宋体"/>
                <w:b/>
                <w:sz w:val="24"/>
                <w:szCs w:val="21"/>
              </w:rPr>
            </w:pPr>
            <w:bookmarkStart w:id="178" w:name="_Toc471299110"/>
            <w:r>
              <w:rPr>
                <w:rFonts w:hint="eastAsia" w:ascii="宋体" w:hAnsi="宋体" w:cs="宋体"/>
                <w:b/>
                <w:sz w:val="24"/>
                <w:szCs w:val="21"/>
              </w:rPr>
              <w:t>按磋商文件规定填写</w:t>
            </w:r>
          </w:p>
        </w:tc>
        <w:tc>
          <w:tcPr>
            <w:tcW w:w="4200" w:type="dxa"/>
            <w:gridSpan w:val="2"/>
            <w:vAlign w:val="center"/>
          </w:tcPr>
          <w:p>
            <w:pPr>
              <w:jc w:val="center"/>
              <w:rPr>
                <w:rFonts w:ascii="宋体" w:hAnsi="宋体" w:cs="宋体"/>
                <w:b/>
                <w:sz w:val="24"/>
                <w:szCs w:val="21"/>
              </w:rPr>
            </w:pPr>
            <w:r>
              <w:rPr>
                <w:rFonts w:hint="eastAsia" w:ascii="宋体" w:hAnsi="宋体" w:cs="宋体"/>
                <w:b/>
                <w:sz w:val="24"/>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pPr>
              <w:jc w:val="center"/>
              <w:rPr>
                <w:rFonts w:ascii="宋体" w:hAnsi="宋体" w:cs="宋体"/>
                <w:b/>
                <w:sz w:val="24"/>
                <w:szCs w:val="21"/>
              </w:rPr>
            </w:pPr>
            <w:r>
              <w:rPr>
                <w:rFonts w:hint="eastAsia" w:ascii="宋体" w:hAnsi="宋体" w:cs="宋体"/>
                <w:b/>
                <w:sz w:val="24"/>
                <w:szCs w:val="21"/>
              </w:rPr>
              <w:t>序号</w:t>
            </w:r>
          </w:p>
        </w:tc>
        <w:tc>
          <w:tcPr>
            <w:tcW w:w="1794" w:type="dxa"/>
            <w:vAlign w:val="center"/>
          </w:tcPr>
          <w:p>
            <w:pPr>
              <w:jc w:val="center"/>
              <w:rPr>
                <w:rFonts w:ascii="宋体" w:hAnsi="宋体" w:cs="宋体"/>
                <w:b/>
                <w:sz w:val="24"/>
                <w:szCs w:val="21"/>
              </w:rPr>
            </w:pPr>
            <w:r>
              <w:rPr>
                <w:rFonts w:hint="eastAsia" w:ascii="宋体" w:hAnsi="宋体" w:cs="宋体"/>
                <w:b/>
                <w:sz w:val="24"/>
                <w:szCs w:val="21"/>
              </w:rPr>
              <w:t>内容</w:t>
            </w:r>
          </w:p>
        </w:tc>
        <w:tc>
          <w:tcPr>
            <w:tcW w:w="2196" w:type="dxa"/>
            <w:vAlign w:val="center"/>
          </w:tcPr>
          <w:p>
            <w:pPr>
              <w:jc w:val="center"/>
              <w:rPr>
                <w:rFonts w:ascii="宋体" w:hAnsi="宋体" w:cs="宋体"/>
                <w:b/>
                <w:sz w:val="24"/>
                <w:szCs w:val="21"/>
              </w:rPr>
            </w:pPr>
            <w:r>
              <w:rPr>
                <w:rFonts w:hint="eastAsia" w:ascii="宋体" w:hAnsi="宋体" w:cs="宋体"/>
                <w:b/>
                <w:sz w:val="24"/>
                <w:szCs w:val="21"/>
              </w:rPr>
              <w:t>磋商文件要求</w:t>
            </w:r>
          </w:p>
        </w:tc>
        <w:tc>
          <w:tcPr>
            <w:tcW w:w="2222" w:type="dxa"/>
            <w:vAlign w:val="center"/>
          </w:tcPr>
          <w:p>
            <w:pPr>
              <w:jc w:val="center"/>
              <w:rPr>
                <w:rFonts w:ascii="宋体" w:hAnsi="宋体" w:cs="宋体"/>
                <w:b/>
                <w:sz w:val="24"/>
                <w:szCs w:val="21"/>
              </w:rPr>
            </w:pPr>
            <w:r>
              <w:rPr>
                <w:rFonts w:hint="eastAsia" w:ascii="宋体" w:hAnsi="宋体" w:cs="宋体"/>
                <w:b/>
                <w:sz w:val="24"/>
                <w:szCs w:val="21"/>
              </w:rPr>
              <w:t>响应承诺</w:t>
            </w:r>
          </w:p>
        </w:tc>
        <w:tc>
          <w:tcPr>
            <w:tcW w:w="1978" w:type="dxa"/>
            <w:vAlign w:val="center"/>
          </w:tcPr>
          <w:p>
            <w:pPr>
              <w:jc w:val="center"/>
              <w:rPr>
                <w:rFonts w:ascii="宋体" w:hAnsi="宋体" w:cs="宋体"/>
                <w:b/>
                <w:sz w:val="24"/>
                <w:szCs w:val="21"/>
              </w:rPr>
            </w:pPr>
            <w:r>
              <w:rPr>
                <w:rFonts w:hint="eastAsia" w:ascii="宋体" w:hAnsi="宋体" w:cs="宋体"/>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794" w:type="dxa"/>
            <w:vAlign w:val="center"/>
          </w:tcPr>
          <w:p>
            <w:pPr>
              <w:jc w:val="center"/>
              <w:rPr>
                <w:rFonts w:ascii="宋体" w:hAnsi="宋体" w:cs="宋体"/>
                <w:sz w:val="24"/>
                <w:szCs w:val="24"/>
              </w:rPr>
            </w:pPr>
            <w:r>
              <w:rPr>
                <w:rFonts w:hint="eastAsia" w:ascii="宋体" w:hAnsi="宋体" w:cs="宋体"/>
                <w:sz w:val="24"/>
                <w:szCs w:val="28"/>
              </w:rPr>
              <w:t>技术响应</w:t>
            </w:r>
          </w:p>
        </w:tc>
        <w:tc>
          <w:tcPr>
            <w:tcW w:w="2196" w:type="dxa"/>
            <w:vAlign w:val="center"/>
          </w:tcPr>
          <w:p>
            <w:pPr>
              <w:jc w:val="center"/>
              <w:rPr>
                <w:rFonts w:hint="eastAsia" w:ascii="宋体" w:hAnsi="宋体" w:cs="宋体"/>
                <w:sz w:val="24"/>
                <w:szCs w:val="28"/>
                <w:lang w:eastAsia="zh-CN"/>
              </w:rPr>
            </w:pPr>
          </w:p>
        </w:tc>
        <w:tc>
          <w:tcPr>
            <w:tcW w:w="2222" w:type="dxa"/>
            <w:vAlign w:val="center"/>
          </w:tcPr>
          <w:p>
            <w:pPr>
              <w:jc w:val="center"/>
              <w:rPr>
                <w:rFonts w:hint="eastAsia" w:ascii="宋体" w:hAnsi="宋体" w:cs="宋体"/>
                <w:sz w:val="24"/>
                <w:szCs w:val="28"/>
                <w:lang w:val="en-US" w:eastAsia="zh-CN"/>
              </w:rPr>
            </w:pPr>
          </w:p>
        </w:tc>
        <w:tc>
          <w:tcPr>
            <w:tcW w:w="1978" w:type="dxa"/>
            <w:vAlign w:val="center"/>
          </w:tcPr>
          <w:p>
            <w:pP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794" w:type="dxa"/>
            <w:vAlign w:val="center"/>
          </w:tcPr>
          <w:p>
            <w:pPr>
              <w:jc w:val="center"/>
              <w:rPr>
                <w:rFonts w:ascii="宋体" w:hAnsi="宋体" w:cs="宋体"/>
                <w:sz w:val="24"/>
                <w:szCs w:val="24"/>
              </w:rPr>
            </w:pPr>
            <w:r>
              <w:rPr>
                <w:rFonts w:hint="eastAsia" w:ascii="宋体" w:hAnsi="宋体" w:cs="宋体"/>
                <w:sz w:val="24"/>
                <w:szCs w:val="28"/>
              </w:rPr>
              <w:t>付款响应</w:t>
            </w:r>
          </w:p>
        </w:tc>
        <w:tc>
          <w:tcPr>
            <w:tcW w:w="2196" w:type="dxa"/>
            <w:vAlign w:val="center"/>
          </w:tcPr>
          <w:p>
            <w:pPr>
              <w:jc w:val="center"/>
              <w:rPr>
                <w:rFonts w:hint="eastAsia" w:ascii="宋体" w:hAnsi="宋体" w:cs="宋体"/>
                <w:sz w:val="24"/>
                <w:szCs w:val="28"/>
                <w:lang w:val="en-US" w:eastAsia="zh-CN"/>
              </w:rPr>
            </w:pPr>
          </w:p>
        </w:tc>
        <w:tc>
          <w:tcPr>
            <w:tcW w:w="2222" w:type="dxa"/>
            <w:vAlign w:val="center"/>
          </w:tcPr>
          <w:p>
            <w:pPr>
              <w:jc w:val="center"/>
              <w:rPr>
                <w:rFonts w:hint="eastAsia" w:ascii="宋体" w:hAnsi="宋体" w:cs="宋体"/>
                <w:sz w:val="24"/>
                <w:szCs w:val="28"/>
                <w:lang w:val="en-US" w:eastAsia="zh-CN"/>
              </w:rPr>
            </w:pPr>
          </w:p>
        </w:tc>
        <w:tc>
          <w:tcPr>
            <w:tcW w:w="1978"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794" w:type="dxa"/>
            <w:vAlign w:val="center"/>
          </w:tcPr>
          <w:p>
            <w:pPr>
              <w:jc w:val="center"/>
              <w:rPr>
                <w:rFonts w:ascii="宋体" w:hAnsi="宋体" w:cs="宋体"/>
                <w:sz w:val="24"/>
                <w:szCs w:val="24"/>
              </w:rPr>
            </w:pPr>
            <w:r>
              <w:rPr>
                <w:rFonts w:hint="eastAsia" w:ascii="宋体" w:hAnsi="宋体" w:cs="宋体"/>
                <w:sz w:val="24"/>
                <w:szCs w:val="28"/>
              </w:rPr>
              <w:t>服务期响应</w:t>
            </w:r>
          </w:p>
        </w:tc>
        <w:tc>
          <w:tcPr>
            <w:tcW w:w="2196" w:type="dxa"/>
            <w:vAlign w:val="center"/>
          </w:tcPr>
          <w:p>
            <w:pPr>
              <w:jc w:val="center"/>
              <w:rPr>
                <w:rFonts w:hint="eastAsia" w:ascii="宋体" w:hAnsi="宋体" w:cs="宋体"/>
                <w:sz w:val="24"/>
                <w:szCs w:val="28"/>
              </w:rPr>
            </w:pPr>
          </w:p>
        </w:tc>
        <w:tc>
          <w:tcPr>
            <w:tcW w:w="2222" w:type="dxa"/>
            <w:vAlign w:val="center"/>
          </w:tcPr>
          <w:p>
            <w:pPr>
              <w:jc w:val="center"/>
              <w:rPr>
                <w:rFonts w:hint="eastAsia" w:ascii="宋体" w:hAnsi="宋体" w:cs="宋体"/>
                <w:sz w:val="24"/>
                <w:szCs w:val="28"/>
              </w:rPr>
            </w:pPr>
          </w:p>
        </w:tc>
        <w:tc>
          <w:tcPr>
            <w:tcW w:w="1978"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794" w:type="dxa"/>
            <w:vAlign w:val="center"/>
          </w:tcPr>
          <w:p>
            <w:pPr>
              <w:jc w:val="center"/>
              <w:rPr>
                <w:rFonts w:ascii="宋体" w:hAnsi="宋体" w:cs="宋体"/>
                <w:sz w:val="24"/>
                <w:szCs w:val="24"/>
              </w:rPr>
            </w:pPr>
            <w:r>
              <w:rPr>
                <w:rFonts w:hint="eastAsia" w:ascii="宋体" w:hAnsi="宋体" w:cs="宋体"/>
                <w:sz w:val="24"/>
                <w:szCs w:val="24"/>
              </w:rPr>
              <w:t>其他</w:t>
            </w:r>
          </w:p>
        </w:tc>
        <w:tc>
          <w:tcPr>
            <w:tcW w:w="2196" w:type="dxa"/>
            <w:vAlign w:val="center"/>
          </w:tcPr>
          <w:p>
            <w:pPr>
              <w:rPr>
                <w:rFonts w:hint="eastAsia" w:ascii="宋体" w:hAnsi="宋体" w:eastAsia="宋体" w:cs="宋体"/>
                <w:sz w:val="24"/>
                <w:szCs w:val="24"/>
                <w:lang w:val="en-US" w:eastAsia="zh-CN"/>
              </w:rPr>
            </w:pPr>
          </w:p>
        </w:tc>
        <w:tc>
          <w:tcPr>
            <w:tcW w:w="2222" w:type="dxa"/>
            <w:vAlign w:val="center"/>
          </w:tcPr>
          <w:p>
            <w:pPr>
              <w:rPr>
                <w:rFonts w:hint="eastAsia" w:ascii="宋体" w:hAnsi="宋体" w:eastAsia="宋体" w:cs="宋体"/>
                <w:sz w:val="24"/>
                <w:szCs w:val="24"/>
                <w:lang w:val="en-US" w:eastAsia="zh-CN"/>
              </w:rPr>
            </w:pPr>
          </w:p>
        </w:tc>
        <w:tc>
          <w:tcPr>
            <w:tcW w:w="1978" w:type="dxa"/>
            <w:vAlign w:val="center"/>
          </w:tcPr>
          <w:p>
            <w:pPr>
              <w:rPr>
                <w:rFonts w:ascii="宋体" w:hAnsi="宋体" w:cs="宋体"/>
                <w:sz w:val="24"/>
                <w:szCs w:val="24"/>
              </w:rPr>
            </w:pPr>
          </w:p>
        </w:tc>
      </w:tr>
    </w:tbl>
    <w:p>
      <w:pPr>
        <w:snapToGrid w:val="0"/>
        <w:spacing w:line="360" w:lineRule="auto"/>
        <w:rPr>
          <w:rFonts w:ascii="宋体" w:hAnsi="宋体" w:cs="宋体"/>
          <w:sz w:val="24"/>
          <w:szCs w:val="24"/>
        </w:rPr>
      </w:pPr>
    </w:p>
    <w:p>
      <w:pPr>
        <w:snapToGrid w:val="0"/>
        <w:spacing w:line="460" w:lineRule="exact"/>
        <w:rPr>
          <w:rFonts w:ascii="宋体" w:hAnsi="宋体" w:cs="宋体"/>
          <w:b/>
          <w:bCs/>
          <w:sz w:val="24"/>
          <w:szCs w:val="24"/>
        </w:rPr>
      </w:pPr>
    </w:p>
    <w:p>
      <w:pPr>
        <w:snapToGrid w:val="0"/>
        <w:spacing w:line="460" w:lineRule="exact"/>
        <w:rPr>
          <w:rFonts w:ascii="宋体" w:hAnsi="宋体" w:cs="宋体"/>
          <w:b w:val="0"/>
          <w:bCs w:val="0"/>
          <w:sz w:val="24"/>
          <w:szCs w:val="24"/>
        </w:rPr>
      </w:pPr>
      <w:r>
        <w:rPr>
          <w:rFonts w:hint="eastAsia" w:ascii="宋体" w:hAnsi="宋体"/>
          <w:b w:val="0"/>
          <w:bCs w:val="0"/>
          <w:sz w:val="24"/>
          <w:szCs w:val="24"/>
          <w:lang w:val="en-US" w:eastAsia="zh-CN"/>
        </w:rPr>
        <w:t xml:space="preserve"> </w:t>
      </w:r>
      <w:r>
        <w:rPr>
          <w:rFonts w:hint="eastAsia" w:ascii="宋体" w:hAnsi="宋体" w:cs="宋体"/>
          <w:b w:val="0"/>
          <w:bCs w:val="0"/>
          <w:sz w:val="24"/>
          <w:szCs w:val="24"/>
        </w:rPr>
        <w:t>供应商盖章：</w:t>
      </w:r>
    </w:p>
    <w:p>
      <w:pPr>
        <w:spacing w:line="460" w:lineRule="exact"/>
        <w:jc w:val="left"/>
        <w:rPr>
          <w:rFonts w:ascii="宋体" w:hAnsi="宋体" w:cs="宋体"/>
          <w:b w:val="0"/>
          <w:bCs w:val="0"/>
          <w:sz w:val="24"/>
          <w:szCs w:val="24"/>
        </w:rPr>
      </w:pPr>
      <w:r>
        <w:rPr>
          <w:rFonts w:hint="eastAsia" w:ascii="宋体" w:hAnsi="宋体" w:cs="宋体"/>
          <w:b w:val="0"/>
          <w:bCs w:val="0"/>
          <w:sz w:val="24"/>
          <w:szCs w:val="24"/>
        </w:rPr>
        <w:t>日期：   年   月   日</w:t>
      </w:r>
    </w:p>
    <w:p>
      <w:pPr>
        <w:spacing w:line="460" w:lineRule="exact"/>
        <w:rPr>
          <w:rFonts w:ascii="宋体" w:hAnsi="宋体" w:cs="宋体"/>
          <w:sz w:val="24"/>
          <w:szCs w:val="24"/>
        </w:rPr>
      </w:pPr>
    </w:p>
    <w:p>
      <w:pPr>
        <w:spacing w:line="500" w:lineRule="exact"/>
        <w:rPr>
          <w:rFonts w:hint="eastAsia" w:ascii="宋体" w:hAnsi="宋体" w:eastAsia="宋体" w:cs="宋体"/>
          <w:sz w:val="24"/>
          <w:szCs w:val="24"/>
          <w:lang w:eastAsia="zh-CN"/>
        </w:rPr>
      </w:pPr>
      <w:r>
        <w:rPr>
          <w:rFonts w:hint="eastAsia" w:ascii="宋体" w:hAnsi="宋体" w:cs="宋体"/>
          <w:b/>
          <w:bCs/>
          <w:sz w:val="24"/>
          <w:szCs w:val="24"/>
        </w:rPr>
        <w:t>注：</w:t>
      </w:r>
      <w:r>
        <w:rPr>
          <w:rFonts w:hint="eastAsia" w:ascii="宋体" w:hAnsi="宋体" w:cs="宋体"/>
          <w:sz w:val="24"/>
          <w:szCs w:val="28"/>
        </w:rPr>
        <w:t>提供的服务满足采购需求；付款及服务期等均应响应磋商文件要求。</w:t>
      </w:r>
      <w:r>
        <w:rPr>
          <w:rFonts w:hint="eastAsia" w:ascii="宋体" w:hAnsi="宋体" w:cs="宋体"/>
          <w:bCs/>
          <w:sz w:val="24"/>
          <w:szCs w:val="24"/>
        </w:rPr>
        <w:br w:type="page"/>
      </w:r>
      <w:bookmarkStart w:id="179" w:name="_Toc29422"/>
      <w:bookmarkStart w:id="180" w:name="_Toc22037"/>
      <w:r>
        <w:rPr>
          <w:rStyle w:val="97"/>
          <w:rFonts w:hint="eastAsia" w:ascii="宋体" w:hAnsi="宋体" w:eastAsia="宋体" w:cs="宋体"/>
          <w:sz w:val="24"/>
          <w:szCs w:val="24"/>
        </w:rPr>
        <w:t>附件</w:t>
      </w:r>
      <w:bookmarkEnd w:id="178"/>
      <w:bookmarkEnd w:id="179"/>
      <w:bookmarkEnd w:id="180"/>
      <w:r>
        <w:rPr>
          <w:rStyle w:val="97"/>
          <w:rFonts w:hint="eastAsia" w:ascii="宋体" w:hAnsi="宋体" w:cs="宋体"/>
          <w:sz w:val="24"/>
          <w:szCs w:val="24"/>
          <w:lang w:eastAsia="zh-CN"/>
        </w:rPr>
        <w:t>十</w:t>
      </w:r>
    </w:p>
    <w:p>
      <w:pPr>
        <w:pStyle w:val="3"/>
        <w:spacing w:before="0" w:after="0" w:line="560" w:lineRule="exact"/>
        <w:jc w:val="center"/>
        <w:rPr>
          <w:rFonts w:ascii="宋体" w:hAnsi="宋体" w:eastAsia="宋体" w:cs="宋体"/>
          <w:sz w:val="24"/>
          <w:szCs w:val="24"/>
        </w:rPr>
      </w:pPr>
      <w:bookmarkStart w:id="181" w:name="_Toc18625"/>
      <w:bookmarkStart w:id="182" w:name="_Toc30527"/>
      <w:bookmarkStart w:id="183" w:name="_Toc1624"/>
      <w:r>
        <w:rPr>
          <w:rFonts w:hint="eastAsia" w:ascii="宋体" w:hAnsi="宋体" w:eastAsia="宋体" w:cs="宋体"/>
          <w:sz w:val="24"/>
          <w:szCs w:val="24"/>
        </w:rPr>
        <w:t>相关服务承诺函</w:t>
      </w:r>
      <w:bookmarkEnd w:id="181"/>
      <w:bookmarkEnd w:id="182"/>
      <w:bookmarkEnd w:id="183"/>
    </w:p>
    <w:p>
      <w:pPr>
        <w:jc w:val="center"/>
        <w:rPr>
          <w:rFonts w:ascii="宋体" w:hAnsi="宋体" w:cs="宋体"/>
          <w:sz w:val="24"/>
          <w:szCs w:val="28"/>
        </w:rPr>
      </w:pPr>
    </w:p>
    <w:p>
      <w:pPr>
        <w:jc w:val="center"/>
        <w:rPr>
          <w:rFonts w:hint="eastAsia" w:ascii="宋体" w:hAnsi="宋体" w:cs="宋体"/>
          <w:sz w:val="24"/>
          <w:szCs w:val="28"/>
        </w:rPr>
      </w:pPr>
      <w:r>
        <w:rPr>
          <w:rFonts w:hint="eastAsia" w:ascii="宋体" w:hAnsi="宋体" w:cs="宋体"/>
          <w:sz w:val="24"/>
          <w:szCs w:val="28"/>
        </w:rPr>
        <w:t>(</w:t>
      </w:r>
      <w:r>
        <w:rPr>
          <w:rFonts w:hint="eastAsia" w:ascii="宋体" w:hAnsi="宋体" w:cs="宋体"/>
          <w:sz w:val="24"/>
          <w:szCs w:val="28"/>
          <w:lang w:eastAsia="zh-CN"/>
        </w:rPr>
        <w:t>供参考，</w:t>
      </w:r>
      <w:r>
        <w:rPr>
          <w:rFonts w:hint="eastAsia" w:ascii="宋体" w:hAnsi="宋体" w:cs="宋体"/>
          <w:sz w:val="24"/>
          <w:szCs w:val="28"/>
        </w:rPr>
        <w:t>供应商</w:t>
      </w:r>
      <w:r>
        <w:rPr>
          <w:rFonts w:hint="eastAsia" w:ascii="宋体" w:hAnsi="宋体" w:cs="宋体"/>
          <w:sz w:val="24"/>
          <w:szCs w:val="28"/>
          <w:lang w:eastAsia="zh-CN"/>
        </w:rPr>
        <w:t>也</w:t>
      </w:r>
      <w:r>
        <w:rPr>
          <w:rFonts w:hint="eastAsia" w:ascii="宋体" w:hAnsi="宋体" w:cs="宋体"/>
          <w:sz w:val="24"/>
          <w:szCs w:val="28"/>
        </w:rPr>
        <w:t>可自行制作格式)</w:t>
      </w:r>
    </w:p>
    <w:p>
      <w:pPr>
        <w:spacing w:line="440" w:lineRule="exact"/>
        <w:rPr>
          <w:rFonts w:hint="eastAsia" w:ascii="宋体" w:hAnsi="宋体"/>
          <w:sz w:val="24"/>
          <w:szCs w:val="24"/>
        </w:rPr>
      </w:pPr>
      <w:r>
        <w:rPr>
          <w:rFonts w:hint="eastAsia" w:ascii="宋体" w:hAnsi="宋体"/>
          <w:sz w:val="24"/>
          <w:szCs w:val="24"/>
        </w:rPr>
        <w:t>致</w:t>
      </w:r>
      <w:r>
        <w:rPr>
          <w:rFonts w:hint="eastAsia" w:ascii="宋体" w:hAnsi="宋体"/>
          <w:b/>
          <w:bCs/>
          <w:spacing w:val="6"/>
          <w:sz w:val="24"/>
          <w:szCs w:val="24"/>
          <w:u w:val="single"/>
        </w:rPr>
        <w:t xml:space="preserve">         </w:t>
      </w:r>
      <w:r>
        <w:rPr>
          <w:rFonts w:hint="eastAsia" w:ascii="宋体" w:hAnsi="宋体"/>
          <w:spacing w:val="6"/>
          <w:sz w:val="24"/>
          <w:szCs w:val="24"/>
        </w:rPr>
        <w:t>（</w:t>
      </w:r>
      <w:r>
        <w:rPr>
          <w:rFonts w:hint="eastAsia" w:ascii="宋体" w:hAnsi="宋体"/>
          <w:spacing w:val="6"/>
          <w:sz w:val="24"/>
          <w:szCs w:val="24"/>
          <w:lang w:eastAsia="zh-CN"/>
        </w:rPr>
        <w:t>采购人</w:t>
      </w:r>
      <w:r>
        <w:rPr>
          <w:rFonts w:hint="eastAsia" w:ascii="宋体" w:hAnsi="宋体"/>
          <w:spacing w:val="6"/>
          <w:sz w:val="24"/>
          <w:szCs w:val="24"/>
        </w:rPr>
        <w:t>）</w:t>
      </w:r>
      <w:r>
        <w:rPr>
          <w:rFonts w:hint="eastAsia" w:ascii="宋体" w:hAnsi="宋体"/>
          <w:sz w:val="24"/>
          <w:szCs w:val="24"/>
        </w:rPr>
        <w:t>：</w:t>
      </w:r>
    </w:p>
    <w:p>
      <w:pPr>
        <w:spacing w:line="440" w:lineRule="exact"/>
        <w:rPr>
          <w:rFonts w:hint="eastAsia" w:ascii="宋体" w:hAnsi="宋体"/>
          <w:sz w:val="24"/>
          <w:szCs w:val="24"/>
        </w:rPr>
      </w:pPr>
      <w:r>
        <w:rPr>
          <w:rFonts w:hint="eastAsia" w:ascii="宋体" w:hAnsi="宋体"/>
          <w:sz w:val="24"/>
          <w:szCs w:val="24"/>
        </w:rPr>
        <w:t xml:space="preserve">     根据</w:t>
      </w:r>
      <w:r>
        <w:rPr>
          <w:rFonts w:hint="eastAsia" w:ascii="宋体" w:hAnsi="宋体"/>
          <w:sz w:val="24"/>
          <w:szCs w:val="24"/>
          <w:u w:val="single"/>
        </w:rPr>
        <w:t xml:space="preserve">                    </w:t>
      </w:r>
      <w:r>
        <w:rPr>
          <w:rFonts w:hint="eastAsia" w:ascii="宋体" w:hAnsi="宋体"/>
          <w:sz w:val="24"/>
          <w:szCs w:val="24"/>
        </w:rPr>
        <w:t>项目</w:t>
      </w:r>
      <w:r>
        <w:rPr>
          <w:rFonts w:hint="eastAsia" w:ascii="宋体" w:hAnsi="宋体"/>
          <w:sz w:val="24"/>
          <w:szCs w:val="24"/>
          <w:lang w:eastAsia="zh-CN"/>
        </w:rPr>
        <w:t>采购</w:t>
      </w:r>
      <w:r>
        <w:rPr>
          <w:rFonts w:hint="eastAsia" w:ascii="宋体" w:hAnsi="宋体"/>
          <w:sz w:val="24"/>
          <w:szCs w:val="24"/>
        </w:rPr>
        <w:t>文件(</w:t>
      </w:r>
      <w:r>
        <w:rPr>
          <w:rFonts w:hint="eastAsia" w:ascii="宋体" w:hAnsi="宋体"/>
          <w:sz w:val="24"/>
          <w:szCs w:val="24"/>
          <w:lang w:eastAsia="zh-CN"/>
        </w:rPr>
        <w:t>项目</w:t>
      </w:r>
      <w:r>
        <w:rPr>
          <w:rFonts w:hint="eastAsia" w:ascii="宋体" w:hAnsi="宋体"/>
          <w:sz w:val="24"/>
          <w:szCs w:val="24"/>
        </w:rPr>
        <w:t xml:space="preserve">编号: </w:t>
      </w:r>
      <w:r>
        <w:rPr>
          <w:rFonts w:hint="eastAsia" w:ascii="宋体" w:hAnsi="宋体"/>
          <w:sz w:val="24"/>
          <w:szCs w:val="24"/>
          <w:u w:val="single"/>
        </w:rPr>
        <w:t xml:space="preserve">                </w:t>
      </w:r>
      <w:r>
        <w:rPr>
          <w:rFonts w:hint="eastAsia" w:ascii="宋体" w:hAnsi="宋体"/>
          <w:sz w:val="24"/>
          <w:szCs w:val="24"/>
        </w:rPr>
        <w:t>)要求，我方作为本项目成交单位，作出以下郑重承诺：</w:t>
      </w:r>
    </w:p>
    <w:p>
      <w:pPr>
        <w:spacing w:line="440" w:lineRule="exact"/>
        <w:ind w:firstLine="480" w:firstLineChars="200"/>
        <w:rPr>
          <w:rFonts w:hint="eastAsia" w:ascii="宋体" w:hAnsi="宋体"/>
          <w:sz w:val="24"/>
          <w:szCs w:val="24"/>
        </w:rPr>
      </w:pPr>
      <w:r>
        <w:rPr>
          <w:rFonts w:hint="eastAsia" w:ascii="宋体" w:hAnsi="宋体"/>
          <w:sz w:val="24"/>
          <w:szCs w:val="24"/>
        </w:rPr>
        <w:t>一、严格执行</w:t>
      </w:r>
      <w:r>
        <w:rPr>
          <w:rFonts w:hint="eastAsia" w:ascii="宋体" w:hAnsi="宋体"/>
          <w:sz w:val="24"/>
          <w:szCs w:val="24"/>
          <w:lang w:eastAsia="zh-CN"/>
        </w:rPr>
        <w:t>磋商</w:t>
      </w:r>
      <w:r>
        <w:rPr>
          <w:rFonts w:hint="eastAsia" w:ascii="宋体" w:hAnsi="宋体"/>
          <w:sz w:val="24"/>
          <w:szCs w:val="24"/>
        </w:rPr>
        <w:t>文件及</w:t>
      </w:r>
      <w:r>
        <w:rPr>
          <w:rFonts w:hint="eastAsia" w:ascii="宋体" w:hAnsi="宋体"/>
          <w:sz w:val="24"/>
          <w:szCs w:val="24"/>
          <w:lang w:eastAsia="zh-CN"/>
        </w:rPr>
        <w:t>采购</w:t>
      </w:r>
      <w:r>
        <w:rPr>
          <w:rFonts w:hint="eastAsia" w:ascii="宋体" w:hAnsi="宋体"/>
          <w:sz w:val="24"/>
          <w:szCs w:val="24"/>
        </w:rPr>
        <w:t>需求的全部条款和规定，全面履行承包承诺，确保质量，提供快捷、方便、满意的服务。</w:t>
      </w:r>
    </w:p>
    <w:p>
      <w:pPr>
        <w:spacing w:line="440" w:lineRule="exact"/>
        <w:ind w:firstLine="480" w:firstLineChars="200"/>
        <w:rPr>
          <w:rFonts w:hint="eastAsia" w:ascii="宋体" w:hAnsi="宋体"/>
          <w:sz w:val="24"/>
          <w:szCs w:val="24"/>
        </w:rPr>
      </w:pPr>
      <w:r>
        <w:rPr>
          <w:rFonts w:hint="eastAsia" w:ascii="宋体" w:hAnsi="宋体"/>
          <w:sz w:val="24"/>
          <w:szCs w:val="24"/>
          <w:lang w:eastAsia="zh-CN"/>
        </w:rPr>
        <w:t>二</w:t>
      </w:r>
      <w:r>
        <w:rPr>
          <w:rFonts w:hint="eastAsia" w:ascii="宋体" w:hAnsi="宋体"/>
          <w:sz w:val="24"/>
          <w:szCs w:val="24"/>
          <w:lang w:val="en-US" w:eastAsia="zh-CN"/>
        </w:rPr>
        <w:t>、在投标过程中，无围标、串</w:t>
      </w:r>
      <w:r>
        <w:rPr>
          <w:rFonts w:hint="default" w:ascii="宋体" w:hAnsi="宋体"/>
          <w:sz w:val="24"/>
          <w:szCs w:val="24"/>
          <w:lang w:val="en-US" w:eastAsia="zh-CN"/>
        </w:rPr>
        <w:t xml:space="preserve">标、借用资质及其他弄虚作假等违法违规行为；保证提交的扫描件或复印件与原件一致、真实有效。 </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三</w:t>
      </w:r>
      <w:r>
        <w:rPr>
          <w:rFonts w:hint="default" w:ascii="宋体" w:hAnsi="宋体"/>
          <w:sz w:val="24"/>
          <w:szCs w:val="24"/>
          <w:lang w:val="en-US" w:eastAsia="zh-CN"/>
        </w:rPr>
        <w:t>、保证按</w:t>
      </w:r>
      <w:r>
        <w:rPr>
          <w:rFonts w:hint="eastAsia" w:ascii="宋体" w:hAnsi="宋体"/>
          <w:sz w:val="24"/>
          <w:szCs w:val="24"/>
          <w:lang w:eastAsia="zh-CN"/>
        </w:rPr>
        <w:t>磋商</w:t>
      </w:r>
      <w:r>
        <w:rPr>
          <w:rFonts w:hint="default" w:ascii="宋体" w:hAnsi="宋体"/>
          <w:sz w:val="24"/>
          <w:szCs w:val="24"/>
          <w:lang w:val="en-US" w:eastAsia="zh-CN"/>
        </w:rPr>
        <w:t xml:space="preserve">文件中的项目管理人员进场管理，除不可抗力等因素外，不更换项目管理人员，确保工程质量和工程安全。确需更换的，按规定办理有关批准、备案手续。 </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四</w:t>
      </w:r>
      <w:r>
        <w:rPr>
          <w:rFonts w:hint="default" w:ascii="宋体" w:hAnsi="宋体"/>
          <w:sz w:val="24"/>
          <w:szCs w:val="24"/>
          <w:lang w:val="en-US" w:eastAsia="zh-CN"/>
        </w:rPr>
        <w:t xml:space="preserve">、保证目前没有拖欠农民工工资的行为，在本项目施工过程中按有关规定及时发放农民工工资。 </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五</w:t>
      </w:r>
      <w:r>
        <w:rPr>
          <w:rFonts w:hint="default" w:ascii="宋体" w:hAnsi="宋体"/>
          <w:sz w:val="24"/>
          <w:szCs w:val="24"/>
          <w:lang w:val="en-US" w:eastAsia="zh-CN"/>
        </w:rPr>
        <w:t>、保证中标后按</w:t>
      </w:r>
      <w:r>
        <w:rPr>
          <w:rFonts w:hint="eastAsia" w:ascii="宋体" w:hAnsi="宋体"/>
          <w:sz w:val="24"/>
          <w:szCs w:val="24"/>
          <w:lang w:eastAsia="zh-CN"/>
        </w:rPr>
        <w:t>磋商</w:t>
      </w:r>
      <w:r>
        <w:rPr>
          <w:rFonts w:hint="default" w:ascii="宋体" w:hAnsi="宋体"/>
          <w:sz w:val="24"/>
          <w:szCs w:val="24"/>
          <w:lang w:val="en-US" w:eastAsia="zh-CN"/>
        </w:rPr>
        <w:t xml:space="preserve">文件的要求、招标文件的承诺、合同约定及国家、省、市有关规定进行施工，不转包，不违法分包等。 </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六</w:t>
      </w:r>
      <w:r>
        <w:rPr>
          <w:rFonts w:hint="default" w:ascii="宋体" w:hAnsi="宋体"/>
          <w:sz w:val="24"/>
          <w:szCs w:val="24"/>
          <w:lang w:val="en-US" w:eastAsia="zh-CN"/>
        </w:rPr>
        <w:t>、如有违反上述承诺，本公司自愿放弃本项目中标的权利，并承担相关法律责任。</w:t>
      </w:r>
    </w:p>
    <w:p>
      <w:pPr>
        <w:snapToGrid w:val="0"/>
        <w:spacing w:line="440" w:lineRule="exact"/>
        <w:rPr>
          <w:rFonts w:hint="eastAsia" w:ascii="宋体" w:hAnsi="宋体"/>
          <w:sz w:val="24"/>
          <w:szCs w:val="24"/>
        </w:rPr>
      </w:pPr>
    </w:p>
    <w:p>
      <w:pPr>
        <w:snapToGrid w:val="0"/>
        <w:spacing w:line="440" w:lineRule="exact"/>
        <w:ind w:firstLine="600" w:firstLineChars="250"/>
        <w:rPr>
          <w:rFonts w:hint="eastAsia" w:ascii="宋体" w:hAnsi="宋体"/>
          <w:sz w:val="24"/>
          <w:szCs w:val="24"/>
        </w:rPr>
      </w:pPr>
    </w:p>
    <w:p>
      <w:pPr>
        <w:tabs>
          <w:tab w:val="left" w:pos="630"/>
        </w:tabs>
        <w:spacing w:line="360" w:lineRule="auto"/>
        <w:jc w:val="both"/>
        <w:rPr>
          <w:rFonts w:ascii="宋体" w:hAnsi="宋体" w:cs="宋体"/>
          <w:b/>
          <w:bCs/>
          <w:sz w:val="24"/>
          <w:szCs w:val="24"/>
        </w:rPr>
      </w:pPr>
      <w:r>
        <w:rPr>
          <w:rFonts w:hint="eastAsia" w:ascii="宋体" w:hAnsi="宋体"/>
          <w:sz w:val="24"/>
          <w:szCs w:val="24"/>
          <w:lang w:val="en-US" w:eastAsia="zh-CN"/>
        </w:rPr>
        <w:t xml:space="preserve">                                                   </w:t>
      </w:r>
      <w:r>
        <w:rPr>
          <w:rFonts w:hint="eastAsia" w:ascii="宋体" w:hAnsi="宋体" w:cs="宋体"/>
          <w:sz w:val="24"/>
          <w:szCs w:val="24"/>
        </w:rPr>
        <w:t>供应商盖章：</w:t>
      </w:r>
    </w:p>
    <w:p>
      <w:pPr>
        <w:snapToGrid w:val="0"/>
        <w:spacing w:line="440" w:lineRule="exact"/>
        <w:ind w:firstLine="600" w:firstLineChars="250"/>
        <w:jc w:val="center"/>
        <w:rPr>
          <w:rFonts w:hint="eastAsia" w:ascii="宋体" w:hAnsi="宋体"/>
          <w:sz w:val="24"/>
          <w:szCs w:val="24"/>
        </w:rPr>
      </w:pPr>
    </w:p>
    <w:p>
      <w:pPr>
        <w:snapToGrid w:val="0"/>
        <w:spacing w:line="440" w:lineRule="exact"/>
        <w:ind w:firstLine="2880" w:firstLineChars="1200"/>
        <w:rPr>
          <w:rFonts w:hint="eastAsia" w:ascii="宋体" w:hAnsi="宋体"/>
          <w:sz w:val="24"/>
          <w:szCs w:val="24"/>
        </w:rPr>
      </w:pPr>
      <w:r>
        <w:rPr>
          <w:rFonts w:hint="eastAsia" w:ascii="宋体" w:hAnsi="宋体"/>
          <w:sz w:val="24"/>
          <w:szCs w:val="24"/>
        </w:rPr>
        <w:t xml:space="preserve">                              年   月   日</w:t>
      </w:r>
    </w:p>
    <w:p>
      <w:pPr>
        <w:rPr>
          <w:rFonts w:hint="eastAsia" w:ascii="宋体" w:hAnsi="宋体"/>
        </w:rPr>
      </w:pPr>
    </w:p>
    <w:p>
      <w:pPr>
        <w:jc w:val="center"/>
        <w:rPr>
          <w:rFonts w:hint="eastAsia" w:ascii="宋体" w:hAnsi="宋体" w:cs="宋体"/>
          <w:sz w:val="24"/>
          <w:szCs w:val="28"/>
        </w:rPr>
      </w:pPr>
    </w:p>
    <w:p>
      <w:pPr>
        <w:rPr>
          <w:rFonts w:ascii="宋体" w:hAnsi="宋体" w:cs="宋体"/>
        </w:rPr>
      </w:pPr>
    </w:p>
    <w:p>
      <w:pPr>
        <w:rPr>
          <w:rFonts w:ascii="宋体" w:hAnsi="宋体" w:cs="宋体"/>
        </w:rPr>
      </w:pPr>
    </w:p>
    <w:p>
      <w:pPr>
        <w:pStyle w:val="3"/>
        <w:spacing w:before="120" w:after="120"/>
        <w:rPr>
          <w:rFonts w:ascii="宋体"/>
          <w:sz w:val="24"/>
          <w:szCs w:val="24"/>
          <w:u w:val="single"/>
        </w:rPr>
      </w:pPr>
      <w:bookmarkStart w:id="184" w:name="_Toc3177"/>
      <w:r>
        <w:rPr>
          <w:rFonts w:hint="eastAsia" w:ascii="宋体" w:hAnsi="宋体" w:eastAsia="宋体" w:cs="宋体"/>
          <w:sz w:val="24"/>
          <w:szCs w:val="24"/>
        </w:rPr>
        <w:br w:type="page"/>
      </w:r>
      <w:bookmarkStart w:id="185" w:name="_Toc3796"/>
      <w:bookmarkStart w:id="186" w:name="_Toc2879"/>
      <w:bookmarkStart w:id="187" w:name="_Toc13577"/>
      <w:r>
        <w:rPr>
          <w:rFonts w:hint="eastAsia" w:ascii="宋体" w:hAnsi="宋体" w:eastAsia="宋体" w:cs="宋体"/>
          <w:sz w:val="24"/>
          <w:szCs w:val="24"/>
        </w:rPr>
        <w:t>附件</w:t>
      </w:r>
      <w:bookmarkEnd w:id="185"/>
      <w:bookmarkEnd w:id="186"/>
      <w:bookmarkEnd w:id="187"/>
      <w:r>
        <w:rPr>
          <w:rFonts w:hint="eastAsia" w:ascii="宋体" w:hAnsi="宋体" w:eastAsia="宋体" w:cs="宋体"/>
          <w:sz w:val="24"/>
          <w:szCs w:val="24"/>
          <w:lang w:eastAsia="zh-CN"/>
        </w:rPr>
        <w:t>十一</w:t>
      </w:r>
      <w:bookmarkEnd w:id="184"/>
      <w:r>
        <w:rPr>
          <w:rFonts w:ascii="宋体" w:hAnsi="宋体"/>
          <w:sz w:val="24"/>
          <w:szCs w:val="24"/>
          <w:u w:val="single"/>
        </w:rPr>
        <w:t xml:space="preserve">    </w:t>
      </w:r>
    </w:p>
    <w:p>
      <w:pPr>
        <w:tabs>
          <w:tab w:val="left" w:pos="4620"/>
        </w:tabs>
        <w:spacing w:line="480" w:lineRule="exact"/>
        <w:jc w:val="center"/>
        <w:rPr>
          <w:rFonts w:hint="eastAsia" w:ascii="宋体" w:hAnsi="宋体" w:cs="宋体"/>
          <w:bCs/>
          <w:sz w:val="24"/>
          <w:szCs w:val="24"/>
        </w:rPr>
      </w:pPr>
      <w:bookmarkStart w:id="188" w:name="_Toc28850"/>
      <w:r>
        <w:rPr>
          <w:rFonts w:hint="eastAsia" w:ascii="宋体" w:hAnsi="宋体" w:cs="宋体"/>
          <w:bCs/>
          <w:sz w:val="24"/>
          <w:szCs w:val="24"/>
        </w:rPr>
        <w:t>磋商文件要求和供应商认为需要提供的其它说明和资料</w:t>
      </w:r>
      <w:bookmarkEnd w:id="188"/>
    </w:p>
    <w:p>
      <w:pPr>
        <w:tabs>
          <w:tab w:val="left" w:pos="4620"/>
        </w:tabs>
        <w:spacing w:line="480" w:lineRule="exact"/>
        <w:jc w:val="left"/>
        <w:rPr>
          <w:rFonts w:hint="eastAsia" w:ascii="宋体" w:hAnsi="宋体" w:eastAsia="宋体" w:cs="宋体"/>
          <w:sz w:val="24"/>
          <w:szCs w:val="24"/>
        </w:rPr>
      </w:pPr>
    </w:p>
    <w:p>
      <w:pPr>
        <w:spacing w:line="36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rPr>
        <w:t>附件</w:t>
      </w:r>
      <w:r>
        <w:rPr>
          <w:rFonts w:hint="eastAsia" w:ascii="宋体" w:hAnsi="宋体" w:eastAsia="宋体" w:cs="宋体"/>
          <w:b/>
          <w:bCs/>
          <w:sz w:val="24"/>
          <w:szCs w:val="24"/>
          <w:lang w:eastAsia="zh-CN"/>
        </w:rPr>
        <w:t>十二</w:t>
      </w:r>
    </w:p>
    <w:p>
      <w:pPr>
        <w:spacing w:line="360" w:lineRule="auto"/>
        <w:jc w:val="center"/>
        <w:rPr>
          <w:rFonts w:ascii="宋体" w:hAnsi="宋体" w:cs="宋体"/>
          <w:sz w:val="24"/>
          <w:szCs w:val="24"/>
        </w:rPr>
      </w:pPr>
      <w:r>
        <w:rPr>
          <w:rFonts w:hint="eastAsia" w:ascii="宋体" w:hAnsi="宋体" w:cs="宋体"/>
          <w:sz w:val="24"/>
          <w:szCs w:val="24"/>
        </w:rPr>
        <w:t>最终报价函</w:t>
      </w:r>
    </w:p>
    <w:p>
      <w:pPr>
        <w:tabs>
          <w:tab w:val="left" w:pos="4620"/>
        </w:tabs>
        <w:spacing w:line="480" w:lineRule="exact"/>
        <w:jc w:val="left"/>
        <w:rPr>
          <w:rFonts w:hint="eastAsia" w:ascii="宋体" w:hAnsi="宋体" w:eastAsia="宋体" w:cs="宋体"/>
          <w:b/>
          <w:bCs/>
          <w:sz w:val="24"/>
          <w:szCs w:val="24"/>
          <w:lang w:eastAsia="zh-CN"/>
        </w:rPr>
      </w:pPr>
    </w:p>
    <w:p>
      <w:pPr>
        <w:spacing w:line="360" w:lineRule="auto"/>
        <w:ind w:firstLine="480" w:firstLineChars="200"/>
        <w:rPr>
          <w:rFonts w:ascii="宋体" w:hAnsi="宋体" w:cs="宋体"/>
          <w:sz w:val="24"/>
          <w:szCs w:val="24"/>
        </w:rPr>
      </w:pPr>
      <w:r>
        <w:rPr>
          <w:rFonts w:hint="eastAsia" w:ascii="宋体" w:hAnsi="宋体" w:cs="宋体"/>
          <w:sz w:val="24"/>
          <w:szCs w:val="24"/>
        </w:rPr>
        <w:t>致 ：( 采 购 人 )</w:t>
      </w:r>
    </w:p>
    <w:p>
      <w:pPr>
        <w:numPr>
          <w:ilvl w:val="0"/>
          <w:numId w:val="8"/>
        </w:numPr>
        <w:spacing w:line="360" w:lineRule="auto"/>
        <w:ind w:firstLine="480" w:firstLineChars="200"/>
        <w:rPr>
          <w:rFonts w:ascii="宋体" w:hAnsi="宋体" w:cs="宋体"/>
          <w:sz w:val="24"/>
          <w:szCs w:val="24"/>
        </w:rPr>
      </w:pPr>
      <w:r>
        <w:rPr>
          <w:rFonts w:hint="eastAsia" w:ascii="宋体" w:hAnsi="宋体" w:cs="宋体"/>
          <w:sz w:val="24"/>
          <w:szCs w:val="24"/>
        </w:rPr>
        <w:t>我方愿在前一轮磋商（响应性文件）报价的基础上再次让利，让利后响应报价为人民币</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元（各单价相应同比下浮）。如果我方有幸成为成交单位，报价费用为所委托项目范围内全部工作，该费用不再调整。</w:t>
      </w:r>
    </w:p>
    <w:p>
      <w:pPr>
        <w:numPr>
          <w:ilvl w:val="0"/>
          <w:numId w:val="8"/>
        </w:numPr>
        <w:spacing w:line="360" w:lineRule="auto"/>
        <w:ind w:firstLine="480" w:firstLineChars="200"/>
        <w:rPr>
          <w:rFonts w:ascii="宋体" w:hAnsi="宋体" w:cs="宋体"/>
          <w:sz w:val="24"/>
          <w:szCs w:val="24"/>
        </w:rPr>
      </w:pPr>
      <w:r>
        <w:rPr>
          <w:rFonts w:hint="eastAsia" w:ascii="宋体" w:hAnsi="宋体" w:cs="宋体"/>
          <w:sz w:val="24"/>
          <w:szCs w:val="24"/>
        </w:rPr>
        <w:t>其他部分与响应性文件内容一致。</w:t>
      </w:r>
    </w:p>
    <w:p>
      <w:pPr>
        <w:pStyle w:val="34"/>
        <w:jc w:val="right"/>
        <w:rPr>
          <w:rFonts w:ascii="宋体" w:hAnsi="宋体" w:cs="宋体"/>
          <w:bCs/>
          <w:szCs w:val="24"/>
        </w:rPr>
      </w:pPr>
      <w:r>
        <w:rPr>
          <w:rFonts w:hint="eastAsia" w:ascii="宋体" w:hAnsi="宋体" w:cs="宋体"/>
          <w:bCs/>
          <w:szCs w:val="24"/>
        </w:rPr>
        <w:t>供应商： （盖章）</w:t>
      </w:r>
    </w:p>
    <w:p>
      <w:pPr>
        <w:pStyle w:val="34"/>
        <w:jc w:val="right"/>
        <w:rPr>
          <w:rFonts w:ascii="宋体" w:hAnsi="宋体" w:cs="宋体"/>
          <w:bCs/>
          <w:szCs w:val="24"/>
        </w:rPr>
      </w:pPr>
      <w:r>
        <w:rPr>
          <w:rFonts w:hint="eastAsia" w:ascii="宋体" w:hAnsi="宋体" w:cs="宋体"/>
          <w:bCs/>
          <w:szCs w:val="24"/>
        </w:rPr>
        <w:t xml:space="preserve"> </w:t>
      </w:r>
    </w:p>
    <w:p>
      <w:pPr>
        <w:pStyle w:val="34"/>
        <w:jc w:val="right"/>
        <w:rPr>
          <w:rFonts w:ascii="宋体" w:hAnsi="宋体" w:cs="宋体"/>
          <w:bCs/>
          <w:szCs w:val="24"/>
        </w:rPr>
      </w:pPr>
      <w:r>
        <w:rPr>
          <w:rFonts w:hint="eastAsia" w:ascii="宋体" w:hAnsi="宋体" w:cs="宋体"/>
          <w:bCs/>
          <w:szCs w:val="24"/>
        </w:rPr>
        <w:t xml:space="preserve">或法定代表人（或委托代理人）：（签字或盖章） </w:t>
      </w:r>
    </w:p>
    <w:p>
      <w:pPr>
        <w:pStyle w:val="34"/>
        <w:jc w:val="right"/>
        <w:rPr>
          <w:rFonts w:ascii="宋体" w:hAnsi="宋体" w:cs="宋体"/>
          <w:bCs/>
          <w:szCs w:val="24"/>
        </w:rPr>
      </w:pPr>
      <w:r>
        <w:rPr>
          <w:rFonts w:hint="eastAsia" w:ascii="宋体" w:hAnsi="宋体" w:cs="宋体"/>
          <w:bCs/>
          <w:szCs w:val="24"/>
        </w:rPr>
        <w:t xml:space="preserve">         </w:t>
      </w:r>
    </w:p>
    <w:p>
      <w:pPr>
        <w:pStyle w:val="34"/>
        <w:jc w:val="right"/>
        <w:rPr>
          <w:rFonts w:ascii="宋体" w:hAnsi="宋体" w:cs="宋体"/>
          <w:bCs/>
        </w:rPr>
      </w:pPr>
      <w:r>
        <w:rPr>
          <w:rFonts w:hint="eastAsia" w:ascii="宋体" w:hAnsi="宋体" w:cs="宋体"/>
          <w:bCs/>
          <w:szCs w:val="24"/>
        </w:rPr>
        <w:t>日期： 年  月  日</w:t>
      </w:r>
      <w:r>
        <w:rPr>
          <w:rFonts w:hint="eastAsia" w:ascii="宋体" w:hAnsi="宋体" w:cs="宋体"/>
          <w:bCs/>
        </w:rPr>
        <w:t xml:space="preserve"> </w:t>
      </w:r>
    </w:p>
    <w:p>
      <w:pPr>
        <w:pStyle w:val="34"/>
        <w:jc w:val="right"/>
        <w:rPr>
          <w:rFonts w:ascii="宋体" w:hAnsi="宋体" w:cs="宋体"/>
          <w:bCs/>
        </w:rPr>
      </w:pPr>
    </w:p>
    <w:p/>
    <w:p>
      <w:pPr>
        <w:spacing w:line="360" w:lineRule="auto"/>
        <w:rPr>
          <w:rFonts w:ascii="宋体" w:hAnsi="宋体" w:cs="宋体"/>
          <w:sz w:val="24"/>
          <w:szCs w:val="24"/>
        </w:rPr>
      </w:pPr>
      <w:r>
        <w:rPr>
          <w:rFonts w:hint="eastAsia" w:ascii="宋体" w:hAnsi="宋体" w:cs="宋体"/>
          <w:bCs/>
          <w:sz w:val="24"/>
          <w:szCs w:val="24"/>
        </w:rPr>
        <w:t xml:space="preserve">注： </w:t>
      </w:r>
      <w:r>
        <w:rPr>
          <w:rFonts w:hint="eastAsia" w:ascii="宋体" w:hAnsi="宋体" w:cs="宋体"/>
          <w:sz w:val="24"/>
          <w:szCs w:val="24"/>
        </w:rPr>
        <w:t xml:space="preserve">1、供应商的后一轮报价不得高于前一轮报价。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2、各供应商单独备足此表，用于现场报价时填写，请供应商自行准备多份，用于后续报价，切勿装订在响应文件中。 </w:t>
      </w:r>
    </w:p>
    <w:p>
      <w:pPr>
        <w:pStyle w:val="29"/>
      </w:pPr>
    </w:p>
    <w:p>
      <w:pPr>
        <w:tabs>
          <w:tab w:val="left" w:pos="4620"/>
        </w:tabs>
        <w:spacing w:line="480" w:lineRule="exact"/>
        <w:jc w:val="left"/>
        <w:rPr>
          <w:rFonts w:hint="eastAsia" w:ascii="宋体" w:hAnsi="宋体" w:eastAsia="宋体" w:cs="宋体"/>
          <w:b/>
          <w:bCs/>
          <w:sz w:val="24"/>
          <w:szCs w:val="24"/>
          <w:lang w:eastAsia="zh-CN"/>
        </w:rPr>
      </w:pPr>
    </w:p>
    <w:p>
      <w:pPr>
        <w:rPr>
          <w:rFonts w:ascii="宋体" w:hAnsi="宋体" w:cs="宋体"/>
          <w:bCs/>
          <w:sz w:val="24"/>
          <w:szCs w:val="24"/>
        </w:rPr>
      </w:pPr>
    </w:p>
    <w:sectPr>
      <w:headerReference r:id="rId6" w:type="default"/>
      <w:footerReference r:id="rId8" w:type="default"/>
      <w:headerReference r:id="rId7" w:type="even"/>
      <w:footerReference r:id="rId9"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Dotu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大标宋简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40"/>
      </w:rPr>
    </w:pPr>
    <w:r>
      <w:fldChar w:fldCharType="begin"/>
    </w:r>
    <w:r>
      <w:rPr>
        <w:rStyle w:val="40"/>
      </w:rPr>
      <w:instrText xml:space="preserve">PAGE  </w:instrText>
    </w:r>
    <w: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40"/>
      </w:rPr>
    </w:pPr>
    <w:r>
      <w:fldChar w:fldCharType="begin"/>
    </w:r>
    <w:r>
      <w:rPr>
        <w:rStyle w:val="40"/>
      </w:rPr>
      <w:instrText xml:space="preserve">PAGE  </w:instrText>
    </w:r>
    <w:r>
      <w:fldChar w:fldCharType="separate"/>
    </w:r>
    <w:r>
      <w:rPr>
        <w:rStyle w:val="40"/>
      </w:rPr>
      <w:t>1</w:t>
    </w:r>
    <w:r>
      <w:fldChar w:fldCharType="end"/>
    </w: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Style w:val="40"/>
                            </w:rPr>
                          </w:pPr>
                          <w:r>
                            <w:rPr>
                              <w:rStyle w:val="40"/>
                            </w:rPr>
                            <w:fldChar w:fldCharType="begin"/>
                          </w:r>
                          <w:r>
                            <w:rPr>
                              <w:rStyle w:val="40"/>
                            </w:rPr>
                            <w:instrText xml:space="preserve">PAGE  </w:instrText>
                          </w:r>
                          <w:r>
                            <w:rPr>
                              <w:rStyle w:val="40"/>
                            </w:rPr>
                            <w:fldChar w:fldCharType="separate"/>
                          </w:r>
                          <w:r>
                            <w:rPr>
                              <w:rStyle w:val="40"/>
                            </w:rPr>
                            <w:t>45</w:t>
                          </w:r>
                          <w:r>
                            <w:rPr>
                              <w:rStyle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1"/>
                      <w:rPr>
                        <w:rStyle w:val="40"/>
                      </w:rPr>
                    </w:pPr>
                    <w:r>
                      <w:rPr>
                        <w:rStyle w:val="40"/>
                      </w:rPr>
                      <w:fldChar w:fldCharType="begin"/>
                    </w:r>
                    <w:r>
                      <w:rPr>
                        <w:rStyle w:val="40"/>
                      </w:rPr>
                      <w:instrText xml:space="preserve">PAGE  </w:instrText>
                    </w:r>
                    <w:r>
                      <w:rPr>
                        <w:rStyle w:val="40"/>
                      </w:rPr>
                      <w:fldChar w:fldCharType="separate"/>
                    </w:r>
                    <w:r>
                      <w:rPr>
                        <w:rStyle w:val="40"/>
                      </w:rPr>
                      <w:t>45</w:t>
                    </w:r>
                    <w:r>
                      <w:rPr>
                        <w:rStyle w:val="4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6" w:space="0"/>
      </w:pBdr>
      <w:tabs>
        <w:tab w:val="left" w:pos="8460"/>
        <w:tab w:val="left" w:pos="9180"/>
        <w:tab w:val="clear" w:pos="4153"/>
        <w:tab w:val="clear" w:pos="8306"/>
      </w:tabs>
      <w:ind w:right="360"/>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40"/>
      </w:rPr>
    </w:pPr>
    <w:r>
      <w:rPr>
        <w:rStyle w:val="40"/>
      </w:rPr>
      <w:fldChar w:fldCharType="begin"/>
    </w:r>
    <w:r>
      <w:rPr>
        <w:rStyle w:val="40"/>
      </w:rPr>
      <w:instrText xml:space="preserve">PAGE  </w:instrText>
    </w:r>
    <w:r>
      <w:rPr>
        <w:rStyle w:val="40"/>
      </w:rPr>
      <w:fldChar w:fldCharType="end"/>
    </w:r>
  </w:p>
  <w:p>
    <w:pPr>
      <w:pStyle w:val="2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21B7E"/>
    <w:multiLevelType w:val="singleLevel"/>
    <w:tmpl w:val="CA921B7E"/>
    <w:lvl w:ilvl="0" w:tentative="0">
      <w:start w:val="3"/>
      <w:numFmt w:val="chineseCounting"/>
      <w:suff w:val="nothing"/>
      <w:lvlText w:val="%1、"/>
      <w:lvlJc w:val="left"/>
      <w:rPr>
        <w:rFonts w:hint="eastAsia"/>
      </w:rPr>
    </w:lvl>
  </w:abstractNum>
  <w:abstractNum w:abstractNumId="1">
    <w:nsid w:val="F3272921"/>
    <w:multiLevelType w:val="singleLevel"/>
    <w:tmpl w:val="F3272921"/>
    <w:lvl w:ilvl="0" w:tentative="0">
      <w:start w:val="1"/>
      <w:numFmt w:val="decimal"/>
      <w:lvlText w:val="%1."/>
      <w:lvlJc w:val="left"/>
      <w:pPr>
        <w:tabs>
          <w:tab w:val="left" w:pos="312"/>
        </w:tabs>
      </w:pPr>
    </w:lvl>
  </w:abstractNum>
  <w:abstractNum w:abstractNumId="2">
    <w:nsid w:val="00000005"/>
    <w:multiLevelType w:val="multilevel"/>
    <w:tmpl w:val="00000005"/>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2AFBB62"/>
    <w:multiLevelType w:val="singleLevel"/>
    <w:tmpl w:val="12AFBB62"/>
    <w:lvl w:ilvl="0" w:tentative="0">
      <w:start w:val="1"/>
      <w:numFmt w:val="decimal"/>
      <w:suff w:val="nothing"/>
      <w:lvlText w:val="%1、"/>
      <w:lvlJc w:val="left"/>
    </w:lvl>
  </w:abstractNum>
  <w:abstractNum w:abstractNumId="4">
    <w:nsid w:val="142B72E0"/>
    <w:multiLevelType w:val="singleLevel"/>
    <w:tmpl w:val="142B72E0"/>
    <w:lvl w:ilvl="0" w:tentative="0">
      <w:start w:val="1"/>
      <w:numFmt w:val="decimal"/>
      <w:suff w:val="nothing"/>
      <w:lvlText w:val="%1、"/>
      <w:lvlJc w:val="left"/>
    </w:lvl>
  </w:abstractNum>
  <w:abstractNum w:abstractNumId="5">
    <w:nsid w:val="17A50757"/>
    <w:multiLevelType w:val="singleLevel"/>
    <w:tmpl w:val="17A50757"/>
    <w:lvl w:ilvl="0" w:tentative="0">
      <w:start w:val="1"/>
      <w:numFmt w:val="decimal"/>
      <w:suff w:val="nothing"/>
      <w:lvlText w:val="%1、"/>
      <w:lvlJc w:val="left"/>
    </w:lvl>
  </w:abstractNum>
  <w:abstractNum w:abstractNumId="6">
    <w:nsid w:val="5976AC10"/>
    <w:multiLevelType w:val="singleLevel"/>
    <w:tmpl w:val="5976AC10"/>
    <w:lvl w:ilvl="0" w:tentative="0">
      <w:start w:val="2"/>
      <w:numFmt w:val="decimal"/>
      <w:suff w:val="nothing"/>
      <w:lvlText w:val="%1、"/>
      <w:lvlJc w:val="left"/>
      <w:rPr>
        <w:rFonts w:hint="default"/>
        <w:b/>
        <w:bCs/>
      </w:rPr>
    </w:lvl>
  </w:abstractNum>
  <w:abstractNum w:abstractNumId="7">
    <w:nsid w:val="7740CD31"/>
    <w:multiLevelType w:val="singleLevel"/>
    <w:tmpl w:val="7740CD31"/>
    <w:lvl w:ilvl="0" w:tentative="0">
      <w:start w:val="2"/>
      <w:numFmt w:val="decimal"/>
      <w:suff w:val="nothing"/>
      <w:lvlText w:val="%1、"/>
      <w:lvlJc w:val="left"/>
    </w:lvl>
  </w:abstractNum>
  <w:num w:numId="1">
    <w:abstractNumId w:val="2"/>
  </w:num>
  <w:num w:numId="2">
    <w:abstractNumId w:val="7"/>
  </w:num>
  <w:num w:numId="3">
    <w:abstractNumId w:val="5"/>
  </w:num>
  <w:num w:numId="4">
    <w:abstractNumId w:val="4"/>
  </w:num>
  <w:num w:numId="5">
    <w:abstractNumId w:val="0"/>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ZjAxMzY3YmIwNmVmN2M5ZWUxZjUzMzY5OGE4MjEifQ=="/>
  </w:docVars>
  <w:rsids>
    <w:rsidRoot w:val="002D677B"/>
    <w:rsid w:val="000120AC"/>
    <w:rsid w:val="000145D1"/>
    <w:rsid w:val="00015C71"/>
    <w:rsid w:val="000271A7"/>
    <w:rsid w:val="00042454"/>
    <w:rsid w:val="00053B80"/>
    <w:rsid w:val="00053F56"/>
    <w:rsid w:val="00057B34"/>
    <w:rsid w:val="0006429A"/>
    <w:rsid w:val="00066BCF"/>
    <w:rsid w:val="0007068B"/>
    <w:rsid w:val="0007438F"/>
    <w:rsid w:val="00083A3D"/>
    <w:rsid w:val="00085013"/>
    <w:rsid w:val="0008734A"/>
    <w:rsid w:val="00091912"/>
    <w:rsid w:val="00092365"/>
    <w:rsid w:val="00095459"/>
    <w:rsid w:val="000A18AA"/>
    <w:rsid w:val="000A3D75"/>
    <w:rsid w:val="000D72BD"/>
    <w:rsid w:val="000E215B"/>
    <w:rsid w:val="000E29A9"/>
    <w:rsid w:val="000F6DD6"/>
    <w:rsid w:val="0010048A"/>
    <w:rsid w:val="00102BDC"/>
    <w:rsid w:val="00111AA2"/>
    <w:rsid w:val="00117F05"/>
    <w:rsid w:val="001252D5"/>
    <w:rsid w:val="001260B2"/>
    <w:rsid w:val="00135135"/>
    <w:rsid w:val="00135355"/>
    <w:rsid w:val="00146D70"/>
    <w:rsid w:val="00156254"/>
    <w:rsid w:val="001723C8"/>
    <w:rsid w:val="001903C6"/>
    <w:rsid w:val="001A3254"/>
    <w:rsid w:val="001B57E1"/>
    <w:rsid w:val="001C47BA"/>
    <w:rsid w:val="001C6B89"/>
    <w:rsid w:val="00206019"/>
    <w:rsid w:val="0021447E"/>
    <w:rsid w:val="002175D2"/>
    <w:rsid w:val="00222133"/>
    <w:rsid w:val="00230806"/>
    <w:rsid w:val="00230AFD"/>
    <w:rsid w:val="00232B23"/>
    <w:rsid w:val="00237B8A"/>
    <w:rsid w:val="0024002C"/>
    <w:rsid w:val="0025494F"/>
    <w:rsid w:val="002656AE"/>
    <w:rsid w:val="00281CBF"/>
    <w:rsid w:val="002908AE"/>
    <w:rsid w:val="00295D2C"/>
    <w:rsid w:val="002A2A22"/>
    <w:rsid w:val="002A5B98"/>
    <w:rsid w:val="002C3E11"/>
    <w:rsid w:val="002D508E"/>
    <w:rsid w:val="002D53B9"/>
    <w:rsid w:val="002D677B"/>
    <w:rsid w:val="002E54B3"/>
    <w:rsid w:val="002F5374"/>
    <w:rsid w:val="002F5CAB"/>
    <w:rsid w:val="00314F50"/>
    <w:rsid w:val="003342EF"/>
    <w:rsid w:val="00337DCA"/>
    <w:rsid w:val="00341CB0"/>
    <w:rsid w:val="003452C5"/>
    <w:rsid w:val="00350E5F"/>
    <w:rsid w:val="00370F26"/>
    <w:rsid w:val="003808D6"/>
    <w:rsid w:val="00385D3E"/>
    <w:rsid w:val="003A03AB"/>
    <w:rsid w:val="003E0B3C"/>
    <w:rsid w:val="003E7C3B"/>
    <w:rsid w:val="00410AD8"/>
    <w:rsid w:val="00413100"/>
    <w:rsid w:val="00424DA5"/>
    <w:rsid w:val="00425C52"/>
    <w:rsid w:val="004413B4"/>
    <w:rsid w:val="00453F7D"/>
    <w:rsid w:val="00480966"/>
    <w:rsid w:val="004A2AC5"/>
    <w:rsid w:val="004A45A4"/>
    <w:rsid w:val="004C64FF"/>
    <w:rsid w:val="004D5F5D"/>
    <w:rsid w:val="004E0863"/>
    <w:rsid w:val="004F279A"/>
    <w:rsid w:val="0050472D"/>
    <w:rsid w:val="005236AE"/>
    <w:rsid w:val="00524A87"/>
    <w:rsid w:val="00533AAE"/>
    <w:rsid w:val="00554CE3"/>
    <w:rsid w:val="005710D8"/>
    <w:rsid w:val="005A03E4"/>
    <w:rsid w:val="005B04B8"/>
    <w:rsid w:val="005E38A4"/>
    <w:rsid w:val="005E56CC"/>
    <w:rsid w:val="005E754A"/>
    <w:rsid w:val="00654D2C"/>
    <w:rsid w:val="00661562"/>
    <w:rsid w:val="00682117"/>
    <w:rsid w:val="0068795B"/>
    <w:rsid w:val="00695280"/>
    <w:rsid w:val="006B21E7"/>
    <w:rsid w:val="006D3DB9"/>
    <w:rsid w:val="006F01D1"/>
    <w:rsid w:val="006F3D3E"/>
    <w:rsid w:val="006F49EE"/>
    <w:rsid w:val="00703A7D"/>
    <w:rsid w:val="007045A4"/>
    <w:rsid w:val="00715AE4"/>
    <w:rsid w:val="0073207C"/>
    <w:rsid w:val="007550DC"/>
    <w:rsid w:val="00766A44"/>
    <w:rsid w:val="00767BB2"/>
    <w:rsid w:val="00777046"/>
    <w:rsid w:val="00784363"/>
    <w:rsid w:val="0078488E"/>
    <w:rsid w:val="00790BD6"/>
    <w:rsid w:val="0079235B"/>
    <w:rsid w:val="007A4EEE"/>
    <w:rsid w:val="007B00FB"/>
    <w:rsid w:val="007E5141"/>
    <w:rsid w:val="007F1787"/>
    <w:rsid w:val="007F2C26"/>
    <w:rsid w:val="007F3323"/>
    <w:rsid w:val="007F72E0"/>
    <w:rsid w:val="00802679"/>
    <w:rsid w:val="00810784"/>
    <w:rsid w:val="00821EE8"/>
    <w:rsid w:val="008448CD"/>
    <w:rsid w:val="0086536B"/>
    <w:rsid w:val="0089296C"/>
    <w:rsid w:val="008A6D3D"/>
    <w:rsid w:val="008B0E3B"/>
    <w:rsid w:val="008C0ED2"/>
    <w:rsid w:val="008D216E"/>
    <w:rsid w:val="008D283D"/>
    <w:rsid w:val="008E0D41"/>
    <w:rsid w:val="00922A63"/>
    <w:rsid w:val="00925990"/>
    <w:rsid w:val="00940C0D"/>
    <w:rsid w:val="00942328"/>
    <w:rsid w:val="0094320A"/>
    <w:rsid w:val="009628D2"/>
    <w:rsid w:val="00964C0F"/>
    <w:rsid w:val="0097577C"/>
    <w:rsid w:val="00980525"/>
    <w:rsid w:val="009B5EF1"/>
    <w:rsid w:val="009D0332"/>
    <w:rsid w:val="00A051CF"/>
    <w:rsid w:val="00A12E92"/>
    <w:rsid w:val="00A14F6A"/>
    <w:rsid w:val="00A17EB8"/>
    <w:rsid w:val="00A2462A"/>
    <w:rsid w:val="00A27C2C"/>
    <w:rsid w:val="00A301BA"/>
    <w:rsid w:val="00A3443C"/>
    <w:rsid w:val="00A5114C"/>
    <w:rsid w:val="00A52EA8"/>
    <w:rsid w:val="00A612D2"/>
    <w:rsid w:val="00A7302C"/>
    <w:rsid w:val="00A74097"/>
    <w:rsid w:val="00A74C0B"/>
    <w:rsid w:val="00A85BA0"/>
    <w:rsid w:val="00A95755"/>
    <w:rsid w:val="00A957C6"/>
    <w:rsid w:val="00A966A5"/>
    <w:rsid w:val="00AA5057"/>
    <w:rsid w:val="00AB51D7"/>
    <w:rsid w:val="00AC4741"/>
    <w:rsid w:val="00AD100F"/>
    <w:rsid w:val="00B00630"/>
    <w:rsid w:val="00B21075"/>
    <w:rsid w:val="00B27CFD"/>
    <w:rsid w:val="00B4726F"/>
    <w:rsid w:val="00B57818"/>
    <w:rsid w:val="00B578EB"/>
    <w:rsid w:val="00B7616C"/>
    <w:rsid w:val="00B80346"/>
    <w:rsid w:val="00BA10A8"/>
    <w:rsid w:val="00BA136D"/>
    <w:rsid w:val="00BA3764"/>
    <w:rsid w:val="00BB63DF"/>
    <w:rsid w:val="00BB7605"/>
    <w:rsid w:val="00BC2739"/>
    <w:rsid w:val="00BC5045"/>
    <w:rsid w:val="00C0313E"/>
    <w:rsid w:val="00C35B5F"/>
    <w:rsid w:val="00C4377A"/>
    <w:rsid w:val="00C5087F"/>
    <w:rsid w:val="00C56F48"/>
    <w:rsid w:val="00C6343E"/>
    <w:rsid w:val="00C71EC0"/>
    <w:rsid w:val="00C72D9C"/>
    <w:rsid w:val="00C734AB"/>
    <w:rsid w:val="00C84AAC"/>
    <w:rsid w:val="00C97CD9"/>
    <w:rsid w:val="00CA32AE"/>
    <w:rsid w:val="00CA60CE"/>
    <w:rsid w:val="00CB2CE0"/>
    <w:rsid w:val="00CC121F"/>
    <w:rsid w:val="00CE1386"/>
    <w:rsid w:val="00CE28E9"/>
    <w:rsid w:val="00CE3BB4"/>
    <w:rsid w:val="00CF10C1"/>
    <w:rsid w:val="00CF3743"/>
    <w:rsid w:val="00D027C9"/>
    <w:rsid w:val="00D13AEE"/>
    <w:rsid w:val="00D16453"/>
    <w:rsid w:val="00D175FB"/>
    <w:rsid w:val="00D2401D"/>
    <w:rsid w:val="00D33ECF"/>
    <w:rsid w:val="00D429C1"/>
    <w:rsid w:val="00D6083A"/>
    <w:rsid w:val="00DA1E4E"/>
    <w:rsid w:val="00DA2C77"/>
    <w:rsid w:val="00DA578E"/>
    <w:rsid w:val="00DC1314"/>
    <w:rsid w:val="00DC653F"/>
    <w:rsid w:val="00DD1C69"/>
    <w:rsid w:val="00DD2C6C"/>
    <w:rsid w:val="00DE18CD"/>
    <w:rsid w:val="00DF7DF4"/>
    <w:rsid w:val="00E119E3"/>
    <w:rsid w:val="00E15875"/>
    <w:rsid w:val="00E20914"/>
    <w:rsid w:val="00E231B2"/>
    <w:rsid w:val="00E55D55"/>
    <w:rsid w:val="00E617E1"/>
    <w:rsid w:val="00E848B5"/>
    <w:rsid w:val="00E912B4"/>
    <w:rsid w:val="00EA3497"/>
    <w:rsid w:val="00EB3BD8"/>
    <w:rsid w:val="00EE11E5"/>
    <w:rsid w:val="00EE4358"/>
    <w:rsid w:val="00EE5630"/>
    <w:rsid w:val="00EF2195"/>
    <w:rsid w:val="00EF3C5F"/>
    <w:rsid w:val="00F05A49"/>
    <w:rsid w:val="00F1594F"/>
    <w:rsid w:val="00F22829"/>
    <w:rsid w:val="00F31F25"/>
    <w:rsid w:val="00F40445"/>
    <w:rsid w:val="00F43B03"/>
    <w:rsid w:val="00F464A7"/>
    <w:rsid w:val="00F564DA"/>
    <w:rsid w:val="00F64830"/>
    <w:rsid w:val="00F74BC0"/>
    <w:rsid w:val="00F76D41"/>
    <w:rsid w:val="00F91C4B"/>
    <w:rsid w:val="00F927C2"/>
    <w:rsid w:val="00FA1EEE"/>
    <w:rsid w:val="00FA35DA"/>
    <w:rsid w:val="00FB29F0"/>
    <w:rsid w:val="00FC1D08"/>
    <w:rsid w:val="00FC79F6"/>
    <w:rsid w:val="00FF1C7C"/>
    <w:rsid w:val="011253ED"/>
    <w:rsid w:val="017E1B19"/>
    <w:rsid w:val="01ED3B47"/>
    <w:rsid w:val="03062E20"/>
    <w:rsid w:val="03085511"/>
    <w:rsid w:val="032D29B2"/>
    <w:rsid w:val="03936CB9"/>
    <w:rsid w:val="03B22505"/>
    <w:rsid w:val="03D746CC"/>
    <w:rsid w:val="04067181"/>
    <w:rsid w:val="04103CCA"/>
    <w:rsid w:val="04BB4853"/>
    <w:rsid w:val="04EE7346"/>
    <w:rsid w:val="04F55E74"/>
    <w:rsid w:val="05045387"/>
    <w:rsid w:val="05104E6D"/>
    <w:rsid w:val="05A30D0A"/>
    <w:rsid w:val="05ED76CD"/>
    <w:rsid w:val="06262FF6"/>
    <w:rsid w:val="07267565"/>
    <w:rsid w:val="0736405C"/>
    <w:rsid w:val="07414C7E"/>
    <w:rsid w:val="07490ADF"/>
    <w:rsid w:val="07506F71"/>
    <w:rsid w:val="078C18B4"/>
    <w:rsid w:val="07A20F5E"/>
    <w:rsid w:val="07C5765D"/>
    <w:rsid w:val="080041F1"/>
    <w:rsid w:val="080B49C0"/>
    <w:rsid w:val="08531B86"/>
    <w:rsid w:val="0861256E"/>
    <w:rsid w:val="08C568FA"/>
    <w:rsid w:val="093F0D49"/>
    <w:rsid w:val="095F7F4C"/>
    <w:rsid w:val="09A60123"/>
    <w:rsid w:val="09AE75F4"/>
    <w:rsid w:val="09B95F2A"/>
    <w:rsid w:val="0A0C7574"/>
    <w:rsid w:val="0A424E4D"/>
    <w:rsid w:val="0A825391"/>
    <w:rsid w:val="0A8E5F9D"/>
    <w:rsid w:val="0AAF1D47"/>
    <w:rsid w:val="0AB21F41"/>
    <w:rsid w:val="0AF82AC1"/>
    <w:rsid w:val="0B0C1872"/>
    <w:rsid w:val="0B156206"/>
    <w:rsid w:val="0B401767"/>
    <w:rsid w:val="0B626F71"/>
    <w:rsid w:val="0B633415"/>
    <w:rsid w:val="0B66533A"/>
    <w:rsid w:val="0B84414D"/>
    <w:rsid w:val="0BD46BAD"/>
    <w:rsid w:val="0BE120B2"/>
    <w:rsid w:val="0BFA2DB1"/>
    <w:rsid w:val="0C8C699B"/>
    <w:rsid w:val="0CEC43CA"/>
    <w:rsid w:val="0D0E115E"/>
    <w:rsid w:val="0D2A1D10"/>
    <w:rsid w:val="0D50431A"/>
    <w:rsid w:val="0D8D4779"/>
    <w:rsid w:val="0DAC2D80"/>
    <w:rsid w:val="0DCB52A1"/>
    <w:rsid w:val="0DF624E0"/>
    <w:rsid w:val="0E346850"/>
    <w:rsid w:val="0E404088"/>
    <w:rsid w:val="0E51464F"/>
    <w:rsid w:val="0EA113FA"/>
    <w:rsid w:val="0EB65F51"/>
    <w:rsid w:val="0ECA11CC"/>
    <w:rsid w:val="0F390E8E"/>
    <w:rsid w:val="0F7979B8"/>
    <w:rsid w:val="0F8F57EF"/>
    <w:rsid w:val="0FC465FA"/>
    <w:rsid w:val="0FF97625"/>
    <w:rsid w:val="100313BA"/>
    <w:rsid w:val="1005259F"/>
    <w:rsid w:val="1018304A"/>
    <w:rsid w:val="110475FD"/>
    <w:rsid w:val="114C494B"/>
    <w:rsid w:val="119066D9"/>
    <w:rsid w:val="11A335B5"/>
    <w:rsid w:val="11D02E86"/>
    <w:rsid w:val="11D96B6A"/>
    <w:rsid w:val="121511E1"/>
    <w:rsid w:val="1219428E"/>
    <w:rsid w:val="12AB7BB2"/>
    <w:rsid w:val="12E84200"/>
    <w:rsid w:val="12FB4B4E"/>
    <w:rsid w:val="130A23C8"/>
    <w:rsid w:val="13490C7D"/>
    <w:rsid w:val="13580BCE"/>
    <w:rsid w:val="135C3D02"/>
    <w:rsid w:val="13604A7D"/>
    <w:rsid w:val="13734411"/>
    <w:rsid w:val="13D52CCE"/>
    <w:rsid w:val="14321BD6"/>
    <w:rsid w:val="143F60A1"/>
    <w:rsid w:val="144B29A7"/>
    <w:rsid w:val="14E27C21"/>
    <w:rsid w:val="1517097B"/>
    <w:rsid w:val="151E65FF"/>
    <w:rsid w:val="153B2049"/>
    <w:rsid w:val="156009C5"/>
    <w:rsid w:val="15614DA8"/>
    <w:rsid w:val="15AD79BC"/>
    <w:rsid w:val="16066864"/>
    <w:rsid w:val="160B18A3"/>
    <w:rsid w:val="160C28FB"/>
    <w:rsid w:val="1626576B"/>
    <w:rsid w:val="16923636"/>
    <w:rsid w:val="16991EF7"/>
    <w:rsid w:val="172B095B"/>
    <w:rsid w:val="173850A7"/>
    <w:rsid w:val="17451C21"/>
    <w:rsid w:val="174C0AC9"/>
    <w:rsid w:val="177B4CDC"/>
    <w:rsid w:val="17A032FB"/>
    <w:rsid w:val="17BA7FA6"/>
    <w:rsid w:val="17C50FB3"/>
    <w:rsid w:val="17CF3BE0"/>
    <w:rsid w:val="17D0302E"/>
    <w:rsid w:val="18150CA7"/>
    <w:rsid w:val="18294E05"/>
    <w:rsid w:val="18950986"/>
    <w:rsid w:val="18C66D91"/>
    <w:rsid w:val="18FD74C3"/>
    <w:rsid w:val="192817FA"/>
    <w:rsid w:val="192B2CC7"/>
    <w:rsid w:val="198B1495"/>
    <w:rsid w:val="1A5915B2"/>
    <w:rsid w:val="1A5D1977"/>
    <w:rsid w:val="1A6C248D"/>
    <w:rsid w:val="1A81091F"/>
    <w:rsid w:val="1AE4406F"/>
    <w:rsid w:val="1AF45622"/>
    <w:rsid w:val="1B5A7D5C"/>
    <w:rsid w:val="1B654F02"/>
    <w:rsid w:val="1B6E76F4"/>
    <w:rsid w:val="1B7B26E1"/>
    <w:rsid w:val="1BBFA30C"/>
    <w:rsid w:val="1C1A0C17"/>
    <w:rsid w:val="1C32741A"/>
    <w:rsid w:val="1C405AE5"/>
    <w:rsid w:val="1CAD0994"/>
    <w:rsid w:val="1CCC4B92"/>
    <w:rsid w:val="1D1B6922"/>
    <w:rsid w:val="1D960483"/>
    <w:rsid w:val="1DF15284"/>
    <w:rsid w:val="1E1265CA"/>
    <w:rsid w:val="1E262080"/>
    <w:rsid w:val="1EF34658"/>
    <w:rsid w:val="1EF36406"/>
    <w:rsid w:val="1F120F82"/>
    <w:rsid w:val="1F171CFB"/>
    <w:rsid w:val="1F3C13B6"/>
    <w:rsid w:val="1F4B49D6"/>
    <w:rsid w:val="1FF85069"/>
    <w:rsid w:val="2059673D"/>
    <w:rsid w:val="20923F96"/>
    <w:rsid w:val="20CE56C6"/>
    <w:rsid w:val="20F41885"/>
    <w:rsid w:val="210C1A01"/>
    <w:rsid w:val="2121360F"/>
    <w:rsid w:val="212611D2"/>
    <w:rsid w:val="212C4C52"/>
    <w:rsid w:val="21507B40"/>
    <w:rsid w:val="217A776E"/>
    <w:rsid w:val="21993B18"/>
    <w:rsid w:val="219959F5"/>
    <w:rsid w:val="21AD4F92"/>
    <w:rsid w:val="220A5F40"/>
    <w:rsid w:val="22326B0B"/>
    <w:rsid w:val="22464B8D"/>
    <w:rsid w:val="22737F8A"/>
    <w:rsid w:val="22745AB0"/>
    <w:rsid w:val="229A201B"/>
    <w:rsid w:val="233F1DB4"/>
    <w:rsid w:val="239974D6"/>
    <w:rsid w:val="23E266D0"/>
    <w:rsid w:val="23E4618A"/>
    <w:rsid w:val="242157C3"/>
    <w:rsid w:val="244E3D8C"/>
    <w:rsid w:val="2492140C"/>
    <w:rsid w:val="24B335CE"/>
    <w:rsid w:val="24F11BE1"/>
    <w:rsid w:val="250B31A8"/>
    <w:rsid w:val="2543433B"/>
    <w:rsid w:val="25763664"/>
    <w:rsid w:val="258204E4"/>
    <w:rsid w:val="25AE6D74"/>
    <w:rsid w:val="25EF0E4B"/>
    <w:rsid w:val="260C7250"/>
    <w:rsid w:val="261A4BC0"/>
    <w:rsid w:val="266E0B2A"/>
    <w:rsid w:val="269169B4"/>
    <w:rsid w:val="269C26E3"/>
    <w:rsid w:val="27110C4C"/>
    <w:rsid w:val="27194E78"/>
    <w:rsid w:val="272E2D63"/>
    <w:rsid w:val="27410CB9"/>
    <w:rsid w:val="276D441A"/>
    <w:rsid w:val="2780018A"/>
    <w:rsid w:val="27897DAC"/>
    <w:rsid w:val="27B64475"/>
    <w:rsid w:val="27C43035"/>
    <w:rsid w:val="2861396F"/>
    <w:rsid w:val="28B44010"/>
    <w:rsid w:val="28DD1DED"/>
    <w:rsid w:val="291D29FD"/>
    <w:rsid w:val="29384EA8"/>
    <w:rsid w:val="29CC520E"/>
    <w:rsid w:val="29E26463"/>
    <w:rsid w:val="2A023B5C"/>
    <w:rsid w:val="2A07065D"/>
    <w:rsid w:val="2A0A08C3"/>
    <w:rsid w:val="2A534564"/>
    <w:rsid w:val="2A573A70"/>
    <w:rsid w:val="2AB40FBA"/>
    <w:rsid w:val="2AE01F34"/>
    <w:rsid w:val="2B1D67DB"/>
    <w:rsid w:val="2B23788F"/>
    <w:rsid w:val="2B3043E2"/>
    <w:rsid w:val="2B936FA7"/>
    <w:rsid w:val="2C11611D"/>
    <w:rsid w:val="2C6E531E"/>
    <w:rsid w:val="2C734E47"/>
    <w:rsid w:val="2CB5192D"/>
    <w:rsid w:val="2CBD48CE"/>
    <w:rsid w:val="2CE211B2"/>
    <w:rsid w:val="2CE61358"/>
    <w:rsid w:val="2D750B6D"/>
    <w:rsid w:val="2DBB4593"/>
    <w:rsid w:val="2E015B36"/>
    <w:rsid w:val="2E275F81"/>
    <w:rsid w:val="2E421F93"/>
    <w:rsid w:val="2E4E51C2"/>
    <w:rsid w:val="2E77681E"/>
    <w:rsid w:val="2EC64DF1"/>
    <w:rsid w:val="2F4B2B19"/>
    <w:rsid w:val="2F520F27"/>
    <w:rsid w:val="2F6246CC"/>
    <w:rsid w:val="2F880DEC"/>
    <w:rsid w:val="2FC53683"/>
    <w:rsid w:val="2FE97A5F"/>
    <w:rsid w:val="2FEC4ED7"/>
    <w:rsid w:val="30030473"/>
    <w:rsid w:val="305129D3"/>
    <w:rsid w:val="305A47DE"/>
    <w:rsid w:val="309E348C"/>
    <w:rsid w:val="30E07B7C"/>
    <w:rsid w:val="31394322"/>
    <w:rsid w:val="315947EF"/>
    <w:rsid w:val="3163566D"/>
    <w:rsid w:val="3184082E"/>
    <w:rsid w:val="31CD0D39"/>
    <w:rsid w:val="32617B06"/>
    <w:rsid w:val="327F58EB"/>
    <w:rsid w:val="328304A8"/>
    <w:rsid w:val="32BC5F4D"/>
    <w:rsid w:val="32C64006"/>
    <w:rsid w:val="32C75788"/>
    <w:rsid w:val="33393656"/>
    <w:rsid w:val="33497B0A"/>
    <w:rsid w:val="337A1509"/>
    <w:rsid w:val="337C1CD3"/>
    <w:rsid w:val="33C11B6F"/>
    <w:rsid w:val="33FE364D"/>
    <w:rsid w:val="3429115A"/>
    <w:rsid w:val="34325CD9"/>
    <w:rsid w:val="346113B3"/>
    <w:rsid w:val="34A845B2"/>
    <w:rsid w:val="34DF6659"/>
    <w:rsid w:val="34F2580B"/>
    <w:rsid w:val="3583008C"/>
    <w:rsid w:val="36024564"/>
    <w:rsid w:val="36276335"/>
    <w:rsid w:val="36981B5D"/>
    <w:rsid w:val="36A9634B"/>
    <w:rsid w:val="36B50719"/>
    <w:rsid w:val="36D079C8"/>
    <w:rsid w:val="36E032BC"/>
    <w:rsid w:val="37735EDE"/>
    <w:rsid w:val="37783559"/>
    <w:rsid w:val="37B95FE7"/>
    <w:rsid w:val="37D716E7"/>
    <w:rsid w:val="38683569"/>
    <w:rsid w:val="390A4CE0"/>
    <w:rsid w:val="394E09B1"/>
    <w:rsid w:val="39A552A4"/>
    <w:rsid w:val="39D761EF"/>
    <w:rsid w:val="3A0B4AF4"/>
    <w:rsid w:val="3A561988"/>
    <w:rsid w:val="3A733075"/>
    <w:rsid w:val="3A76410D"/>
    <w:rsid w:val="3A8F3EBA"/>
    <w:rsid w:val="3AB10259"/>
    <w:rsid w:val="3ABA6222"/>
    <w:rsid w:val="3ACC4283"/>
    <w:rsid w:val="3B00217F"/>
    <w:rsid w:val="3B301F44"/>
    <w:rsid w:val="3B7D557D"/>
    <w:rsid w:val="3BAE4829"/>
    <w:rsid w:val="3BC44F5A"/>
    <w:rsid w:val="3BD57D54"/>
    <w:rsid w:val="3BDF73C5"/>
    <w:rsid w:val="3C0D06AF"/>
    <w:rsid w:val="3C202033"/>
    <w:rsid w:val="3C3F394C"/>
    <w:rsid w:val="3C623D29"/>
    <w:rsid w:val="3C8C1F1C"/>
    <w:rsid w:val="3D5440BC"/>
    <w:rsid w:val="3D780336"/>
    <w:rsid w:val="3D7C4A02"/>
    <w:rsid w:val="3D902D22"/>
    <w:rsid w:val="3D99065E"/>
    <w:rsid w:val="3DF106A8"/>
    <w:rsid w:val="3DF4021A"/>
    <w:rsid w:val="3E047963"/>
    <w:rsid w:val="3E18158D"/>
    <w:rsid w:val="3E880CCF"/>
    <w:rsid w:val="3E8E5BBA"/>
    <w:rsid w:val="3EB86069"/>
    <w:rsid w:val="3EDC10FF"/>
    <w:rsid w:val="3EEA5A20"/>
    <w:rsid w:val="3F0A5E23"/>
    <w:rsid w:val="3F1509DC"/>
    <w:rsid w:val="3F1B741F"/>
    <w:rsid w:val="3F406FEE"/>
    <w:rsid w:val="3F5274EE"/>
    <w:rsid w:val="3F5E2757"/>
    <w:rsid w:val="3F6C393F"/>
    <w:rsid w:val="3F752018"/>
    <w:rsid w:val="3F785608"/>
    <w:rsid w:val="3FBD250E"/>
    <w:rsid w:val="3FFF20F3"/>
    <w:rsid w:val="402734A4"/>
    <w:rsid w:val="405A4873"/>
    <w:rsid w:val="405C30EF"/>
    <w:rsid w:val="407B3EBF"/>
    <w:rsid w:val="40DF693D"/>
    <w:rsid w:val="40F16A8E"/>
    <w:rsid w:val="41166258"/>
    <w:rsid w:val="412545BE"/>
    <w:rsid w:val="41526B64"/>
    <w:rsid w:val="4184340D"/>
    <w:rsid w:val="41870F04"/>
    <w:rsid w:val="41E21275"/>
    <w:rsid w:val="41ED6BCB"/>
    <w:rsid w:val="425A03C6"/>
    <w:rsid w:val="42D02437"/>
    <w:rsid w:val="42D67AEC"/>
    <w:rsid w:val="42E9367D"/>
    <w:rsid w:val="42F6152E"/>
    <w:rsid w:val="42FF6CFF"/>
    <w:rsid w:val="43147740"/>
    <w:rsid w:val="43291B47"/>
    <w:rsid w:val="43432C09"/>
    <w:rsid w:val="43771108"/>
    <w:rsid w:val="438C4E1A"/>
    <w:rsid w:val="43D6414C"/>
    <w:rsid w:val="44020D16"/>
    <w:rsid w:val="440305EA"/>
    <w:rsid w:val="441D78FE"/>
    <w:rsid w:val="443677C7"/>
    <w:rsid w:val="4440126D"/>
    <w:rsid w:val="445F7604"/>
    <w:rsid w:val="446523D2"/>
    <w:rsid w:val="447A4D50"/>
    <w:rsid w:val="44867251"/>
    <w:rsid w:val="44DA0696"/>
    <w:rsid w:val="44E45943"/>
    <w:rsid w:val="44E80BF1"/>
    <w:rsid w:val="44FE1514"/>
    <w:rsid w:val="451A3E3D"/>
    <w:rsid w:val="457D6B2F"/>
    <w:rsid w:val="4583380E"/>
    <w:rsid w:val="458B0897"/>
    <w:rsid w:val="45993146"/>
    <w:rsid w:val="45B1127B"/>
    <w:rsid w:val="45EB3538"/>
    <w:rsid w:val="46440499"/>
    <w:rsid w:val="46623CEE"/>
    <w:rsid w:val="46771AC0"/>
    <w:rsid w:val="46972D4E"/>
    <w:rsid w:val="46DC3AA0"/>
    <w:rsid w:val="4743767B"/>
    <w:rsid w:val="47777325"/>
    <w:rsid w:val="47867C8A"/>
    <w:rsid w:val="47954A4A"/>
    <w:rsid w:val="479B001B"/>
    <w:rsid w:val="47BB1907"/>
    <w:rsid w:val="47D21CE6"/>
    <w:rsid w:val="47E5272B"/>
    <w:rsid w:val="47E86474"/>
    <w:rsid w:val="480C0D42"/>
    <w:rsid w:val="481456B4"/>
    <w:rsid w:val="48335D86"/>
    <w:rsid w:val="483F6900"/>
    <w:rsid w:val="484713ED"/>
    <w:rsid w:val="484F3DFE"/>
    <w:rsid w:val="48876507"/>
    <w:rsid w:val="48877A3B"/>
    <w:rsid w:val="489B5295"/>
    <w:rsid w:val="48A14890"/>
    <w:rsid w:val="48AA54D8"/>
    <w:rsid w:val="495559F0"/>
    <w:rsid w:val="49595BC3"/>
    <w:rsid w:val="4A394D65"/>
    <w:rsid w:val="4A4C0CEF"/>
    <w:rsid w:val="4A67403B"/>
    <w:rsid w:val="4A734E79"/>
    <w:rsid w:val="4AD27698"/>
    <w:rsid w:val="4B157580"/>
    <w:rsid w:val="4B1B114F"/>
    <w:rsid w:val="4B223A4B"/>
    <w:rsid w:val="4B250368"/>
    <w:rsid w:val="4B7A75FA"/>
    <w:rsid w:val="4B7B52E3"/>
    <w:rsid w:val="4B7F6C9B"/>
    <w:rsid w:val="4BB01238"/>
    <w:rsid w:val="4BE331DB"/>
    <w:rsid w:val="4BF93ABC"/>
    <w:rsid w:val="4BFA3879"/>
    <w:rsid w:val="4C2F1AF1"/>
    <w:rsid w:val="4C3F1A69"/>
    <w:rsid w:val="4C401A56"/>
    <w:rsid w:val="4C4C7D4D"/>
    <w:rsid w:val="4C692E82"/>
    <w:rsid w:val="4C974380"/>
    <w:rsid w:val="4CA7336B"/>
    <w:rsid w:val="4CC441C3"/>
    <w:rsid w:val="4D001539"/>
    <w:rsid w:val="4D060FF1"/>
    <w:rsid w:val="4D5B5816"/>
    <w:rsid w:val="4D6138EC"/>
    <w:rsid w:val="4D714797"/>
    <w:rsid w:val="4D7809BA"/>
    <w:rsid w:val="4D820C8A"/>
    <w:rsid w:val="4D9F0EEA"/>
    <w:rsid w:val="4DDA23BB"/>
    <w:rsid w:val="4E0F02B7"/>
    <w:rsid w:val="4E3917D8"/>
    <w:rsid w:val="4F095D32"/>
    <w:rsid w:val="4F1A4882"/>
    <w:rsid w:val="4F221F2D"/>
    <w:rsid w:val="4F3C4DEC"/>
    <w:rsid w:val="4F583EE0"/>
    <w:rsid w:val="4F5F701C"/>
    <w:rsid w:val="4F6D0EC1"/>
    <w:rsid w:val="4F7E6690"/>
    <w:rsid w:val="4FB94CCB"/>
    <w:rsid w:val="4FE47521"/>
    <w:rsid w:val="50281B04"/>
    <w:rsid w:val="502B3FFD"/>
    <w:rsid w:val="504900D3"/>
    <w:rsid w:val="50E70202"/>
    <w:rsid w:val="51361FFF"/>
    <w:rsid w:val="51B353FD"/>
    <w:rsid w:val="520143BB"/>
    <w:rsid w:val="528374C6"/>
    <w:rsid w:val="52892F5B"/>
    <w:rsid w:val="5296641D"/>
    <w:rsid w:val="52F61709"/>
    <w:rsid w:val="533407C0"/>
    <w:rsid w:val="534A7FE3"/>
    <w:rsid w:val="54073585"/>
    <w:rsid w:val="541250CE"/>
    <w:rsid w:val="54437DC2"/>
    <w:rsid w:val="54602B84"/>
    <w:rsid w:val="54995B0C"/>
    <w:rsid w:val="54DB7C79"/>
    <w:rsid w:val="54E74E26"/>
    <w:rsid w:val="55580A4D"/>
    <w:rsid w:val="558A21CC"/>
    <w:rsid w:val="558E065B"/>
    <w:rsid w:val="55AD5535"/>
    <w:rsid w:val="55B45B96"/>
    <w:rsid w:val="55C3622E"/>
    <w:rsid w:val="55DC1770"/>
    <w:rsid w:val="55EB22AC"/>
    <w:rsid w:val="561133F2"/>
    <w:rsid w:val="564D1DBC"/>
    <w:rsid w:val="56571FFA"/>
    <w:rsid w:val="565B1D52"/>
    <w:rsid w:val="56A92CC7"/>
    <w:rsid w:val="571C3A45"/>
    <w:rsid w:val="57392849"/>
    <w:rsid w:val="583D3C73"/>
    <w:rsid w:val="58682DFB"/>
    <w:rsid w:val="587F428B"/>
    <w:rsid w:val="58BD10F2"/>
    <w:rsid w:val="58CD33C2"/>
    <w:rsid w:val="58E97957"/>
    <w:rsid w:val="593F0930"/>
    <w:rsid w:val="596469D4"/>
    <w:rsid w:val="59AA7659"/>
    <w:rsid w:val="59BE0DE3"/>
    <w:rsid w:val="59FF2EE3"/>
    <w:rsid w:val="5A435D8A"/>
    <w:rsid w:val="5A6F196A"/>
    <w:rsid w:val="5AED1980"/>
    <w:rsid w:val="5B0CF2D3"/>
    <w:rsid w:val="5B2B06FA"/>
    <w:rsid w:val="5B6065F6"/>
    <w:rsid w:val="5B7B30F8"/>
    <w:rsid w:val="5BBC1D09"/>
    <w:rsid w:val="5C34380B"/>
    <w:rsid w:val="5C602D32"/>
    <w:rsid w:val="5C9D2F32"/>
    <w:rsid w:val="5CD34BA6"/>
    <w:rsid w:val="5CE934CC"/>
    <w:rsid w:val="5CEC5C67"/>
    <w:rsid w:val="5CFC6999"/>
    <w:rsid w:val="5D3D756A"/>
    <w:rsid w:val="5D8C2DD2"/>
    <w:rsid w:val="5DD72473"/>
    <w:rsid w:val="5E021BE6"/>
    <w:rsid w:val="5E345B18"/>
    <w:rsid w:val="5E765BD7"/>
    <w:rsid w:val="5ED12060"/>
    <w:rsid w:val="5F503D12"/>
    <w:rsid w:val="5F912AC4"/>
    <w:rsid w:val="5FD135BC"/>
    <w:rsid w:val="5FD14724"/>
    <w:rsid w:val="60310561"/>
    <w:rsid w:val="60387705"/>
    <w:rsid w:val="60607BB3"/>
    <w:rsid w:val="60700F30"/>
    <w:rsid w:val="607B7DDA"/>
    <w:rsid w:val="61812E22"/>
    <w:rsid w:val="61A15272"/>
    <w:rsid w:val="61A76748"/>
    <w:rsid w:val="62042668"/>
    <w:rsid w:val="62196213"/>
    <w:rsid w:val="625B4D27"/>
    <w:rsid w:val="62662018"/>
    <w:rsid w:val="626B2804"/>
    <w:rsid w:val="62775FD3"/>
    <w:rsid w:val="62813525"/>
    <w:rsid w:val="62B731FE"/>
    <w:rsid w:val="62BB2364"/>
    <w:rsid w:val="62D022B3"/>
    <w:rsid w:val="62F85621"/>
    <w:rsid w:val="63023C80"/>
    <w:rsid w:val="631448DA"/>
    <w:rsid w:val="636D3AA1"/>
    <w:rsid w:val="64C53799"/>
    <w:rsid w:val="64F22548"/>
    <w:rsid w:val="65216376"/>
    <w:rsid w:val="6535464F"/>
    <w:rsid w:val="656062CA"/>
    <w:rsid w:val="659106E2"/>
    <w:rsid w:val="65A672FB"/>
    <w:rsid w:val="65AB236D"/>
    <w:rsid w:val="65B8080F"/>
    <w:rsid w:val="65BF03BD"/>
    <w:rsid w:val="65E9231B"/>
    <w:rsid w:val="66335F59"/>
    <w:rsid w:val="66483EC5"/>
    <w:rsid w:val="66704DB4"/>
    <w:rsid w:val="66ED2D08"/>
    <w:rsid w:val="66FF3B3B"/>
    <w:rsid w:val="67102453"/>
    <w:rsid w:val="6746382A"/>
    <w:rsid w:val="67A15FA8"/>
    <w:rsid w:val="67C1041C"/>
    <w:rsid w:val="68190258"/>
    <w:rsid w:val="683B72BC"/>
    <w:rsid w:val="683F7593"/>
    <w:rsid w:val="68437083"/>
    <w:rsid w:val="6881195A"/>
    <w:rsid w:val="68A67F29"/>
    <w:rsid w:val="68C15CCA"/>
    <w:rsid w:val="68F640F6"/>
    <w:rsid w:val="690E2B8E"/>
    <w:rsid w:val="692D45F0"/>
    <w:rsid w:val="695C0BC3"/>
    <w:rsid w:val="697D619C"/>
    <w:rsid w:val="6987641E"/>
    <w:rsid w:val="69992F6F"/>
    <w:rsid w:val="69A84119"/>
    <w:rsid w:val="69EE3D79"/>
    <w:rsid w:val="6A0665BA"/>
    <w:rsid w:val="6A0E091D"/>
    <w:rsid w:val="6A252A0D"/>
    <w:rsid w:val="6A460661"/>
    <w:rsid w:val="6ABA50AD"/>
    <w:rsid w:val="6B2018FE"/>
    <w:rsid w:val="6B5275DD"/>
    <w:rsid w:val="6B58725B"/>
    <w:rsid w:val="6BA94127"/>
    <w:rsid w:val="6BAA7419"/>
    <w:rsid w:val="6BBA6316"/>
    <w:rsid w:val="6BFE46EA"/>
    <w:rsid w:val="6C06756A"/>
    <w:rsid w:val="6C7F53F2"/>
    <w:rsid w:val="6C8B20CC"/>
    <w:rsid w:val="6C95A85E"/>
    <w:rsid w:val="6D260D22"/>
    <w:rsid w:val="6D536BD3"/>
    <w:rsid w:val="6E001573"/>
    <w:rsid w:val="6E8C24CF"/>
    <w:rsid w:val="6F053873"/>
    <w:rsid w:val="6F1ECFF8"/>
    <w:rsid w:val="6F6447C8"/>
    <w:rsid w:val="6F8F0E00"/>
    <w:rsid w:val="6FB14ED7"/>
    <w:rsid w:val="6FF11ABB"/>
    <w:rsid w:val="6FFB6495"/>
    <w:rsid w:val="704217E5"/>
    <w:rsid w:val="705067E1"/>
    <w:rsid w:val="70761FC0"/>
    <w:rsid w:val="71106C43"/>
    <w:rsid w:val="71152000"/>
    <w:rsid w:val="71AB7A47"/>
    <w:rsid w:val="721756F7"/>
    <w:rsid w:val="7231680E"/>
    <w:rsid w:val="72463F78"/>
    <w:rsid w:val="7276464A"/>
    <w:rsid w:val="727E6F0A"/>
    <w:rsid w:val="72896870"/>
    <w:rsid w:val="731955B0"/>
    <w:rsid w:val="73363E43"/>
    <w:rsid w:val="73FA7336"/>
    <w:rsid w:val="745B7503"/>
    <w:rsid w:val="74A25132"/>
    <w:rsid w:val="74CB0B2C"/>
    <w:rsid w:val="750422E5"/>
    <w:rsid w:val="750872E0"/>
    <w:rsid w:val="753D297C"/>
    <w:rsid w:val="75493BC8"/>
    <w:rsid w:val="75BB4137"/>
    <w:rsid w:val="7656661E"/>
    <w:rsid w:val="769A2923"/>
    <w:rsid w:val="76D01F34"/>
    <w:rsid w:val="76ED37EF"/>
    <w:rsid w:val="77043E82"/>
    <w:rsid w:val="770F21D1"/>
    <w:rsid w:val="773615C6"/>
    <w:rsid w:val="77383B2B"/>
    <w:rsid w:val="77AD7E13"/>
    <w:rsid w:val="77AF28D3"/>
    <w:rsid w:val="77D50689"/>
    <w:rsid w:val="77EF4493"/>
    <w:rsid w:val="78A7019A"/>
    <w:rsid w:val="78C06712"/>
    <w:rsid w:val="78F817C4"/>
    <w:rsid w:val="792423C4"/>
    <w:rsid w:val="796B51A8"/>
    <w:rsid w:val="797D526C"/>
    <w:rsid w:val="799B093F"/>
    <w:rsid w:val="79BA3B0E"/>
    <w:rsid w:val="79D12015"/>
    <w:rsid w:val="79EB757B"/>
    <w:rsid w:val="7A1E34AC"/>
    <w:rsid w:val="7A3525A4"/>
    <w:rsid w:val="7A3D0E40"/>
    <w:rsid w:val="7A611D04"/>
    <w:rsid w:val="7ABB6962"/>
    <w:rsid w:val="7AF4539C"/>
    <w:rsid w:val="7B66200D"/>
    <w:rsid w:val="7BE473F9"/>
    <w:rsid w:val="7BE75B20"/>
    <w:rsid w:val="7C013D85"/>
    <w:rsid w:val="7C10151B"/>
    <w:rsid w:val="7C2F8C70"/>
    <w:rsid w:val="7C63164A"/>
    <w:rsid w:val="7C662C4B"/>
    <w:rsid w:val="7CA06EA3"/>
    <w:rsid w:val="7CF35D84"/>
    <w:rsid w:val="7D6E5FB3"/>
    <w:rsid w:val="7D6F401F"/>
    <w:rsid w:val="7DB40A20"/>
    <w:rsid w:val="7DDF36B2"/>
    <w:rsid w:val="7DE42898"/>
    <w:rsid w:val="7E136A50"/>
    <w:rsid w:val="7E49765A"/>
    <w:rsid w:val="7E4C0FEB"/>
    <w:rsid w:val="7E7A711F"/>
    <w:rsid w:val="7EBB50F1"/>
    <w:rsid w:val="7EBE0C5A"/>
    <w:rsid w:val="7EE56270"/>
    <w:rsid w:val="7EEA54E7"/>
    <w:rsid w:val="7EFB0260"/>
    <w:rsid w:val="7EFB3C47"/>
    <w:rsid w:val="7F6F1EFC"/>
    <w:rsid w:val="7F7F569C"/>
    <w:rsid w:val="7F7F68A4"/>
    <w:rsid w:val="7F850ECB"/>
    <w:rsid w:val="7F9F1736"/>
    <w:rsid w:val="7FA20C8F"/>
    <w:rsid w:val="7FD31A01"/>
    <w:rsid w:val="7FFB101A"/>
    <w:rsid w:val="9BF96BAC"/>
    <w:rsid w:val="AD2DA3B9"/>
    <w:rsid w:val="AF6FE06F"/>
    <w:rsid w:val="D78F6FBA"/>
    <w:rsid w:val="DBDF55C4"/>
    <w:rsid w:val="DF3D59C8"/>
    <w:rsid w:val="EBFFC059"/>
    <w:rsid w:val="EEF1341C"/>
    <w:rsid w:val="F7B9D6FD"/>
    <w:rsid w:val="F7CC7425"/>
    <w:rsid w:val="FAEC74ED"/>
    <w:rsid w:val="FE93A17C"/>
    <w:rsid w:val="FEFF2685"/>
    <w:rsid w:val="FFD23C0D"/>
    <w:rsid w:val="FFEFE6BF"/>
    <w:rsid w:val="FFF59F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7"/>
    <w:qFormat/>
    <w:uiPriority w:val="0"/>
    <w:pPr>
      <w:keepNext/>
      <w:outlineLvl w:val="0"/>
    </w:pPr>
    <w:rPr>
      <w:sz w:val="28"/>
      <w:szCs w:val="24"/>
    </w:rPr>
  </w:style>
  <w:style w:type="paragraph" w:styleId="3">
    <w:name w:val="heading 2"/>
    <w:basedOn w:val="1"/>
    <w:next w:val="1"/>
    <w:link w:val="97"/>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49"/>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0"/>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Document Map"/>
    <w:basedOn w:val="1"/>
    <w:link w:val="74"/>
    <w:qFormat/>
    <w:uiPriority w:val="0"/>
    <w:pPr>
      <w:shd w:val="clear" w:color="auto" w:fill="000080"/>
    </w:pPr>
  </w:style>
  <w:style w:type="paragraph" w:styleId="8">
    <w:name w:val="annotation text"/>
    <w:basedOn w:val="1"/>
    <w:link w:val="68"/>
    <w:semiHidden/>
    <w:qFormat/>
    <w:uiPriority w:val="99"/>
    <w:pPr>
      <w:jc w:val="left"/>
    </w:pPr>
  </w:style>
  <w:style w:type="paragraph" w:styleId="9">
    <w:name w:val="Body Text 3"/>
    <w:basedOn w:val="1"/>
    <w:link w:val="89"/>
    <w:unhideWhenUsed/>
    <w:qFormat/>
    <w:uiPriority w:val="99"/>
    <w:pPr>
      <w:spacing w:after="120"/>
    </w:pPr>
    <w:rPr>
      <w:rFonts w:ascii="Calibri" w:hAnsi="Calibri"/>
      <w:sz w:val="16"/>
      <w:szCs w:val="16"/>
      <w:lang w:val="zh-CN"/>
    </w:rPr>
  </w:style>
  <w:style w:type="paragraph" w:styleId="10">
    <w:name w:val="Closing"/>
    <w:basedOn w:val="1"/>
    <w:unhideWhenUsed/>
    <w:qFormat/>
    <w:uiPriority w:val="99"/>
    <w:pPr>
      <w:ind w:left="100" w:leftChars="2100"/>
    </w:pPr>
  </w:style>
  <w:style w:type="paragraph" w:styleId="11">
    <w:name w:val="Body Text"/>
    <w:basedOn w:val="1"/>
    <w:next w:val="1"/>
    <w:link w:val="63"/>
    <w:qFormat/>
    <w:uiPriority w:val="0"/>
    <w:pPr>
      <w:spacing w:after="120"/>
    </w:pPr>
    <w:rPr>
      <w:szCs w:val="24"/>
    </w:rPr>
  </w:style>
  <w:style w:type="paragraph" w:styleId="12">
    <w:name w:val="Body Text Indent"/>
    <w:basedOn w:val="1"/>
    <w:next w:val="13"/>
    <w:link w:val="52"/>
    <w:qFormat/>
    <w:uiPriority w:val="0"/>
    <w:pPr>
      <w:ind w:firstLine="540"/>
    </w:pPr>
    <w:rPr>
      <w:rFonts w:eastAsia="仿宋_GB2312"/>
      <w:sz w:val="28"/>
    </w:rPr>
  </w:style>
  <w:style w:type="paragraph" w:styleId="13">
    <w:name w:val="envelope return"/>
    <w:basedOn w:val="1"/>
    <w:qFormat/>
    <w:uiPriority w:val="0"/>
    <w:pPr>
      <w:snapToGrid w:val="0"/>
    </w:pPr>
    <w:rPr>
      <w:rFonts w:ascii="Arial" w:hAnsi="Arial"/>
    </w:rPr>
  </w:style>
  <w:style w:type="paragraph" w:styleId="14">
    <w:name w:val="toc 5"/>
    <w:basedOn w:val="1"/>
    <w:next w:val="1"/>
    <w:qFormat/>
    <w:uiPriority w:val="0"/>
    <w:pPr>
      <w:ind w:left="1680" w:leftChars="800"/>
    </w:pPr>
  </w:style>
  <w:style w:type="paragraph" w:styleId="15">
    <w:name w:val="toc 3"/>
    <w:basedOn w:val="1"/>
    <w:next w:val="1"/>
    <w:qFormat/>
    <w:uiPriority w:val="39"/>
    <w:pPr>
      <w:ind w:left="840" w:leftChars="400"/>
    </w:pPr>
  </w:style>
  <w:style w:type="paragraph" w:styleId="16">
    <w:name w:val="Plain Text"/>
    <w:basedOn w:val="1"/>
    <w:link w:val="71"/>
    <w:qFormat/>
    <w:uiPriority w:val="0"/>
    <w:rPr>
      <w:rFonts w:ascii="宋体" w:hAnsi="Courier New" w:cstheme="minorBidi"/>
      <w:szCs w:val="22"/>
    </w:rPr>
  </w:style>
  <w:style w:type="paragraph" w:styleId="17">
    <w:name w:val="toc 8"/>
    <w:basedOn w:val="1"/>
    <w:next w:val="1"/>
    <w:qFormat/>
    <w:uiPriority w:val="0"/>
    <w:pPr>
      <w:ind w:left="2940" w:leftChars="1400"/>
    </w:pPr>
  </w:style>
  <w:style w:type="paragraph" w:styleId="18">
    <w:name w:val="Date"/>
    <w:basedOn w:val="1"/>
    <w:next w:val="1"/>
    <w:link w:val="51"/>
    <w:qFormat/>
    <w:uiPriority w:val="0"/>
    <w:rPr>
      <w:rFonts w:ascii="Arial" w:hAnsi="Arial" w:eastAsia="楷体_GB2312"/>
      <w:sz w:val="28"/>
    </w:rPr>
  </w:style>
  <w:style w:type="paragraph" w:styleId="19">
    <w:name w:val="Body Text Indent 2"/>
    <w:basedOn w:val="1"/>
    <w:link w:val="54"/>
    <w:qFormat/>
    <w:uiPriority w:val="0"/>
    <w:pPr>
      <w:tabs>
        <w:tab w:val="left" w:pos="720"/>
      </w:tabs>
      <w:ind w:right="-506" w:rightChars="-241" w:firstLine="538" w:firstLineChars="192"/>
    </w:pPr>
    <w:rPr>
      <w:rFonts w:eastAsia="仿宋_GB2312"/>
      <w:sz w:val="28"/>
    </w:rPr>
  </w:style>
  <w:style w:type="paragraph" w:styleId="20">
    <w:name w:val="Balloon Text"/>
    <w:basedOn w:val="1"/>
    <w:link w:val="65"/>
    <w:qFormat/>
    <w:uiPriority w:val="0"/>
    <w:rPr>
      <w:sz w:val="18"/>
      <w:szCs w:val="18"/>
    </w:rPr>
  </w:style>
  <w:style w:type="paragraph" w:styleId="21">
    <w:name w:val="footer"/>
    <w:basedOn w:val="1"/>
    <w:link w:val="46"/>
    <w:unhideWhenUsed/>
    <w:qFormat/>
    <w:uiPriority w:val="99"/>
    <w:pPr>
      <w:tabs>
        <w:tab w:val="center" w:pos="4153"/>
        <w:tab w:val="right" w:pos="8306"/>
      </w:tabs>
      <w:snapToGrid w:val="0"/>
      <w:jc w:val="left"/>
    </w:pPr>
    <w:rPr>
      <w:sz w:val="18"/>
      <w:szCs w:val="18"/>
    </w:rPr>
  </w:style>
  <w:style w:type="paragraph" w:styleId="22">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toc 4"/>
    <w:basedOn w:val="1"/>
    <w:next w:val="1"/>
    <w:qFormat/>
    <w:uiPriority w:val="0"/>
    <w:pPr>
      <w:ind w:left="1260" w:leftChars="600"/>
    </w:pPr>
  </w:style>
  <w:style w:type="paragraph" w:styleId="25">
    <w:name w:val="toc 6"/>
    <w:basedOn w:val="1"/>
    <w:next w:val="1"/>
    <w:qFormat/>
    <w:uiPriority w:val="0"/>
    <w:pPr>
      <w:ind w:left="2100" w:leftChars="1000"/>
    </w:pPr>
  </w:style>
  <w:style w:type="paragraph" w:styleId="26">
    <w:name w:val="Body Text Indent 3"/>
    <w:basedOn w:val="1"/>
    <w:link w:val="60"/>
    <w:qFormat/>
    <w:uiPriority w:val="0"/>
    <w:pPr>
      <w:ind w:left="178" w:leftChars="85" w:firstLine="560" w:firstLineChars="200"/>
    </w:pPr>
    <w:rPr>
      <w:rFonts w:ascii="仿宋_GB2312" w:hAnsi="Arial" w:eastAsia="仿宋_GB2312"/>
      <w:sz w:val="28"/>
      <w:szCs w:val="24"/>
    </w:rPr>
  </w:style>
  <w:style w:type="paragraph" w:styleId="27">
    <w:name w:val="toc 2"/>
    <w:basedOn w:val="1"/>
    <w:next w:val="1"/>
    <w:qFormat/>
    <w:uiPriority w:val="39"/>
    <w:pPr>
      <w:ind w:left="420" w:leftChars="200"/>
    </w:pPr>
  </w:style>
  <w:style w:type="paragraph" w:styleId="28">
    <w:name w:val="toc 9"/>
    <w:basedOn w:val="1"/>
    <w:next w:val="1"/>
    <w:qFormat/>
    <w:uiPriority w:val="0"/>
    <w:pPr>
      <w:ind w:left="3360" w:leftChars="1600"/>
    </w:pPr>
  </w:style>
  <w:style w:type="paragraph" w:styleId="29">
    <w:name w:val="Body Text 2"/>
    <w:basedOn w:val="1"/>
    <w:qFormat/>
    <w:uiPriority w:val="0"/>
    <w:pPr>
      <w:spacing w:after="120" w:line="480" w:lineRule="auto"/>
    </w:pPr>
  </w:style>
  <w:style w:type="paragraph" w:styleId="3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1">
    <w:name w:val="Normal (Web)"/>
    <w:basedOn w:val="1"/>
    <w:unhideWhenUsed/>
    <w:qFormat/>
    <w:uiPriority w:val="99"/>
    <w:pPr>
      <w:jc w:val="left"/>
    </w:pPr>
    <w:rPr>
      <w:kern w:val="0"/>
      <w:sz w:val="24"/>
    </w:rPr>
  </w:style>
  <w:style w:type="paragraph" w:styleId="32">
    <w:name w:val="index 1"/>
    <w:basedOn w:val="1"/>
    <w:next w:val="1"/>
    <w:semiHidden/>
    <w:qFormat/>
    <w:uiPriority w:val="0"/>
    <w:pPr>
      <w:jc w:val="center"/>
    </w:pPr>
    <w:rPr>
      <w:rFonts w:ascii="仿宋_GB2312" w:eastAsia="仿宋_GB2312"/>
      <w:b/>
      <w:bCs/>
      <w:sz w:val="28"/>
    </w:rPr>
  </w:style>
  <w:style w:type="paragraph" w:styleId="33">
    <w:name w:val="annotation subject"/>
    <w:basedOn w:val="8"/>
    <w:next w:val="8"/>
    <w:link w:val="69"/>
    <w:semiHidden/>
    <w:qFormat/>
    <w:uiPriority w:val="99"/>
    <w:rPr>
      <w:b/>
      <w:bCs/>
    </w:rPr>
  </w:style>
  <w:style w:type="paragraph" w:styleId="34">
    <w:name w:val="Body Text First Indent"/>
    <w:basedOn w:val="11"/>
    <w:next w:val="25"/>
    <w:unhideWhenUsed/>
    <w:qFormat/>
    <w:uiPriority w:val="99"/>
    <w:pPr>
      <w:spacing w:line="400" w:lineRule="atLeast"/>
      <w:ind w:firstLine="426"/>
    </w:pPr>
    <w:rPr>
      <w:sz w:val="24"/>
      <w:szCs w:val="20"/>
    </w:rPr>
  </w:style>
  <w:style w:type="paragraph" w:styleId="35">
    <w:name w:val="Body Text First Indent 2"/>
    <w:basedOn w:val="12"/>
    <w:next w:val="1"/>
    <w:qFormat/>
    <w:uiPriority w:val="0"/>
    <w:pPr>
      <w:spacing w:line="360" w:lineRule="auto"/>
      <w:ind w:firstLine="200" w:firstLineChars="200"/>
    </w:pPr>
    <w:rPr>
      <w:rFonts w:ascii="宋体" w:eastAsia="宋体"/>
      <w:sz w:val="21"/>
      <w:szCs w:val="20"/>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rPr>
  </w:style>
  <w:style w:type="character" w:styleId="40">
    <w:name w:val="page number"/>
    <w:basedOn w:val="38"/>
    <w:qFormat/>
    <w:uiPriority w:val="0"/>
  </w:style>
  <w:style w:type="character" w:styleId="41">
    <w:name w:val="FollowedHyperlink"/>
    <w:basedOn w:val="38"/>
    <w:unhideWhenUsed/>
    <w:qFormat/>
    <w:uiPriority w:val="99"/>
    <w:rPr>
      <w:color w:val="954F72" w:themeColor="followedHyperlink"/>
      <w:u w:val="single"/>
      <w14:textFill>
        <w14:solidFill>
          <w14:schemeClr w14:val="folHlink"/>
        </w14:solidFill>
      </w14:textFill>
    </w:rPr>
  </w:style>
  <w:style w:type="character" w:styleId="42">
    <w:name w:val="Hyperlink"/>
    <w:basedOn w:val="38"/>
    <w:qFormat/>
    <w:uiPriority w:val="99"/>
    <w:rPr>
      <w:color w:val="333333"/>
      <w:u w:val="none"/>
    </w:rPr>
  </w:style>
  <w:style w:type="character" w:styleId="43">
    <w:name w:val="annotation reference"/>
    <w:semiHidden/>
    <w:qFormat/>
    <w:uiPriority w:val="99"/>
    <w:rPr>
      <w:sz w:val="21"/>
      <w:szCs w:val="21"/>
    </w:rPr>
  </w:style>
  <w:style w:type="paragraph" w:customStyle="1" w:styleId="44">
    <w:name w:val="Default"/>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character" w:customStyle="1" w:styleId="45">
    <w:name w:val="页眉 Char"/>
    <w:basedOn w:val="38"/>
    <w:link w:val="22"/>
    <w:qFormat/>
    <w:uiPriority w:val="0"/>
    <w:rPr>
      <w:sz w:val="18"/>
      <w:szCs w:val="18"/>
    </w:rPr>
  </w:style>
  <w:style w:type="character" w:customStyle="1" w:styleId="46">
    <w:name w:val="页脚 Char"/>
    <w:basedOn w:val="38"/>
    <w:link w:val="21"/>
    <w:qFormat/>
    <w:uiPriority w:val="99"/>
    <w:rPr>
      <w:sz w:val="18"/>
      <w:szCs w:val="18"/>
    </w:rPr>
  </w:style>
  <w:style w:type="character" w:customStyle="1" w:styleId="47">
    <w:name w:val="标题 1 Char"/>
    <w:basedOn w:val="38"/>
    <w:link w:val="2"/>
    <w:qFormat/>
    <w:uiPriority w:val="0"/>
    <w:rPr>
      <w:rFonts w:ascii="Times New Roman" w:hAnsi="Times New Roman" w:eastAsia="宋体" w:cs="Times New Roman"/>
      <w:sz w:val="28"/>
      <w:szCs w:val="24"/>
    </w:rPr>
  </w:style>
  <w:style w:type="character" w:customStyle="1" w:styleId="48">
    <w:name w:val="标题 2 Char"/>
    <w:basedOn w:val="38"/>
    <w:qFormat/>
    <w:uiPriority w:val="0"/>
    <w:rPr>
      <w:rFonts w:ascii="Arial" w:hAnsi="Arial" w:eastAsia="黑体" w:cs="Times New Roman"/>
      <w:b/>
      <w:kern w:val="0"/>
      <w:sz w:val="32"/>
      <w:szCs w:val="20"/>
    </w:rPr>
  </w:style>
  <w:style w:type="character" w:customStyle="1" w:styleId="49">
    <w:name w:val="标题 3 Char"/>
    <w:basedOn w:val="38"/>
    <w:link w:val="4"/>
    <w:qFormat/>
    <w:uiPriority w:val="0"/>
    <w:rPr>
      <w:rFonts w:ascii="Times New Roman" w:hAnsi="Times New Roman" w:eastAsia="宋体" w:cs="Times New Roman"/>
      <w:b/>
      <w:bCs/>
      <w:sz w:val="32"/>
      <w:szCs w:val="32"/>
      <w:lang w:val="zh-CN" w:eastAsia="zh-CN"/>
    </w:rPr>
  </w:style>
  <w:style w:type="character" w:customStyle="1" w:styleId="50">
    <w:name w:val="标题 4 Char"/>
    <w:basedOn w:val="38"/>
    <w:link w:val="5"/>
    <w:qFormat/>
    <w:uiPriority w:val="0"/>
    <w:rPr>
      <w:rFonts w:ascii="Arial" w:hAnsi="Arial" w:eastAsia="黑体" w:cs="Times New Roman"/>
      <w:b/>
      <w:kern w:val="0"/>
      <w:sz w:val="28"/>
      <w:szCs w:val="20"/>
    </w:rPr>
  </w:style>
  <w:style w:type="character" w:customStyle="1" w:styleId="51">
    <w:name w:val="日期 Char"/>
    <w:basedOn w:val="38"/>
    <w:link w:val="18"/>
    <w:qFormat/>
    <w:uiPriority w:val="0"/>
    <w:rPr>
      <w:rFonts w:ascii="Arial" w:hAnsi="Arial" w:eastAsia="楷体_GB2312" w:cs="Times New Roman"/>
      <w:sz w:val="28"/>
      <w:szCs w:val="20"/>
    </w:rPr>
  </w:style>
  <w:style w:type="character" w:customStyle="1" w:styleId="52">
    <w:name w:val="正文文本缩进 Char"/>
    <w:basedOn w:val="38"/>
    <w:link w:val="12"/>
    <w:qFormat/>
    <w:uiPriority w:val="0"/>
    <w:rPr>
      <w:rFonts w:ascii="Times New Roman" w:hAnsi="Times New Roman" w:eastAsia="仿宋_GB2312" w:cs="Times New Roman"/>
      <w:sz w:val="28"/>
      <w:szCs w:val="20"/>
    </w:rPr>
  </w:style>
  <w:style w:type="paragraph" w:customStyle="1" w:styleId="53">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4">
    <w:name w:val="正文文本缩进 2 Char"/>
    <w:basedOn w:val="38"/>
    <w:link w:val="19"/>
    <w:qFormat/>
    <w:uiPriority w:val="0"/>
    <w:rPr>
      <w:rFonts w:ascii="Times New Roman" w:hAnsi="Times New Roman" w:eastAsia="仿宋_GB2312" w:cs="Times New Roman"/>
      <w:sz w:val="28"/>
      <w:szCs w:val="20"/>
    </w:rPr>
  </w:style>
  <w:style w:type="paragraph" w:customStyle="1" w:styleId="55">
    <w:name w:val="样式1"/>
    <w:basedOn w:val="1"/>
    <w:qFormat/>
    <w:uiPriority w:val="0"/>
    <w:pPr>
      <w:numPr>
        <w:ilvl w:val="0"/>
        <w:numId w:val="1"/>
      </w:numPr>
      <w:adjustRightInd w:val="0"/>
      <w:textAlignment w:val="baseline"/>
    </w:pPr>
    <w:rPr>
      <w:rFonts w:ascii="宋体" w:hAnsi="宋体"/>
      <w:kern w:val="0"/>
    </w:rPr>
  </w:style>
  <w:style w:type="paragraph" w:customStyle="1" w:styleId="56">
    <w:name w:val="样式 宋体 五号 行距: 单倍行距"/>
    <w:basedOn w:val="1"/>
    <w:qFormat/>
    <w:uiPriority w:val="0"/>
    <w:pPr>
      <w:adjustRightInd w:val="0"/>
      <w:jc w:val="left"/>
      <w:textAlignment w:val="baseline"/>
    </w:pPr>
    <w:rPr>
      <w:rFonts w:ascii="宋体" w:hAnsi="宋体"/>
      <w:kern w:val="0"/>
    </w:rPr>
  </w:style>
  <w:style w:type="paragraph" w:customStyle="1" w:styleId="57">
    <w:name w:val="样式 标题 2 + 宋体 五号 行距: 单倍行距"/>
    <w:basedOn w:val="3"/>
    <w:qFormat/>
    <w:uiPriority w:val="0"/>
    <w:pPr>
      <w:spacing w:line="240" w:lineRule="auto"/>
    </w:pPr>
    <w:rPr>
      <w:rFonts w:ascii="宋体" w:hAnsi="宋体" w:eastAsia="宋体"/>
      <w:sz w:val="21"/>
    </w:rPr>
  </w:style>
  <w:style w:type="paragraph" w:customStyle="1" w:styleId="58">
    <w:name w:val="Char Char Char Char Char"/>
    <w:basedOn w:val="1"/>
    <w:qFormat/>
    <w:uiPriority w:val="0"/>
    <w:rPr>
      <w:rFonts w:ascii="Tahoma" w:hAnsi="Tahoma"/>
      <w:sz w:val="24"/>
    </w:rPr>
  </w:style>
  <w:style w:type="paragraph" w:customStyle="1" w:styleId="59">
    <w:name w:val="Char"/>
    <w:basedOn w:val="1"/>
    <w:qFormat/>
    <w:uiPriority w:val="0"/>
    <w:rPr>
      <w:rFonts w:ascii="Tahoma" w:hAnsi="Tahoma"/>
      <w:sz w:val="24"/>
    </w:rPr>
  </w:style>
  <w:style w:type="character" w:customStyle="1" w:styleId="60">
    <w:name w:val="正文文本缩进 3 Char"/>
    <w:basedOn w:val="38"/>
    <w:link w:val="26"/>
    <w:qFormat/>
    <w:uiPriority w:val="0"/>
    <w:rPr>
      <w:rFonts w:ascii="仿宋_GB2312" w:hAnsi="Arial" w:eastAsia="仿宋_GB2312" w:cs="Times New Roman"/>
      <w:sz w:val="28"/>
      <w:szCs w:val="24"/>
    </w:rPr>
  </w:style>
  <w:style w:type="paragraph" w:customStyle="1" w:styleId="61">
    <w:name w:val="Char1"/>
    <w:basedOn w:val="1"/>
    <w:qFormat/>
    <w:uiPriority w:val="0"/>
    <w:rPr>
      <w:rFonts w:ascii="Tahoma" w:hAnsi="Tahoma" w:eastAsia="仿宋_GB2312"/>
      <w:sz w:val="24"/>
    </w:rPr>
  </w:style>
  <w:style w:type="paragraph" w:customStyle="1" w:styleId="62">
    <w:name w:val="Char Char Char Char Char Char Char1 Char"/>
    <w:basedOn w:val="1"/>
    <w:qFormat/>
    <w:uiPriority w:val="0"/>
    <w:rPr>
      <w:rFonts w:ascii="Tahoma" w:hAnsi="Tahoma"/>
      <w:sz w:val="24"/>
    </w:rPr>
  </w:style>
  <w:style w:type="character" w:customStyle="1" w:styleId="63">
    <w:name w:val="正文文本 Char"/>
    <w:basedOn w:val="38"/>
    <w:link w:val="11"/>
    <w:qFormat/>
    <w:uiPriority w:val="0"/>
    <w:rPr>
      <w:rFonts w:ascii="Times New Roman" w:hAnsi="Times New Roman" w:eastAsia="宋体" w:cs="Times New Roman"/>
      <w:szCs w:val="24"/>
    </w:rPr>
  </w:style>
  <w:style w:type="paragraph" w:customStyle="1" w:styleId="64">
    <w:name w:val="Char Char Char Char"/>
    <w:basedOn w:val="1"/>
    <w:next w:val="1"/>
    <w:qFormat/>
    <w:uiPriority w:val="0"/>
    <w:pPr>
      <w:widowControl/>
      <w:spacing w:line="360" w:lineRule="auto"/>
      <w:jc w:val="left"/>
    </w:pPr>
  </w:style>
  <w:style w:type="character" w:customStyle="1" w:styleId="65">
    <w:name w:val="批注框文本 Char"/>
    <w:basedOn w:val="38"/>
    <w:link w:val="20"/>
    <w:qFormat/>
    <w:uiPriority w:val="0"/>
    <w:rPr>
      <w:rFonts w:ascii="Times New Roman" w:hAnsi="Times New Roman" w:eastAsia="宋体" w:cs="Times New Roman"/>
      <w:sz w:val="18"/>
      <w:szCs w:val="18"/>
    </w:rPr>
  </w:style>
  <w:style w:type="paragraph" w:customStyle="1" w:styleId="66">
    <w:name w:val="Char Char Char"/>
    <w:basedOn w:val="1"/>
    <w:qFormat/>
    <w:uiPriority w:val="0"/>
    <w:rPr>
      <w:rFonts w:ascii="Tahoma" w:hAnsi="Tahoma"/>
      <w:sz w:val="24"/>
    </w:rPr>
  </w:style>
  <w:style w:type="paragraph" w:customStyle="1" w:styleId="67">
    <w:name w:val="Char Char Char Char Char Char Char Char Char Char"/>
    <w:basedOn w:val="1"/>
    <w:qFormat/>
    <w:uiPriority w:val="0"/>
    <w:rPr>
      <w:rFonts w:ascii="Tahoma" w:hAnsi="Tahoma" w:cs="仿宋_GB2312"/>
      <w:sz w:val="24"/>
    </w:rPr>
  </w:style>
  <w:style w:type="character" w:customStyle="1" w:styleId="68">
    <w:name w:val="批注文字 Char"/>
    <w:basedOn w:val="38"/>
    <w:link w:val="8"/>
    <w:semiHidden/>
    <w:qFormat/>
    <w:uiPriority w:val="99"/>
    <w:rPr>
      <w:rFonts w:ascii="Times New Roman" w:hAnsi="Times New Roman" w:eastAsia="宋体" w:cs="Times New Roman"/>
      <w:szCs w:val="20"/>
    </w:rPr>
  </w:style>
  <w:style w:type="character" w:customStyle="1" w:styleId="69">
    <w:name w:val="批注主题 Char"/>
    <w:basedOn w:val="68"/>
    <w:link w:val="33"/>
    <w:semiHidden/>
    <w:qFormat/>
    <w:uiPriority w:val="99"/>
    <w:rPr>
      <w:rFonts w:ascii="Times New Roman" w:hAnsi="Times New Roman" w:eastAsia="宋体" w:cs="Times New Roman"/>
      <w:b/>
      <w:bCs/>
      <w:szCs w:val="20"/>
    </w:rPr>
  </w:style>
  <w:style w:type="paragraph" w:customStyle="1" w:styleId="70">
    <w:name w:val="Char Char Char Char Char Char"/>
    <w:basedOn w:val="1"/>
    <w:qFormat/>
    <w:uiPriority w:val="0"/>
  </w:style>
  <w:style w:type="character" w:customStyle="1" w:styleId="71">
    <w:name w:val="纯文本 Char"/>
    <w:link w:val="16"/>
    <w:qFormat/>
    <w:uiPriority w:val="0"/>
    <w:rPr>
      <w:rFonts w:ascii="宋体" w:hAnsi="Courier New" w:eastAsia="宋体"/>
    </w:rPr>
  </w:style>
  <w:style w:type="character" w:customStyle="1" w:styleId="72">
    <w:name w:val="纯文本 Char1"/>
    <w:basedOn w:val="38"/>
    <w:semiHidden/>
    <w:qFormat/>
    <w:uiPriority w:val="99"/>
    <w:rPr>
      <w:rFonts w:ascii="宋体" w:hAnsi="Courier New" w:eastAsia="宋体" w:cs="Courier New"/>
      <w:szCs w:val="21"/>
    </w:rPr>
  </w:style>
  <w:style w:type="paragraph" w:customStyle="1" w:styleId="73">
    <w:name w:val="Char12 Char Char Char"/>
    <w:basedOn w:val="1"/>
    <w:qFormat/>
    <w:uiPriority w:val="0"/>
  </w:style>
  <w:style w:type="character" w:customStyle="1" w:styleId="74">
    <w:name w:val="文档结构图 Char"/>
    <w:basedOn w:val="38"/>
    <w:link w:val="7"/>
    <w:qFormat/>
    <w:uiPriority w:val="0"/>
    <w:rPr>
      <w:rFonts w:ascii="Times New Roman" w:hAnsi="Times New Roman" w:eastAsia="宋体" w:cs="Times New Roman"/>
      <w:szCs w:val="20"/>
      <w:shd w:val="clear" w:color="auto" w:fill="000080"/>
    </w:rPr>
  </w:style>
  <w:style w:type="character" w:customStyle="1" w:styleId="75">
    <w:name w:val="style29"/>
    <w:qFormat/>
    <w:uiPriority w:val="0"/>
  </w:style>
  <w:style w:type="character" w:customStyle="1" w:styleId="76">
    <w:name w:val="正文1"/>
    <w:qFormat/>
    <w:uiPriority w:val="0"/>
  </w:style>
  <w:style w:type="character" w:customStyle="1" w:styleId="77">
    <w:name w:val="font11"/>
    <w:qFormat/>
    <w:uiPriority w:val="0"/>
    <w:rPr>
      <w:rFonts w:hint="default" w:ascii="Times New Roman" w:hAnsi="Times New Roman" w:cs="Times New Roman"/>
      <w:color w:val="3366FF"/>
      <w:sz w:val="24"/>
      <w:szCs w:val="24"/>
      <w:u w:val="none"/>
    </w:rPr>
  </w:style>
  <w:style w:type="character" w:customStyle="1" w:styleId="78">
    <w:name w:val="font21"/>
    <w:basedOn w:val="38"/>
    <w:qFormat/>
    <w:uiPriority w:val="0"/>
    <w:rPr>
      <w:rFonts w:hint="eastAsia" w:ascii="宋体" w:hAnsi="宋体" w:eastAsia="宋体"/>
      <w:color w:val="3366FF"/>
      <w:sz w:val="24"/>
      <w:szCs w:val="24"/>
      <w:u w:val="none"/>
    </w:rPr>
  </w:style>
  <w:style w:type="paragraph" w:customStyle="1" w:styleId="79">
    <w:name w:val="Char Char15"/>
    <w:basedOn w:val="1"/>
    <w:qFormat/>
    <w:uiPriority w:val="0"/>
    <w:rPr>
      <w:rFonts w:ascii="Tahoma" w:hAnsi="Tahoma" w:eastAsia="仿宋_GB2312"/>
      <w:sz w:val="24"/>
    </w:rPr>
  </w:style>
  <w:style w:type="paragraph" w:customStyle="1" w:styleId="80">
    <w:name w:val="列出段落1"/>
    <w:basedOn w:val="1"/>
    <w:qFormat/>
    <w:uiPriority w:val="0"/>
    <w:pPr>
      <w:ind w:firstLine="420" w:firstLineChars="200"/>
    </w:pPr>
    <w:rPr>
      <w:rFonts w:ascii="Calibri" w:hAnsi="Calibri"/>
      <w:szCs w:val="22"/>
    </w:rPr>
  </w:style>
  <w:style w:type="paragraph" w:customStyle="1" w:styleId="81">
    <w:name w:val="Char2"/>
    <w:basedOn w:val="1"/>
    <w:qFormat/>
    <w:uiPriority w:val="0"/>
    <w:pPr>
      <w:tabs>
        <w:tab w:val="left" w:pos="360"/>
      </w:tabs>
    </w:pPr>
    <w:rPr>
      <w:sz w:val="24"/>
      <w:szCs w:val="24"/>
    </w:rPr>
  </w:style>
  <w:style w:type="paragraph" w:customStyle="1" w:styleId="82">
    <w:name w:val="Char16"/>
    <w:basedOn w:val="1"/>
    <w:qFormat/>
    <w:uiPriority w:val="0"/>
    <w:rPr>
      <w:rFonts w:ascii="Tahoma" w:hAnsi="Tahoma" w:eastAsia="仿宋_GB2312"/>
      <w:sz w:val="24"/>
    </w:rPr>
  </w:style>
  <w:style w:type="paragraph" w:customStyle="1" w:styleId="83">
    <w:name w:val="Char Char1"/>
    <w:basedOn w:val="1"/>
    <w:qFormat/>
    <w:uiPriority w:val="0"/>
    <w:rPr>
      <w:rFonts w:ascii="Tahoma" w:hAnsi="Tahoma"/>
      <w:sz w:val="24"/>
    </w:rPr>
  </w:style>
  <w:style w:type="paragraph" w:customStyle="1" w:styleId="84">
    <w:name w:val="Char Char Char Char Char Char Char"/>
    <w:basedOn w:val="1"/>
    <w:qFormat/>
    <w:uiPriority w:val="0"/>
    <w:rPr>
      <w:szCs w:val="24"/>
    </w:rPr>
  </w:style>
  <w:style w:type="paragraph" w:customStyle="1" w:styleId="85">
    <w:name w:val="Char Char"/>
    <w:basedOn w:val="1"/>
    <w:qFormat/>
    <w:uiPriority w:val="0"/>
    <w:rPr>
      <w:rFonts w:ascii="Tahoma" w:hAnsi="Tahoma" w:cs="仿宋_GB2312"/>
      <w:sz w:val="24"/>
    </w:rPr>
  </w:style>
  <w:style w:type="paragraph" w:customStyle="1" w:styleId="86">
    <w:name w:val="Char Char2"/>
    <w:basedOn w:val="1"/>
    <w:qFormat/>
    <w:uiPriority w:val="0"/>
    <w:rPr>
      <w:rFonts w:ascii="Tahoma" w:hAnsi="Tahoma" w:cs="仿宋_GB2312"/>
      <w:sz w:val="24"/>
    </w:rPr>
  </w:style>
  <w:style w:type="paragraph" w:customStyle="1" w:styleId="87">
    <w:name w:val="Char Char Char1"/>
    <w:basedOn w:val="1"/>
    <w:qFormat/>
    <w:uiPriority w:val="0"/>
    <w:rPr>
      <w:rFonts w:ascii="Tahoma" w:hAnsi="Tahoma"/>
      <w:sz w:val="24"/>
    </w:rPr>
  </w:style>
  <w:style w:type="paragraph" w:customStyle="1" w:styleId="88">
    <w:name w:val="D&amp;L"/>
    <w:basedOn w:val="22"/>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89">
    <w:name w:val="正文文本 3 Char"/>
    <w:basedOn w:val="38"/>
    <w:link w:val="9"/>
    <w:qFormat/>
    <w:uiPriority w:val="99"/>
    <w:rPr>
      <w:rFonts w:ascii="Calibri" w:hAnsi="Calibri" w:eastAsia="宋体" w:cs="Times New Roman"/>
      <w:sz w:val="16"/>
      <w:szCs w:val="16"/>
      <w:lang w:val="zh-CN" w:eastAsia="zh-CN"/>
    </w:rPr>
  </w:style>
  <w:style w:type="paragraph" w:customStyle="1" w:styleId="9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1">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2">
    <w:name w:val="style23"/>
    <w:qFormat/>
    <w:uiPriority w:val="0"/>
    <w:rPr>
      <w:rFonts w:ascii="Times New Roman" w:hAnsi="Times New Roman" w:eastAsia="宋体"/>
    </w:rPr>
  </w:style>
  <w:style w:type="paragraph" w:customStyle="1" w:styleId="93">
    <w:name w:val="p0"/>
    <w:basedOn w:val="1"/>
    <w:qFormat/>
    <w:uiPriority w:val="0"/>
    <w:pPr>
      <w:widowControl/>
      <w:jc w:val="left"/>
    </w:pPr>
    <w:rPr>
      <w:rFonts w:ascii="等线" w:hAnsi="等线" w:eastAsia="等线" w:cs="等线"/>
      <w:kern w:val="0"/>
      <w:sz w:val="20"/>
      <w:szCs w:val="22"/>
    </w:rPr>
  </w:style>
  <w:style w:type="paragraph" w:customStyle="1" w:styleId="94">
    <w:name w:val="列表段落1"/>
    <w:basedOn w:val="1"/>
    <w:qFormat/>
    <w:uiPriority w:val="34"/>
    <w:pPr>
      <w:ind w:firstLine="420" w:firstLineChars="200"/>
    </w:pPr>
    <w:rPr>
      <w:szCs w:val="24"/>
    </w:rPr>
  </w:style>
  <w:style w:type="paragraph" w:customStyle="1" w:styleId="95">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customStyle="1" w:styleId="96">
    <w:name w:val="Table Paragraph"/>
    <w:basedOn w:val="1"/>
    <w:qFormat/>
    <w:uiPriority w:val="1"/>
  </w:style>
  <w:style w:type="character" w:customStyle="1" w:styleId="97">
    <w:name w:val="标题 2 Char1"/>
    <w:link w:val="3"/>
    <w:qFormat/>
    <w:uiPriority w:val="0"/>
    <w:rPr>
      <w:rFonts w:ascii="Arial" w:hAnsi="Arial" w:eastAsia="黑体"/>
      <w:b/>
      <w:bCs/>
      <w:sz w:val="32"/>
      <w:szCs w:val="32"/>
    </w:rPr>
  </w:style>
  <w:style w:type="paragraph" w:styleId="98">
    <w:name w:val="List Paragraph"/>
    <w:basedOn w:val="1"/>
    <w:qFormat/>
    <w:uiPriority w:val="99"/>
    <w:pPr>
      <w:ind w:firstLine="420" w:firstLineChars="200"/>
    </w:pPr>
  </w:style>
  <w:style w:type="table" w:customStyle="1" w:styleId="99">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100">
    <w:name w:val="正文文本缩进1"/>
    <w:basedOn w:val="1"/>
    <w:qFormat/>
    <w:uiPriority w:val="0"/>
    <w:pPr>
      <w:ind w:firstLine="645"/>
    </w:pPr>
    <w:rPr>
      <w:rFonts w:ascii="楷体_GB2312" w:eastAsia="楷体_GB231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19189</Words>
  <Characters>20218</Characters>
  <Lines>177</Lines>
  <Paragraphs>49</Paragraphs>
  <TotalTime>9</TotalTime>
  <ScaleCrop>false</ScaleCrop>
  <LinksUpToDate>false</LinksUpToDate>
  <CharactersWithSpaces>21614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2017-04-19T23:21:00Z</dcterms:created>
  <dc:creator>朱少尉</dc:creator>
  <cp:lastModifiedBy>NTKO</cp:lastModifiedBy>
  <cp:lastPrinted>2023-09-13T00:15:00Z</cp:lastPrinted>
  <dcterms:modified xsi:type="dcterms:W3CDTF">2023-09-18T09:16:22Z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D275FE73E948496296A90996119A7482_13</vt:lpwstr>
  </property>
</Properties>
</file>