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numPr>
          <w:numId w:val="0"/>
        </w:numPr>
        <w:kinsoku/>
        <w:overflowPunct/>
        <w:topLinePunct w:val="0"/>
        <w:bidi w:val="0"/>
        <w:spacing w:before="140" w:after="140"/>
        <w:ind w:leftChars="200"/>
        <w:jc w:val="center"/>
        <w:rPr>
          <w:rFonts w:cs="宋体"/>
          <w:color w:val="auto"/>
          <w:sz w:val="30"/>
          <w:szCs w:val="30"/>
        </w:rPr>
      </w:pPr>
      <w:r>
        <w:rPr>
          <w:rFonts w:hint="eastAsia" w:ascii="Times New Roman" w:hAnsi="Times New Roman"/>
          <w:bCs/>
          <w:color w:val="auto"/>
          <w:kern w:val="2"/>
          <w:sz w:val="28"/>
          <w:szCs w:val="24"/>
          <w:lang w:eastAsia="zh-CN"/>
        </w:rPr>
        <w:t>康丰渔业活鱼运输船采购项目</w:t>
      </w:r>
      <w:r>
        <w:rPr>
          <w:rFonts w:hint="eastAsia" w:ascii="Times New Roman" w:hAnsi="Times New Roman"/>
          <w:bCs/>
          <w:color w:val="auto"/>
          <w:kern w:val="2"/>
          <w:sz w:val="28"/>
          <w:szCs w:val="24"/>
          <w:lang w:val="en-US" w:eastAsia="zh-CN"/>
        </w:rPr>
        <w:t>-</w:t>
      </w:r>
      <w:r>
        <w:rPr>
          <w:rFonts w:hint="eastAsia" w:ascii="Times New Roman" w:hAnsi="Times New Roman"/>
          <w:bCs/>
          <w:color w:val="auto"/>
          <w:kern w:val="2"/>
          <w:sz w:val="28"/>
          <w:szCs w:val="24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82" w:firstLineChars="200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一、采购内容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安徽康丰生态渔业发展有限公司</w:t>
      </w: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两艘活鱼运输船采购，每艘船长约15.5米，形宽3.2米，主机功率36匹，包括船体建造、轮机设备、电气设备、上层建筑舱棚及油漆救生消防设备。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83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采购内容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采购数量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活鱼运输船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二、详细技术参数及规格要求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 xml:space="preserve"> 本船为单底、单甲板、单机、单桨的横骨架式结构钢质机动活鱼运输船，主要用于佛子岭水库、磨子潭水库航区载运活鱼等渔获物。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一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本船按中华人民共和国海事局《内河小型船舶检验技术规则》（2016）的要求设计。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船型及用途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本船为单底、单甲板、单机、单桨的横骨架式结构钢质机动活鱼运输船，主要用于佛子岭水库、磨子潭水库航区载运活鱼等渔获物。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船舶主要尺度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最  大 船 长： 15.50m              总       长：15.5 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总        宽： 3.20 m               型       宽：  3.10 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型        深： 1.10m               设 计 吃 水：  0.45 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船        员： 4至6 人            肋        距： 0.50 m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C级航区 吃水/排水量/载货量：       0.45 m /  8.50 t  / 3 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全船最大高度：  1.20 m              航       区：  内河C级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活鱼舱容积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活鱼舱舱口长度：4.00 m                货舱舱口宽度：2.60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二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总布置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本船主甲板以下共设四道水密横舱壁，将主船体分为：尾—#0为尾尖舱，#0—#5为机舱， #5—#13为活鱼舱，#13—#16为空舱， #16—首为首尖舱。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本船主甲板以上依次为：尾—#0为尾甲板，设有舵柄、垃圾箱、舱口盖等设备；#0—#5为机舱棚， #5—#13为活鱼舱口， #13—首为首甲板，设有人孔盖、系泊带缆桩、锚等设备。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船体结构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本船船体为单底、单甲板、横骨架式全电焊钢质结构，主船体内、外结构采用CCS船板，主船体材质强度满足中华人民共和国海事局《内河小型船舶检验技术规则》（2016）对C级航区船舶的有关要求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四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稳性及干舷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本船干舷满足中华人民共和国海事局《内河小型船舶检验技术规则》（2016）的有关规定。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本船稳性满足中华人民共和国海事局《内河船舶法定检验技术规则》（2019）的有关规定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五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舵设备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本船舵叶面积A=0.3㎡,舵面积系数：4.35%。舵轴直径φ50mm ，材料为＃25钢。平板舵舵板厚度t=5.0㎜，舵板设加强肋一道。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六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锚泊系泊设备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本船舾装数为11，按中华人民共和国海事局《内河小型船舶检验技术规则》（2016）规定,本船实际配备15kg首锚一只。配最小破断力不小于34KN的锚索一根,总长20米。配最小破断力不小于34KN的系船索二根,每根长20米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本船首、尾甲板左右两舷各设(C100 GB554—1996)带缆桩二座。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七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主机、齿轮箱、航速、续航力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主机柴油机（知名品牌）、功率11.03KW、转速2200r/min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齿轮箱16A型（知名品牌）、减速比3：1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航速8-15Km/h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续航力12小时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八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消防设备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本船配有5KG手提式干粉灭火器2具、9L手提式泡沫灭火器2具，带绳消防水桶2只。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九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救生设备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本船配备船用救生圈6只。配备船用救生衣6件。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无线电通信设备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本船配备对外扩音装置1套，航行安全信息接收装置（收音机）1套。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十一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航行设备无线电通信设备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本船配测深锤1只，测深杆2根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十二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信号设备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本船配信号灯有：白光环照灯1盏。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本船配号型和号旗有：黑色球体号型1只，手电筒1只，红旗1面，白旗1面，5号国旗1面。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本船配声响信号有：小型号笛1只。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十三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避雷针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本船采用直径16mm，长500mm的钢质避雷针一只，焊接在船舶顶棚可倒桅杆顶上，可倒桅杆与船体应有可靠的电气连接，其连接软铜线的截面积应大于等于70mm2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十四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本船主甲板两侧设有φ32mm镀锌钢管栏杆，高度600mm，其中最低一档以下的开口高度为230mm。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2" w:firstLineChars="200"/>
        <w:textAlignment w:val="auto"/>
        <w:rPr>
          <w:rFonts w:hint="eastAsia" w:ascii="Times New Roman" w:hAnsi="Times New Roman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三、其它要求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1、项目实施时间：合同签订后40日历天。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2、交货地：业主指定地点。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3、质保期：活鱼运输船一年质保期，从验收合格交付使用之日起。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▲4、安全生产措施严密，施工期间如果发生安全生产事故，一切责任由中标单位自行负责。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5、配备的柴油机主机出厂需符合相关规定和技术要求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6、两艘船需带增氧装置。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default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7、两艘船启动方式为电启动。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default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注：“▲”为实质性条款，不响应作无效标处理。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2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四、售后保证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1、中标人应提供产品售后服务承诺，质保期内非采购人人为因素造成的质量问题，中标人须在接到采购人通知后按国家有关规定和要求（如无国家规定和要求的，按承诺和厂方“三包”规定）立即派人进行免费维修、免费更换有缺陷的零部件。因船只本身问题在48小时之内仍不能排除的故障，中标人应提供与原船只相同或不低于原船只性能的备用船只。故障排除后中标人应出具书面故障诊断报告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2、出现故障后，中标人如未按上述要求进行响应，采购人可采取必要的补救措施，由此产生的风险和费用将由中标人承担。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zh-CN" w:eastAsia="zh-CN" w:bidi="ar"/>
        </w:rPr>
      </w:pPr>
      <w:r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  <w:t>3、中标人应提供船只的维修保养手册及使用说明书。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40" w:firstLineChars="200"/>
        <w:jc w:val="right"/>
        <w:textAlignment w:val="auto"/>
        <w:rPr>
          <w:rFonts w:hint="eastAsia" w:ascii="宋体" w:hAnsi="宋体" w:cs="宋体"/>
          <w:color w:val="333333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333333"/>
          <w:sz w:val="22"/>
          <w:szCs w:val="22"/>
          <w:shd w:val="clear" w:color="auto" w:fill="FFFFFF"/>
          <w:lang w:val="en-US" w:eastAsia="zh-CN" w:bidi="ar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40" w:firstLineChars="200"/>
        <w:jc w:val="right"/>
        <w:textAlignment w:val="auto"/>
        <w:rPr>
          <w:rFonts w:hint="eastAsia" w:ascii="宋体" w:hAnsi="宋体" w:cs="宋体"/>
          <w:color w:val="333333"/>
          <w:sz w:val="22"/>
          <w:szCs w:val="22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sz w:val="22"/>
          <w:szCs w:val="22"/>
          <w:shd w:val="clear" w:color="auto" w:fill="FFFFFF"/>
          <w:lang w:eastAsia="zh-CN" w:bidi="ar"/>
        </w:rPr>
        <w:t>安徽康丰生态渔业发展有限公司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40" w:firstLineChars="200"/>
        <w:jc w:val="right"/>
        <w:textAlignment w:val="auto"/>
        <w:rPr>
          <w:rFonts w:hint="default" w:ascii="宋体" w:hAnsi="宋体" w:cs="宋体"/>
          <w:color w:val="333333"/>
          <w:sz w:val="22"/>
          <w:szCs w:val="2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333333"/>
          <w:sz w:val="22"/>
          <w:szCs w:val="22"/>
          <w:highlight w:val="none"/>
          <w:shd w:val="clear" w:color="auto" w:fill="FFFFFF"/>
          <w:lang w:val="en-US" w:eastAsia="zh-CN" w:bidi="ar"/>
        </w:rPr>
        <w:t xml:space="preserve">安徽衡宇工程咨询有限公司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40" w:firstLineChars="200"/>
        <w:jc w:val="right"/>
        <w:textAlignment w:val="auto"/>
        <w:rPr>
          <w:rFonts w:hint="default" w:ascii="宋体" w:hAnsi="宋体" w:cs="宋体"/>
          <w:color w:val="333333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olor w:val="333333"/>
          <w:sz w:val="22"/>
          <w:szCs w:val="22"/>
          <w:highlight w:val="none"/>
          <w:shd w:val="clear" w:color="auto" w:fill="FFFFFF"/>
          <w:lang w:val="en-US" w:eastAsia="zh-CN" w:bidi="ar"/>
        </w:rPr>
        <w:t>2022年6月20日</w:t>
      </w:r>
      <w:bookmarkStart w:id="0" w:name="_GoBack"/>
      <w:bookmarkEnd w:id="0"/>
    </w:p>
    <w:p>
      <w:pPr>
        <w:pageBreakBefore w:val="0"/>
        <w:kinsoku/>
        <w:overflowPunct/>
        <w:topLinePunct w:val="0"/>
        <w:bidi w:val="0"/>
        <w:spacing w:line="240" w:lineRule="auto"/>
        <w:ind w:left="0" w:leftChars="0" w:firstLine="420" w:firstLineChars="200"/>
        <w:rPr>
          <w:rFonts w:ascii="宋体" w:hAnsi="宋体" w:cs="宋体"/>
          <w:szCs w:val="24"/>
        </w:rPr>
      </w:pPr>
    </w:p>
    <w:p>
      <w:pPr>
        <w:pStyle w:val="6"/>
        <w:spacing w:before="0" w:after="0" w:line="500" w:lineRule="exact"/>
        <w:ind w:left="0" w:leftChars="0" w:firstLine="0" w:firstLineChars="0"/>
        <w:jc w:val="both"/>
        <w:outlineLvl w:val="9"/>
        <w:rPr>
          <w:rFonts w:hint="eastAsia" w:ascii="宋体" w:hAnsi="宋体" w:eastAsia="宋体" w:cs="宋体"/>
          <w:caps/>
          <w:color w:val="000000"/>
          <w:kern w:val="2"/>
          <w:sz w:val="28"/>
          <w:szCs w:val="28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ZjAxMzY3YmIwNmVmN2M5ZWUxZjUzMzY5OGE4MjEifQ=="/>
  </w:docVars>
  <w:rsids>
    <w:rsidRoot w:val="5B896D6D"/>
    <w:rsid w:val="5B8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ascii="Calibri" w:hAnsi="Calibri"/>
      <w:sz w:val="16"/>
      <w:szCs w:val="16"/>
      <w:lang w:val="zh-CN"/>
    </w:rPr>
  </w:style>
  <w:style w:type="paragraph" w:customStyle="1" w:styleId="6">
    <w:name w:val="样式 标题 2 + 宋体 五号 行距: 单倍行距"/>
    <w:basedOn w:val="3"/>
    <w:qFormat/>
    <w:uiPriority w:val="99"/>
    <w:pPr>
      <w:spacing w:line="240" w:lineRule="auto"/>
    </w:pPr>
    <w:rPr>
      <w:rFonts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1770</Words>
  <Characters>1949</Characters>
  <Lines>0</Lines>
  <Paragraphs>0</Paragraphs>
  <TotalTime>2</TotalTime>
  <ScaleCrop>false</ScaleCrop>
  <LinksUpToDate>false</LinksUpToDate>
  <CharactersWithSpaces>2156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2022-06-20T08:27:00Z</dcterms:created>
  <dc:creator>NTKO</dc:creator>
  <cp:lastModifiedBy>NTKO</cp:lastModifiedBy>
  <dcterms:modified xsi:type="dcterms:W3CDTF">2022-06-20T08:30:34Z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38AF165278C6407E90BB57F0B51A318D</vt:lpwstr>
  </property>
</Properties>
</file>